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5C463C">
      <w:pPr>
        <w:ind w:firstLine="720"/>
        <w:rPr>
          <w:rFonts w:eastAsia="仿宋_GB2312" w:cs="Times New Roman"/>
          <w:color w:val="000000" w:themeColor="text1"/>
          <w:sz w:val="36"/>
          <w:szCs w:val="36"/>
          <w14:textFill>
            <w14:solidFill>
              <w14:schemeClr w14:val="tx1"/>
            </w14:solidFill>
          </w14:textFill>
        </w:rPr>
      </w:pPr>
      <w:r>
        <w:rPr>
          <w:rFonts w:hint="eastAsia" w:eastAsia="仿宋_GB2312" w:cs="Times New Roman"/>
          <w:color w:val="000000" w:themeColor="text1"/>
          <w:sz w:val="36"/>
          <w:szCs w:val="36"/>
          <w14:textFill>
            <w14:solidFill>
              <w14:schemeClr w14:val="tx1"/>
            </w14:solidFill>
          </w14:textFill>
        </w:rPr>
        <w:drawing>
          <wp:anchor distT="0" distB="0" distL="114300" distR="114300" simplePos="0" relativeHeight="251666432" behindDoc="0" locked="0" layoutInCell="1" allowOverlap="1">
            <wp:simplePos x="0" y="0"/>
            <wp:positionH relativeFrom="column">
              <wp:posOffset>-951230</wp:posOffset>
            </wp:positionH>
            <wp:positionV relativeFrom="paragraph">
              <wp:posOffset>-1012190</wp:posOffset>
            </wp:positionV>
            <wp:extent cx="7535545" cy="10654030"/>
            <wp:effectExtent l="0" t="0" r="8255" b="13970"/>
            <wp:wrapNone/>
            <wp:docPr id="1" name="图片 1" descr="内页盖章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内页盖章_1"/>
                    <pic:cNvPicPr>
                      <a:picLocks noChangeAspect="1"/>
                    </pic:cNvPicPr>
                  </pic:nvPicPr>
                  <pic:blipFill>
                    <a:blip r:embed="rId17"/>
                    <a:stretch>
                      <a:fillRect/>
                    </a:stretch>
                  </pic:blipFill>
                  <pic:spPr>
                    <a:xfrm>
                      <a:off x="0" y="0"/>
                      <a:ext cx="7535545" cy="10654030"/>
                    </a:xfrm>
                    <a:prstGeom prst="rect">
                      <a:avLst/>
                    </a:prstGeom>
                  </pic:spPr>
                </pic:pic>
              </a:graphicData>
            </a:graphic>
          </wp:anchor>
        </w:drawing>
      </w:r>
    </w:p>
    <w:p w14:paraId="2CF02222">
      <w:pPr>
        <w:adjustRightInd w:val="0"/>
        <w:snapToGrid w:val="0"/>
        <w:ind w:firstLine="0" w:firstLineChars="0"/>
        <w:jc w:val="center"/>
        <w:outlineLvl w:val="0"/>
        <w:rPr>
          <w:rFonts w:eastAsia="方正小标宋_GBK" w:cs="Times New Roman"/>
          <w:bCs/>
          <w:color w:val="000000" w:themeColor="text1"/>
          <w:sz w:val="72"/>
          <w:szCs w:val="72"/>
          <w14:textFill>
            <w14:solidFill>
              <w14:schemeClr w14:val="tx1"/>
            </w14:solidFill>
          </w14:textFill>
        </w:rPr>
      </w:pPr>
      <w:bookmarkStart w:id="0" w:name="_Toc29042"/>
      <w:bookmarkStart w:id="1" w:name="_Toc149415624"/>
      <w:bookmarkStart w:id="2" w:name="_Toc1888674834"/>
      <w:bookmarkStart w:id="3" w:name="_Toc25788"/>
      <w:bookmarkStart w:id="4" w:name="_Toc1686773053"/>
      <w:bookmarkStart w:id="5" w:name="_Toc230448006"/>
      <w:bookmarkStart w:id="6" w:name="_Toc5615"/>
      <w:r>
        <w:rPr>
          <w:rFonts w:eastAsia="方正小标宋_GBK" w:cs="Times New Roman"/>
          <w:bCs/>
          <w:color w:val="000000" w:themeColor="text1"/>
          <w:sz w:val="72"/>
          <w:szCs w:val="72"/>
          <w14:textFill>
            <w14:solidFill>
              <w14:schemeClr w14:val="tx1"/>
            </w14:solidFill>
          </w14:textFill>
        </w:rPr>
        <w:t>建设项目环境影响报告表</w:t>
      </w:r>
      <w:bookmarkEnd w:id="0"/>
      <w:bookmarkEnd w:id="1"/>
      <w:bookmarkEnd w:id="2"/>
      <w:bookmarkEnd w:id="3"/>
      <w:bookmarkEnd w:id="4"/>
      <w:bookmarkEnd w:id="5"/>
      <w:bookmarkEnd w:id="6"/>
    </w:p>
    <w:p w14:paraId="54CB1009">
      <w:pPr>
        <w:adjustRightInd w:val="0"/>
        <w:snapToGrid w:val="0"/>
        <w:spacing w:before="192" w:beforeLines="80"/>
        <w:ind w:firstLine="0" w:firstLineChars="0"/>
        <w:jc w:val="center"/>
        <w:rPr>
          <w:rFonts w:eastAsia="楷体_GB2312" w:cs="Times New Roman"/>
          <w:bCs/>
          <w:color w:val="000000" w:themeColor="text1"/>
          <w:sz w:val="48"/>
          <w:szCs w:val="48"/>
          <w14:textFill>
            <w14:solidFill>
              <w14:schemeClr w14:val="tx1"/>
            </w14:solidFill>
          </w14:textFill>
        </w:rPr>
      </w:pPr>
      <w:r>
        <w:rPr>
          <w:rFonts w:eastAsia="楷体_GB2312" w:cs="Times New Roman"/>
          <w:bCs/>
          <w:color w:val="000000" w:themeColor="text1"/>
          <w:sz w:val="48"/>
          <w:szCs w:val="48"/>
          <w14:textFill>
            <w14:solidFill>
              <w14:schemeClr w14:val="tx1"/>
            </w14:solidFill>
          </w14:textFill>
        </w:rPr>
        <w:t>（污染影响类）</w:t>
      </w:r>
    </w:p>
    <w:p w14:paraId="3D4AB53F">
      <w:pPr>
        <w:ind w:left="420" w:firstLine="0" w:firstLineChars="0"/>
        <w:rPr>
          <w:rFonts w:cs="Times New Roman"/>
          <w:color w:val="000000" w:themeColor="text1"/>
          <w14:textFill>
            <w14:solidFill>
              <w14:schemeClr w14:val="tx1"/>
            </w14:solidFill>
          </w14:textFill>
        </w:rPr>
      </w:pPr>
    </w:p>
    <w:p w14:paraId="7D8461D1">
      <w:pPr>
        <w:ind w:left="420" w:firstLine="0" w:firstLineChars="0"/>
        <w:rPr>
          <w:rFonts w:cs="Times New Roman"/>
          <w:color w:val="000000" w:themeColor="text1"/>
          <w14:textFill>
            <w14:solidFill>
              <w14:schemeClr w14:val="tx1"/>
            </w14:solidFill>
          </w14:textFill>
        </w:rPr>
      </w:pPr>
    </w:p>
    <w:p w14:paraId="7F0682EA">
      <w:pPr>
        <w:ind w:left="420" w:firstLine="0" w:firstLineChars="0"/>
        <w:rPr>
          <w:rFonts w:cs="Times New Roman"/>
          <w:color w:val="000000" w:themeColor="text1"/>
          <w14:textFill>
            <w14:solidFill>
              <w14:schemeClr w14:val="tx1"/>
            </w14:solidFill>
          </w14:textFill>
        </w:rPr>
      </w:pPr>
    </w:p>
    <w:p w14:paraId="39291C1C">
      <w:pPr>
        <w:ind w:firstLine="880"/>
        <w:rPr>
          <w:rFonts w:eastAsia="仿宋" w:cs="Times New Roman"/>
          <w:color w:val="000000" w:themeColor="text1"/>
          <w:sz w:val="44"/>
          <w:szCs w:val="44"/>
          <w14:textFill>
            <w14:solidFill>
              <w14:schemeClr w14:val="tx1"/>
            </w14:solidFill>
          </w14:textFill>
        </w:rPr>
      </w:pPr>
    </w:p>
    <w:p w14:paraId="283C701F">
      <w:pPr>
        <w:pStyle w:val="45"/>
        <w:ind w:left="480" w:firstLine="480"/>
        <w:rPr>
          <w:rFonts w:ascii="Times New Roman" w:cs="Times New Roman"/>
          <w:color w:val="000000" w:themeColor="text1"/>
          <w14:textFill>
            <w14:solidFill>
              <w14:schemeClr w14:val="tx1"/>
            </w14:solidFill>
          </w14:textFill>
        </w:rPr>
      </w:pPr>
    </w:p>
    <w:p w14:paraId="14A479CE">
      <w:pPr>
        <w:pStyle w:val="44"/>
        <w:ind w:firstLine="480"/>
        <w:rPr>
          <w:rFonts w:cs="Times New Roman"/>
          <w:color w:val="000000" w:themeColor="text1"/>
          <w14:textFill>
            <w14:solidFill>
              <w14:schemeClr w14:val="tx1"/>
            </w14:solidFill>
          </w14:textFill>
        </w:rPr>
      </w:pPr>
    </w:p>
    <w:p w14:paraId="3505E165">
      <w:pPr>
        <w:ind w:firstLine="480"/>
        <w:rPr>
          <w:rFonts w:cs="Times New Roman"/>
          <w:color w:val="000000" w:themeColor="text1"/>
          <w14:textFill>
            <w14:solidFill>
              <w14:schemeClr w14:val="tx1"/>
            </w14:solidFill>
          </w14:textFill>
        </w:rPr>
      </w:pPr>
    </w:p>
    <w:p w14:paraId="7BA1FC7B">
      <w:pPr>
        <w:adjustRightInd w:val="0"/>
        <w:snapToGrid w:val="0"/>
        <w:ind w:firstLine="180" w:firstLineChars="50"/>
        <w:jc w:val="both"/>
        <w:rPr>
          <w:rFonts w:eastAsia="仿宋_GB2312" w:cs="Times New Roman"/>
          <w:color w:val="000000" w:themeColor="text1"/>
          <w:sz w:val="36"/>
          <w:szCs w:val="36"/>
          <w:u w:val="single"/>
          <w14:textFill>
            <w14:solidFill>
              <w14:schemeClr w14:val="tx1"/>
            </w14:solidFill>
          </w14:textFill>
        </w:rPr>
      </w:pPr>
      <w:r>
        <w:rPr>
          <w:rFonts w:eastAsia="仿宋_GB2312" w:cs="Times New Roman"/>
          <w:color w:val="000000" w:themeColor="text1"/>
          <w:sz w:val="36"/>
          <w:szCs w:val="36"/>
          <w14:textFill>
            <w14:solidFill>
              <w14:schemeClr w14:val="tx1"/>
            </w14:solidFill>
          </w14:textFill>
        </w:rPr>
        <w:t>项目名称：</w:t>
      </w:r>
      <w:r>
        <w:rPr>
          <w:rFonts w:eastAsia="仿宋_GB2312" w:cs="Times New Roman"/>
          <w:color w:val="000000" w:themeColor="text1"/>
          <w:sz w:val="35"/>
          <w:szCs w:val="35"/>
          <w:u w:val="single"/>
          <w14:textFill>
            <w14:solidFill>
              <w14:schemeClr w14:val="tx1"/>
            </w14:solidFill>
          </w14:textFill>
        </w:rPr>
        <w:t>宝钢德盛50MW余气及25MW余热发电项目</w:t>
      </w:r>
    </w:p>
    <w:p w14:paraId="4F1F8CC9">
      <w:pPr>
        <w:adjustRightInd w:val="0"/>
        <w:snapToGrid w:val="0"/>
        <w:ind w:firstLine="198" w:firstLineChars="55"/>
        <w:jc w:val="both"/>
        <w:rPr>
          <w:rFonts w:eastAsia="仿宋_GB2312" w:cs="Times New Roman"/>
          <w:color w:val="000000" w:themeColor="text1"/>
          <w:sz w:val="36"/>
          <w:szCs w:val="36"/>
          <w:u w:val="single"/>
          <w14:textFill>
            <w14:solidFill>
              <w14:schemeClr w14:val="tx1"/>
            </w14:solidFill>
          </w14:textFill>
        </w:rPr>
      </w:pPr>
      <w:r>
        <w:rPr>
          <w:rFonts w:eastAsia="仿宋_GB2312" w:cs="Times New Roman"/>
          <w:color w:val="000000" w:themeColor="text1"/>
          <w:sz w:val="36"/>
          <w:szCs w:val="36"/>
          <w14:textFill>
            <w14:solidFill>
              <w14:schemeClr w14:val="tx1"/>
            </w14:solidFill>
          </w14:textFill>
        </w:rPr>
        <w:t>建设单位（盖章）：</w:t>
      </w:r>
      <w:r>
        <w:rPr>
          <w:rFonts w:eastAsia="仿宋_GB2312" w:cs="Times New Roman"/>
          <w:color w:val="000000" w:themeColor="text1"/>
          <w:sz w:val="36"/>
          <w:szCs w:val="36"/>
          <w:u w:val="single"/>
          <w14:textFill>
            <w14:solidFill>
              <w14:schemeClr w14:val="tx1"/>
            </w14:solidFill>
          </w14:textFill>
        </w:rPr>
        <w:t>宝钢德盛不锈钢有限公司</w:t>
      </w:r>
    </w:p>
    <w:p w14:paraId="68C96C0F">
      <w:pPr>
        <w:adjustRightInd w:val="0"/>
        <w:snapToGrid w:val="0"/>
        <w:ind w:firstLine="198" w:firstLineChars="55"/>
        <w:rPr>
          <w:rFonts w:eastAsia="仿宋_GB2312" w:cs="Times New Roman"/>
          <w:color w:val="000000" w:themeColor="text1"/>
          <w:sz w:val="36"/>
          <w:szCs w:val="36"/>
          <w:u w:val="single"/>
          <w14:textFill>
            <w14:solidFill>
              <w14:schemeClr w14:val="tx1"/>
            </w14:solidFill>
          </w14:textFill>
        </w:rPr>
      </w:pPr>
      <w:r>
        <w:rPr>
          <w:rFonts w:eastAsia="仿宋_GB2312" w:cs="Times New Roman"/>
          <w:color w:val="000000" w:themeColor="text1"/>
          <w:sz w:val="36"/>
          <w:szCs w:val="36"/>
          <w14:textFill>
            <w14:solidFill>
              <w14:schemeClr w14:val="tx1"/>
            </w14:solidFill>
          </w14:textFill>
        </w:rPr>
        <w:t>编制日期：</w:t>
      </w:r>
      <w:r>
        <w:rPr>
          <w:rFonts w:eastAsia="仿宋_GB2312" w:cs="Times New Roman"/>
          <w:color w:val="000000" w:themeColor="text1"/>
          <w:sz w:val="36"/>
          <w:szCs w:val="36"/>
          <w:u w:val="single"/>
          <w14:textFill>
            <w14:solidFill>
              <w14:schemeClr w14:val="tx1"/>
            </w14:solidFill>
          </w14:textFill>
        </w:rPr>
        <w:t xml:space="preserve">        2026年5月        </w:t>
      </w:r>
    </w:p>
    <w:p w14:paraId="7BAF6741">
      <w:pPr>
        <w:adjustRightInd w:val="0"/>
        <w:snapToGrid w:val="0"/>
        <w:spacing w:line="288" w:lineRule="auto"/>
        <w:ind w:firstLine="720"/>
        <w:rPr>
          <w:rFonts w:eastAsia="仿宋_GB2312" w:cs="Times New Roman"/>
          <w:color w:val="000000" w:themeColor="text1"/>
          <w:sz w:val="36"/>
          <w:szCs w:val="36"/>
          <w14:textFill>
            <w14:solidFill>
              <w14:schemeClr w14:val="tx1"/>
            </w14:solidFill>
          </w14:textFill>
        </w:rPr>
      </w:pPr>
      <w:bookmarkStart w:id="7" w:name="_Hlk57884087"/>
    </w:p>
    <w:p w14:paraId="52C0B138">
      <w:pPr>
        <w:adjustRightInd w:val="0"/>
        <w:snapToGrid w:val="0"/>
        <w:spacing w:line="288" w:lineRule="auto"/>
        <w:ind w:firstLine="720"/>
        <w:rPr>
          <w:rFonts w:eastAsia="仿宋_GB2312" w:cs="Times New Roman"/>
          <w:color w:val="000000" w:themeColor="text1"/>
          <w:sz w:val="36"/>
          <w:szCs w:val="36"/>
          <w14:textFill>
            <w14:solidFill>
              <w14:schemeClr w14:val="tx1"/>
            </w14:solidFill>
          </w14:textFill>
        </w:rPr>
      </w:pPr>
    </w:p>
    <w:p w14:paraId="509FDF58">
      <w:pPr>
        <w:adjustRightInd w:val="0"/>
        <w:snapToGrid w:val="0"/>
        <w:spacing w:line="288" w:lineRule="auto"/>
        <w:ind w:firstLine="720"/>
        <w:rPr>
          <w:rFonts w:eastAsia="仿宋_GB2312" w:cs="Times New Roman"/>
          <w:color w:val="000000" w:themeColor="text1"/>
          <w:sz w:val="36"/>
          <w:szCs w:val="36"/>
          <w14:textFill>
            <w14:solidFill>
              <w14:schemeClr w14:val="tx1"/>
            </w14:solidFill>
          </w14:textFill>
        </w:rPr>
      </w:pPr>
    </w:p>
    <w:p w14:paraId="01CC2CAC">
      <w:pPr>
        <w:pStyle w:val="45"/>
        <w:ind w:left="480" w:firstLine="480"/>
        <w:rPr>
          <w:rFonts w:ascii="Times New Roman" w:cs="Times New Roman"/>
          <w:color w:val="000000" w:themeColor="text1"/>
          <w14:textFill>
            <w14:solidFill>
              <w14:schemeClr w14:val="tx1"/>
            </w14:solidFill>
          </w14:textFill>
        </w:rPr>
      </w:pPr>
    </w:p>
    <w:p w14:paraId="18161BA0">
      <w:pPr>
        <w:pStyle w:val="44"/>
        <w:ind w:firstLine="480"/>
        <w:rPr>
          <w:rFonts w:cs="Times New Roman"/>
          <w:color w:val="000000" w:themeColor="text1"/>
          <w14:textFill>
            <w14:solidFill>
              <w14:schemeClr w14:val="tx1"/>
            </w14:solidFill>
          </w14:textFill>
        </w:rPr>
      </w:pPr>
    </w:p>
    <w:bookmarkEnd w:id="7"/>
    <w:p w14:paraId="23CB0CAA">
      <w:pPr>
        <w:adjustRightInd w:val="0"/>
        <w:snapToGrid w:val="0"/>
        <w:spacing w:line="288" w:lineRule="auto"/>
        <w:ind w:firstLine="0" w:firstLineChars="0"/>
        <w:jc w:val="center"/>
        <w:rPr>
          <w:rFonts w:eastAsia="楷体_GB2312" w:cs="Times New Roman"/>
          <w:color w:val="000000" w:themeColor="text1"/>
          <w:sz w:val="36"/>
          <w:szCs w:val="36"/>
          <w14:textFill>
            <w14:solidFill>
              <w14:schemeClr w14:val="tx1"/>
            </w14:solidFill>
          </w14:textFill>
        </w:rPr>
      </w:pPr>
    </w:p>
    <w:p w14:paraId="13AC17F3">
      <w:pPr>
        <w:adjustRightInd w:val="0"/>
        <w:snapToGrid w:val="0"/>
        <w:spacing w:line="288" w:lineRule="auto"/>
        <w:ind w:firstLine="0" w:firstLineChars="0"/>
        <w:jc w:val="center"/>
        <w:rPr>
          <w:rFonts w:eastAsia="楷体_GB2312" w:cs="Times New Roman"/>
          <w:color w:val="000000" w:themeColor="text1"/>
          <w:sz w:val="36"/>
          <w:szCs w:val="36"/>
          <w14:textFill>
            <w14:solidFill>
              <w14:schemeClr w14:val="tx1"/>
            </w14:solidFill>
          </w14:textFill>
        </w:rPr>
      </w:pPr>
      <w:r>
        <w:rPr>
          <w:rFonts w:eastAsia="楷体_GB2312" w:cs="Times New Roman"/>
          <w:color w:val="000000" w:themeColor="text1"/>
          <w:sz w:val="36"/>
          <w:szCs w:val="36"/>
          <w14:textFill>
            <w14:solidFill>
              <w14:schemeClr w14:val="tx1"/>
            </w14:solidFill>
          </w14:textFill>
        </w:rPr>
        <w:t>中华人民共和国生态环境部制</w:t>
      </w:r>
    </w:p>
    <w:p w14:paraId="4293A919">
      <w:pPr>
        <w:adjustRightInd w:val="0"/>
        <w:snapToGrid w:val="0"/>
        <w:spacing w:line="288" w:lineRule="auto"/>
        <w:ind w:firstLine="720"/>
        <w:rPr>
          <w:rFonts w:eastAsia="仿宋_GB2312" w:cs="Times New Roman"/>
          <w:color w:val="000000" w:themeColor="text1"/>
          <w:sz w:val="36"/>
          <w:szCs w:val="36"/>
          <w14:textFill>
            <w14:solidFill>
              <w14:schemeClr w14:val="tx1"/>
            </w14:solidFill>
          </w14:textFill>
        </w:rPr>
      </w:pPr>
    </w:p>
    <w:p w14:paraId="5B62B4A7">
      <w:pPr>
        <w:adjustRightInd w:val="0"/>
        <w:snapToGrid w:val="0"/>
        <w:spacing w:line="288" w:lineRule="auto"/>
        <w:ind w:firstLine="720"/>
        <w:rPr>
          <w:rFonts w:eastAsia="仿宋_GB2312" w:cs="Times New Roman"/>
          <w:color w:val="000000" w:themeColor="text1"/>
          <w:sz w:val="36"/>
          <w:szCs w:val="36"/>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3"/>
          <w:cols w:space="720" w:num="1"/>
          <w:docGrid w:linePitch="312" w:charSpace="0"/>
        </w:sectPr>
      </w:pPr>
    </w:p>
    <w:p w14:paraId="0A9E02DB">
      <w:pPr>
        <w:pStyle w:val="30"/>
        <w:tabs>
          <w:tab w:val="right" w:leader="dot" w:pos="8844"/>
        </w:tabs>
        <w:spacing w:line="360" w:lineRule="auto"/>
        <w:jc w:val="center"/>
        <w:rPr>
          <w:rFonts w:ascii="Times New Roman" w:hAnsi="Times New Roman" w:cs="Times New Roman"/>
          <w:color w:val="000000" w:themeColor="text1"/>
          <w:szCs w:val="36"/>
          <w14:textFill>
            <w14:solidFill>
              <w14:schemeClr w14:val="tx1"/>
            </w14:solidFill>
          </w14:textFill>
        </w:rPr>
      </w:pPr>
      <w:r>
        <w:rPr>
          <w:rFonts w:ascii="Times New Roman" w:hAnsi="Times New Roman" w:cs="Times New Roman"/>
          <w:color w:val="000000" w:themeColor="text1"/>
          <w:sz w:val="36"/>
          <w:szCs w:val="36"/>
          <w14:textFill>
            <w14:solidFill>
              <w14:schemeClr w14:val="tx1"/>
            </w14:solidFill>
          </w14:textFill>
        </w:rPr>
        <w:t>目录</w:t>
      </w:r>
    </w:p>
    <w:p w14:paraId="24CD00BF">
      <w:pPr>
        <w:pStyle w:val="30"/>
        <w:tabs>
          <w:tab w:val="right" w:leader="dot" w:pos="8834"/>
        </w:tabs>
        <w:rPr>
          <w:rFonts w:asciiTheme="minorHAnsi" w:hAnsiTheme="minorHAnsi" w:eastAsiaTheme="minorEastAsia" w:cstheme="minorBidi"/>
          <w:b w:val="0"/>
          <w:bCs w:val="0"/>
          <w:caps w:val="0"/>
          <w:kern w:val="2"/>
          <w:sz w:val="21"/>
          <w:szCs w:val="24"/>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TOC \o "1-2" \h \u </w:instrText>
      </w:r>
      <w:r>
        <w:rPr>
          <w:rFonts w:ascii="Times New Roman" w:hAnsi="Times New Roman" w:cs="Times New Roman"/>
          <w:color w:val="000000" w:themeColor="text1"/>
          <w14:textFill>
            <w14:solidFill>
              <w14:schemeClr w14:val="tx1"/>
            </w14:solidFill>
          </w14:textFill>
        </w:rPr>
        <w:fldChar w:fldCharType="separate"/>
      </w:r>
    </w:p>
    <w:p w14:paraId="69E55A1D">
      <w:pPr>
        <w:pStyle w:val="30"/>
        <w:tabs>
          <w:tab w:val="right" w:leader="dot" w:pos="8834"/>
        </w:tabs>
        <w:rPr>
          <w:rFonts w:asciiTheme="minorHAnsi" w:hAnsiTheme="minorHAnsi" w:eastAsiaTheme="minorEastAsia" w:cstheme="minorBidi"/>
          <w:b w:val="0"/>
          <w:bCs w:val="0"/>
          <w:caps w:val="0"/>
          <w:kern w:val="2"/>
          <w:sz w:val="21"/>
          <w:szCs w:val="24"/>
        </w:rPr>
      </w:pPr>
      <w:r>
        <w:fldChar w:fldCharType="begin"/>
      </w:r>
      <w:r>
        <w:instrText xml:space="preserve"> HYPERLINK \l "_Toc230448007" </w:instrText>
      </w:r>
      <w:r>
        <w:fldChar w:fldCharType="separate"/>
      </w:r>
      <w:r>
        <w:rPr>
          <w:rStyle w:val="55"/>
        </w:rPr>
        <w:t>（一）建设项目基本情况</w:t>
      </w:r>
      <w:r>
        <w:tab/>
      </w:r>
      <w:r>
        <w:fldChar w:fldCharType="begin"/>
      </w:r>
      <w:r>
        <w:instrText xml:space="preserve"> PAGEREF _Toc230448007 \h </w:instrText>
      </w:r>
      <w:r>
        <w:fldChar w:fldCharType="separate"/>
      </w:r>
      <w:r>
        <w:t>1</w:t>
      </w:r>
      <w:r>
        <w:fldChar w:fldCharType="end"/>
      </w:r>
      <w:r>
        <w:fldChar w:fldCharType="end"/>
      </w:r>
    </w:p>
    <w:p w14:paraId="65314BC8">
      <w:pPr>
        <w:pStyle w:val="30"/>
        <w:tabs>
          <w:tab w:val="right" w:leader="dot" w:pos="8834"/>
        </w:tabs>
        <w:rPr>
          <w:rFonts w:asciiTheme="minorHAnsi" w:hAnsiTheme="minorHAnsi" w:eastAsiaTheme="minorEastAsia" w:cstheme="minorBidi"/>
          <w:b w:val="0"/>
          <w:bCs w:val="0"/>
          <w:caps w:val="0"/>
          <w:kern w:val="2"/>
          <w:sz w:val="21"/>
          <w:szCs w:val="24"/>
        </w:rPr>
      </w:pPr>
      <w:r>
        <w:fldChar w:fldCharType="begin"/>
      </w:r>
      <w:r>
        <w:instrText xml:space="preserve"> HYPERLINK \l "_Toc230448017" </w:instrText>
      </w:r>
      <w:r>
        <w:fldChar w:fldCharType="separate"/>
      </w:r>
      <w:r>
        <w:rPr>
          <w:rStyle w:val="55"/>
        </w:rPr>
        <w:t>（二）建设项目工程分析</w:t>
      </w:r>
      <w:r>
        <w:tab/>
      </w:r>
      <w:r>
        <w:fldChar w:fldCharType="begin"/>
      </w:r>
      <w:r>
        <w:instrText xml:space="preserve"> PAGEREF _Toc230448017 \h </w:instrText>
      </w:r>
      <w:r>
        <w:fldChar w:fldCharType="separate"/>
      </w:r>
      <w:r>
        <w:t>24</w:t>
      </w:r>
      <w:r>
        <w:fldChar w:fldCharType="end"/>
      </w:r>
      <w:r>
        <w:fldChar w:fldCharType="end"/>
      </w:r>
    </w:p>
    <w:p w14:paraId="52534DDE">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"_Toc230448018" </w:instrText>
      </w:r>
      <w:r>
        <w:fldChar w:fldCharType="separate"/>
      </w:r>
      <w:r>
        <w:rPr>
          <w:rStyle w:val="55"/>
          <w14:scene3d w14:prst="orthographicFront">
            <w14:lightRig w14:rig="threePt" w14:dir="t">
              <w14:rot w14:lat="0" w14:lon="0" w14:rev="0"/>
            </w14:lightRig>
          </w14:scene3d>
        </w:rPr>
        <w:t>2.1.</w:t>
      </w:r>
      <w:r>
        <w:rPr>
          <w:rStyle w:val="55"/>
        </w:rPr>
        <w:t xml:space="preserve"> 工程概况</w:t>
      </w:r>
      <w:r>
        <w:tab/>
      </w:r>
      <w:r>
        <w:fldChar w:fldCharType="begin"/>
      </w:r>
      <w:r>
        <w:instrText xml:space="preserve"> PAGEREF _Toc230448018 \h </w:instrText>
      </w:r>
      <w:r>
        <w:fldChar w:fldCharType="separate"/>
      </w:r>
      <w:r>
        <w:t>24</w:t>
      </w:r>
      <w:r>
        <w:fldChar w:fldCharType="end"/>
      </w:r>
      <w:r>
        <w:fldChar w:fldCharType="end"/>
      </w:r>
    </w:p>
    <w:p w14:paraId="197B9828">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"_Toc230448019" </w:instrText>
      </w:r>
      <w:r>
        <w:fldChar w:fldCharType="separate"/>
      </w:r>
      <w:r>
        <w:rPr>
          <w:rStyle w:val="55"/>
          <w14:scene3d w14:prst="orthographicFront">
            <w14:lightRig w14:rig="threePt" w14:dir="t">
              <w14:rot w14:lat="0" w14:lon="0" w14:rev="0"/>
            </w14:lightRig>
          </w14:scene3d>
        </w:rPr>
        <w:t>2.2.</w:t>
      </w:r>
      <w:r>
        <w:rPr>
          <w:rStyle w:val="55"/>
        </w:rPr>
        <w:t xml:space="preserve"> 基本情况</w:t>
      </w:r>
      <w:r>
        <w:tab/>
      </w:r>
      <w:r>
        <w:fldChar w:fldCharType="begin"/>
      </w:r>
      <w:r>
        <w:instrText xml:space="preserve"> PAGEREF _Toc230448019 \h </w:instrText>
      </w:r>
      <w:r>
        <w:fldChar w:fldCharType="separate"/>
      </w:r>
      <w:r>
        <w:t>25</w:t>
      </w:r>
      <w:r>
        <w:fldChar w:fldCharType="end"/>
      </w:r>
      <w:r>
        <w:fldChar w:fldCharType="end"/>
      </w:r>
    </w:p>
    <w:p w14:paraId="456201D7">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"_Toc230448020" </w:instrText>
      </w:r>
      <w:r>
        <w:fldChar w:fldCharType="separate"/>
      </w:r>
      <w:r>
        <w:rPr>
          <w:rStyle w:val="55"/>
          <w14:scene3d w14:prst="orthographicFront">
            <w14:lightRig w14:rig="threePt" w14:dir="t">
              <w14:rot w14:lat="0" w14:lon="0" w14:rev="0"/>
            </w14:lightRig>
          </w14:scene3d>
        </w:rPr>
        <w:t>2.3.</w:t>
      </w:r>
      <w:r>
        <w:rPr>
          <w:rStyle w:val="55"/>
        </w:rPr>
        <w:t xml:space="preserve"> 建设项目组成</w:t>
      </w:r>
      <w:r>
        <w:tab/>
      </w:r>
      <w:r>
        <w:fldChar w:fldCharType="begin"/>
      </w:r>
      <w:r>
        <w:instrText xml:space="preserve"> PAGEREF _Toc230448020 \h </w:instrText>
      </w:r>
      <w:r>
        <w:fldChar w:fldCharType="separate"/>
      </w:r>
      <w:r>
        <w:t>27</w:t>
      </w:r>
      <w:r>
        <w:fldChar w:fldCharType="end"/>
      </w:r>
      <w:r>
        <w:fldChar w:fldCharType="end"/>
      </w:r>
    </w:p>
    <w:p w14:paraId="274BF1E4">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"_Toc230448021" </w:instrText>
      </w:r>
      <w:r>
        <w:fldChar w:fldCharType="separate"/>
      </w:r>
      <w:r>
        <w:rPr>
          <w:rStyle w:val="55"/>
          <w14:scene3d w14:prst="orthographicFront">
            <w14:lightRig w14:rig="threePt" w14:dir="t">
              <w14:rot w14:lat="0" w14:lon="0" w14:rev="0"/>
            </w14:lightRig>
          </w14:scene3d>
        </w:rPr>
        <w:t>2.4.</w:t>
      </w:r>
      <w:r>
        <w:rPr>
          <w:rStyle w:val="55"/>
        </w:rPr>
        <w:t xml:space="preserve"> 主要原辅料及燃料种类和用量</w:t>
      </w:r>
      <w:r>
        <w:tab/>
      </w:r>
      <w:r>
        <w:fldChar w:fldCharType="begin"/>
      </w:r>
      <w:r>
        <w:instrText xml:space="preserve"> PAGEREF _Toc230448021 \h </w:instrText>
      </w:r>
      <w:r>
        <w:fldChar w:fldCharType="separate"/>
      </w:r>
      <w:r>
        <w:t>33</w:t>
      </w:r>
      <w:r>
        <w:fldChar w:fldCharType="end"/>
      </w:r>
      <w:r>
        <w:fldChar w:fldCharType="end"/>
      </w:r>
    </w:p>
    <w:p w14:paraId="67EB336F">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"_Toc230448022" </w:instrText>
      </w:r>
      <w:r>
        <w:fldChar w:fldCharType="separate"/>
      </w:r>
      <w:r>
        <w:rPr>
          <w:rStyle w:val="55"/>
          <w14:scene3d w14:prst="orthographicFront">
            <w14:lightRig w14:rig="threePt" w14:dir="t">
              <w14:rot w14:lat="0" w14:lon="0" w14:rev="0"/>
            </w14:lightRig>
          </w14:scene3d>
        </w:rPr>
        <w:t>2.5.</w:t>
      </w:r>
      <w:r>
        <w:rPr>
          <w:rStyle w:val="55"/>
        </w:rPr>
        <w:t xml:space="preserve"> 拟建项目除盐水制备系统</w:t>
      </w:r>
      <w:r>
        <w:tab/>
      </w:r>
      <w:r>
        <w:fldChar w:fldCharType="begin"/>
      </w:r>
      <w:r>
        <w:instrText xml:space="preserve"> PAGEREF _Toc230448022 \h </w:instrText>
      </w:r>
      <w:r>
        <w:fldChar w:fldCharType="separate"/>
      </w:r>
      <w:r>
        <w:t>35</w:t>
      </w:r>
      <w:r>
        <w:fldChar w:fldCharType="end"/>
      </w:r>
      <w:r>
        <w:fldChar w:fldCharType="end"/>
      </w:r>
    </w:p>
    <w:p w14:paraId="315D867B">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"_Toc230448023" </w:instrText>
      </w:r>
      <w:r>
        <w:fldChar w:fldCharType="separate"/>
      </w:r>
      <w:r>
        <w:rPr>
          <w:rStyle w:val="55"/>
          <w14:scene3d w14:prst="orthographicFront">
            <w14:lightRig w14:rig="threePt" w14:dir="t">
              <w14:rot w14:lat="0" w14:lon="0" w14:rev="0"/>
            </w14:lightRig>
          </w14:scene3d>
        </w:rPr>
        <w:t>2.6.</w:t>
      </w:r>
      <w:r>
        <w:rPr>
          <w:rStyle w:val="55"/>
        </w:rPr>
        <w:t xml:space="preserve"> 拟建项目给水除氧系统</w:t>
      </w:r>
      <w:r>
        <w:tab/>
      </w:r>
      <w:r>
        <w:fldChar w:fldCharType="begin"/>
      </w:r>
      <w:r>
        <w:instrText xml:space="preserve"> PAGEREF _Toc230448023 \h </w:instrText>
      </w:r>
      <w:r>
        <w:fldChar w:fldCharType="separate"/>
      </w:r>
      <w:r>
        <w:t>36</w:t>
      </w:r>
      <w:r>
        <w:fldChar w:fldCharType="end"/>
      </w:r>
      <w:r>
        <w:fldChar w:fldCharType="end"/>
      </w:r>
    </w:p>
    <w:p w14:paraId="513C35B9">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"_Toc230448024" </w:instrText>
      </w:r>
      <w:r>
        <w:fldChar w:fldCharType="separate"/>
      </w:r>
      <w:r>
        <w:rPr>
          <w:rStyle w:val="55"/>
          <w14:scene3d w14:prst="orthographicFront">
            <w14:lightRig w14:rig="threePt" w14:dir="t">
              <w14:rot w14:lat="0" w14:lon="0" w14:rev="0"/>
            </w14:lightRig>
          </w14:scene3d>
        </w:rPr>
        <w:t>2.7.</w:t>
      </w:r>
      <w:r>
        <w:rPr>
          <w:rStyle w:val="55"/>
        </w:rPr>
        <w:t xml:space="preserve"> 拟建项目给排水系统</w:t>
      </w:r>
      <w:r>
        <w:tab/>
      </w:r>
      <w:r>
        <w:fldChar w:fldCharType="begin"/>
      </w:r>
      <w:r>
        <w:instrText xml:space="preserve"> PAGEREF _Toc230448024 \h </w:instrText>
      </w:r>
      <w:r>
        <w:fldChar w:fldCharType="separate"/>
      </w:r>
      <w:r>
        <w:t>37</w:t>
      </w:r>
      <w:r>
        <w:fldChar w:fldCharType="end"/>
      </w:r>
      <w:r>
        <w:fldChar w:fldCharType="end"/>
      </w:r>
    </w:p>
    <w:p w14:paraId="414FC4C5">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"_Toc230448025" </w:instrText>
      </w:r>
      <w:r>
        <w:fldChar w:fldCharType="separate"/>
      </w:r>
      <w:r>
        <w:rPr>
          <w:rStyle w:val="55"/>
          <w14:scene3d w14:prst="orthographicFront">
            <w14:lightRig w14:rig="threePt" w14:dir="t">
              <w14:rot w14:lat="0" w14:lon="0" w14:rev="0"/>
            </w14:lightRig>
          </w14:scene3d>
        </w:rPr>
        <w:t>2.8.</w:t>
      </w:r>
      <w:r>
        <w:rPr>
          <w:rStyle w:val="55"/>
        </w:rPr>
        <w:t xml:space="preserve"> 拟建项目给排水系统</w:t>
      </w:r>
      <w:r>
        <w:tab/>
      </w:r>
      <w:r>
        <w:fldChar w:fldCharType="begin"/>
      </w:r>
      <w:r>
        <w:instrText xml:space="preserve"> PAGEREF _Toc230448025 \h </w:instrText>
      </w:r>
      <w:r>
        <w:fldChar w:fldCharType="separate"/>
      </w:r>
      <w:r>
        <w:t>40</w:t>
      </w:r>
      <w:r>
        <w:fldChar w:fldCharType="end"/>
      </w:r>
      <w:r>
        <w:fldChar w:fldCharType="end"/>
      </w:r>
    </w:p>
    <w:p w14:paraId="348C6E2C">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"_Toc230448026" </w:instrText>
      </w:r>
      <w:r>
        <w:fldChar w:fldCharType="separate"/>
      </w:r>
      <w:r>
        <w:rPr>
          <w:rStyle w:val="55"/>
          <w14:scene3d w14:prst="orthographicFront">
            <w14:lightRig w14:rig="threePt" w14:dir="t">
              <w14:rot w14:lat="0" w14:lon="0" w14:rev="0"/>
            </w14:lightRig>
          </w14:scene3d>
        </w:rPr>
        <w:t>2.9.</w:t>
      </w:r>
      <w:r>
        <w:rPr>
          <w:rStyle w:val="55"/>
        </w:rPr>
        <w:t xml:space="preserve"> 拟建项目供气系统</w:t>
      </w:r>
      <w:r>
        <w:tab/>
      </w:r>
      <w:r>
        <w:fldChar w:fldCharType="begin"/>
      </w:r>
      <w:r>
        <w:instrText xml:space="preserve"> PAGEREF _Toc230448026 \h </w:instrText>
      </w:r>
      <w:r>
        <w:fldChar w:fldCharType="separate"/>
      </w:r>
      <w:r>
        <w:t>41</w:t>
      </w:r>
      <w:r>
        <w:fldChar w:fldCharType="end"/>
      </w:r>
      <w:r>
        <w:fldChar w:fldCharType="end"/>
      </w:r>
    </w:p>
    <w:p w14:paraId="23C28116">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"_Toc230448027" </w:instrText>
      </w:r>
      <w:r>
        <w:fldChar w:fldCharType="separate"/>
      </w:r>
      <w:r>
        <w:rPr>
          <w:rStyle w:val="55"/>
          <w14:scene3d w14:prst="orthographicFront">
            <w14:lightRig w14:rig="threePt" w14:dir="t">
              <w14:rot w14:lat="0" w14:lon="0" w14:rev="0"/>
            </w14:lightRig>
          </w14:scene3d>
        </w:rPr>
        <w:t>2.10.</w:t>
      </w:r>
      <w:r>
        <w:rPr>
          <w:rStyle w:val="55"/>
        </w:rPr>
        <w:t xml:space="preserve"> 拟建项目建筑结构</w:t>
      </w:r>
      <w:r>
        <w:tab/>
      </w:r>
      <w:r>
        <w:fldChar w:fldCharType="begin"/>
      </w:r>
      <w:r>
        <w:instrText xml:space="preserve"> PAGEREF _Toc230448027 \h </w:instrText>
      </w:r>
      <w:r>
        <w:fldChar w:fldCharType="separate"/>
      </w:r>
      <w:r>
        <w:t>42</w:t>
      </w:r>
      <w:r>
        <w:fldChar w:fldCharType="end"/>
      </w:r>
      <w:r>
        <w:fldChar w:fldCharType="end"/>
      </w:r>
    </w:p>
    <w:p w14:paraId="160F06A7">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"_Toc230448028" </w:instrText>
      </w:r>
      <w:r>
        <w:fldChar w:fldCharType="separate"/>
      </w:r>
      <w:r>
        <w:rPr>
          <w:rStyle w:val="55"/>
          <w14:scene3d w14:prst="orthographicFront">
            <w14:lightRig w14:rig="threePt" w14:dir="t">
              <w14:rot w14:lat="0" w14:lon="0" w14:rev="0"/>
            </w14:lightRig>
          </w14:scene3d>
        </w:rPr>
        <w:t>2.11.</w:t>
      </w:r>
      <w:r>
        <w:rPr>
          <w:rStyle w:val="55"/>
        </w:rPr>
        <w:t xml:space="preserve"> 工作制度及定员</w:t>
      </w:r>
      <w:r>
        <w:tab/>
      </w:r>
      <w:r>
        <w:fldChar w:fldCharType="begin"/>
      </w:r>
      <w:r>
        <w:instrText xml:space="preserve"> PAGEREF _Toc230448028 \h </w:instrText>
      </w:r>
      <w:r>
        <w:fldChar w:fldCharType="separate"/>
      </w:r>
      <w:r>
        <w:t>43</w:t>
      </w:r>
      <w:r>
        <w:fldChar w:fldCharType="end"/>
      </w:r>
      <w:r>
        <w:fldChar w:fldCharType="end"/>
      </w:r>
    </w:p>
    <w:p w14:paraId="66E923C2">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"_Toc230448029" </w:instrText>
      </w:r>
      <w:r>
        <w:fldChar w:fldCharType="separate"/>
      </w:r>
      <w:r>
        <w:rPr>
          <w:rStyle w:val="55"/>
          <w14:scene3d w14:prst="orthographicFront">
            <w14:lightRig w14:rig="threePt" w14:dir="t">
              <w14:rot w14:lat="0" w14:lon="0" w14:rev="0"/>
            </w14:lightRig>
          </w14:scene3d>
        </w:rPr>
        <w:t>2.12.</w:t>
      </w:r>
      <w:r>
        <w:rPr>
          <w:rStyle w:val="55"/>
        </w:rPr>
        <w:t xml:space="preserve"> 建设进度</w:t>
      </w:r>
      <w:r>
        <w:tab/>
      </w:r>
      <w:r>
        <w:fldChar w:fldCharType="begin"/>
      </w:r>
      <w:r>
        <w:instrText xml:space="preserve"> PAGEREF _Toc230448029 \h </w:instrText>
      </w:r>
      <w:r>
        <w:fldChar w:fldCharType="separate"/>
      </w:r>
      <w:r>
        <w:t>43</w:t>
      </w:r>
      <w:r>
        <w:fldChar w:fldCharType="end"/>
      </w:r>
      <w:r>
        <w:fldChar w:fldCharType="end"/>
      </w:r>
    </w:p>
    <w:p w14:paraId="35B1EC70">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"_Toc230448030" </w:instrText>
      </w:r>
      <w:r>
        <w:fldChar w:fldCharType="separate"/>
      </w:r>
      <w:r>
        <w:rPr>
          <w:rStyle w:val="55"/>
          <w14:scene3d w14:prst="orthographicFront">
            <w14:lightRig w14:rig="threePt" w14:dir="t">
              <w14:rot w14:lat="0" w14:lon="0" w14:rev="0"/>
            </w14:lightRig>
          </w14:scene3d>
        </w:rPr>
        <w:t>2.13.</w:t>
      </w:r>
      <w:r>
        <w:rPr>
          <w:rStyle w:val="55"/>
        </w:rPr>
        <w:t xml:space="preserve"> 拟建项目工艺流程和产排污环节</w:t>
      </w:r>
      <w:r>
        <w:tab/>
      </w:r>
      <w:r>
        <w:fldChar w:fldCharType="begin"/>
      </w:r>
      <w:r>
        <w:instrText xml:space="preserve"> PAGEREF _Toc230448030 \h </w:instrText>
      </w:r>
      <w:r>
        <w:fldChar w:fldCharType="separate"/>
      </w:r>
      <w:r>
        <w:t>44</w:t>
      </w:r>
      <w:r>
        <w:fldChar w:fldCharType="end"/>
      </w:r>
      <w:r>
        <w:fldChar w:fldCharType="end"/>
      </w:r>
    </w:p>
    <w:p w14:paraId="6069A0E1">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"_Toc230448031" </w:instrText>
      </w:r>
      <w:r>
        <w:fldChar w:fldCharType="separate"/>
      </w:r>
      <w:r>
        <w:rPr>
          <w:rStyle w:val="55"/>
          <w14:scene3d w14:prst="orthographicFront">
            <w14:lightRig w14:rig="threePt" w14:dir="t">
              <w14:rot w14:lat="0" w14:lon="0" w14:rev="0"/>
            </w14:lightRig>
          </w14:scene3d>
        </w:rPr>
        <w:t>2.14.</w:t>
      </w:r>
      <w:r>
        <w:rPr>
          <w:rStyle w:val="55"/>
        </w:rPr>
        <w:t xml:space="preserve"> 物料平衡</w:t>
      </w:r>
      <w:r>
        <w:tab/>
      </w:r>
      <w:r>
        <w:fldChar w:fldCharType="begin"/>
      </w:r>
      <w:r>
        <w:instrText xml:space="preserve"> PAGEREF _Toc230448031 \h </w:instrText>
      </w:r>
      <w:r>
        <w:fldChar w:fldCharType="separate"/>
      </w:r>
      <w:r>
        <w:t>45</w:t>
      </w:r>
      <w:r>
        <w:fldChar w:fldCharType="end"/>
      </w:r>
      <w:r>
        <w:fldChar w:fldCharType="end"/>
      </w:r>
    </w:p>
    <w:p w14:paraId="74FFD849">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"_Toc230448032" </w:instrText>
      </w:r>
      <w:r>
        <w:fldChar w:fldCharType="separate"/>
      </w:r>
      <w:r>
        <w:rPr>
          <w:rStyle w:val="55"/>
          <w14:scene3d w14:prst="orthographicFront">
            <w14:lightRig w14:rig="threePt" w14:dir="t">
              <w14:rot w14:lat="0" w14:lon="0" w14:rev="0"/>
            </w14:lightRig>
          </w14:scene3d>
        </w:rPr>
        <w:t>2.15.</w:t>
      </w:r>
      <w:r>
        <w:rPr>
          <w:rStyle w:val="55"/>
        </w:rPr>
        <w:t xml:space="preserve"> 已建工程环保手续执行情况</w:t>
      </w:r>
      <w:r>
        <w:tab/>
      </w:r>
      <w:r>
        <w:fldChar w:fldCharType="begin"/>
      </w:r>
      <w:r>
        <w:instrText xml:space="preserve"> PAGEREF _Toc230448032 \h </w:instrText>
      </w:r>
      <w:r>
        <w:fldChar w:fldCharType="separate"/>
      </w:r>
      <w:r>
        <w:t>47</w:t>
      </w:r>
      <w:r>
        <w:fldChar w:fldCharType="end"/>
      </w:r>
      <w:r>
        <w:fldChar w:fldCharType="end"/>
      </w:r>
    </w:p>
    <w:p w14:paraId="7B87BF17">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"_Toc230448033" </w:instrText>
      </w:r>
      <w:r>
        <w:fldChar w:fldCharType="separate"/>
      </w:r>
      <w:r>
        <w:rPr>
          <w:rStyle w:val="55"/>
          <w14:scene3d w14:prst="orthographicFront">
            <w14:lightRig w14:rig="threePt" w14:dir="t">
              <w14:rot w14:lat="0" w14:lon="0" w14:rev="0"/>
            </w14:lightRig>
          </w14:scene3d>
        </w:rPr>
        <w:t>2.16.</w:t>
      </w:r>
      <w:r>
        <w:rPr>
          <w:rStyle w:val="55"/>
        </w:rPr>
        <w:t xml:space="preserve"> 现有工程污染物实际排放总量</w:t>
      </w:r>
      <w:r>
        <w:tab/>
      </w:r>
      <w:r>
        <w:fldChar w:fldCharType="begin"/>
      </w:r>
      <w:r>
        <w:instrText xml:space="preserve"> PAGEREF _Toc230448033 \h </w:instrText>
      </w:r>
      <w:r>
        <w:fldChar w:fldCharType="separate"/>
      </w:r>
      <w:r>
        <w:t>51</w:t>
      </w:r>
      <w:r>
        <w:fldChar w:fldCharType="end"/>
      </w:r>
      <w:r>
        <w:fldChar w:fldCharType="end"/>
      </w:r>
    </w:p>
    <w:p w14:paraId="0B97435E">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"_Toc230448034" </w:instrText>
      </w:r>
      <w:r>
        <w:fldChar w:fldCharType="separate"/>
      </w:r>
      <w:r>
        <w:rPr>
          <w:rStyle w:val="55"/>
          <w14:scene3d w14:prst="orthographicFront">
            <w14:lightRig w14:rig="threePt" w14:dir="t">
              <w14:rot w14:lat="0" w14:lon="0" w14:rev="0"/>
            </w14:lightRig>
          </w14:scene3d>
        </w:rPr>
        <w:t>2.17.</w:t>
      </w:r>
      <w:r>
        <w:rPr>
          <w:rStyle w:val="55"/>
        </w:rPr>
        <w:t xml:space="preserve"> 与该项目有关的主要环境问题及整改措施</w:t>
      </w:r>
      <w:r>
        <w:tab/>
      </w:r>
      <w:r>
        <w:fldChar w:fldCharType="begin"/>
      </w:r>
      <w:r>
        <w:instrText xml:space="preserve"> PAGEREF _Toc230448034 \h </w:instrText>
      </w:r>
      <w:r>
        <w:fldChar w:fldCharType="separate"/>
      </w:r>
      <w:r>
        <w:t>52</w:t>
      </w:r>
      <w:r>
        <w:fldChar w:fldCharType="end"/>
      </w:r>
      <w:r>
        <w:fldChar w:fldCharType="end"/>
      </w:r>
    </w:p>
    <w:p w14:paraId="62D98A8F">
      <w:pPr>
        <w:pStyle w:val="30"/>
        <w:tabs>
          <w:tab w:val="right" w:leader="dot" w:pos="8834"/>
        </w:tabs>
        <w:rPr>
          <w:rFonts w:asciiTheme="minorHAnsi" w:hAnsiTheme="minorHAnsi" w:eastAsiaTheme="minorEastAsia" w:cstheme="minorBidi"/>
          <w:b w:val="0"/>
          <w:bCs w:val="0"/>
          <w:caps w:val="0"/>
          <w:kern w:val="2"/>
          <w:sz w:val="21"/>
          <w:szCs w:val="24"/>
        </w:rPr>
      </w:pPr>
      <w:r>
        <w:fldChar w:fldCharType="begin"/>
      </w:r>
      <w:r>
        <w:instrText xml:space="preserve"> HYPERLINK \l "_Toc230448035" </w:instrText>
      </w:r>
      <w:r>
        <w:fldChar w:fldCharType="separate"/>
      </w:r>
      <w:r>
        <w:rPr>
          <w:rStyle w:val="55"/>
        </w:rPr>
        <w:t>（三）区域环境质量现状、环境保护目标及评价标准</w:t>
      </w:r>
      <w:r>
        <w:tab/>
      </w:r>
      <w:r>
        <w:fldChar w:fldCharType="begin"/>
      </w:r>
      <w:r>
        <w:instrText xml:space="preserve"> PAGEREF _Toc230448035 \h </w:instrText>
      </w:r>
      <w:r>
        <w:fldChar w:fldCharType="separate"/>
      </w:r>
      <w:r>
        <w:t>53</w:t>
      </w:r>
      <w:r>
        <w:fldChar w:fldCharType="end"/>
      </w:r>
      <w:r>
        <w:fldChar w:fldCharType="end"/>
      </w:r>
    </w:p>
    <w:p w14:paraId="617913C8">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"_Toc230448036" </w:instrText>
      </w:r>
      <w:r>
        <w:fldChar w:fldCharType="separate"/>
      </w:r>
      <w:r>
        <w:rPr>
          <w:rStyle w:val="55"/>
          <w14:scene3d w14:prst="orthographicFront">
            <w14:lightRig w14:rig="threePt" w14:dir="t">
              <w14:rot w14:lat="0" w14:lon="0" w14:rev="0"/>
            </w14:lightRig>
          </w14:scene3d>
        </w:rPr>
        <w:t>3.1.</w:t>
      </w:r>
      <w:r>
        <w:rPr>
          <w:rStyle w:val="55"/>
        </w:rPr>
        <w:t xml:space="preserve"> 环境空气质量现状调查与评价</w:t>
      </w:r>
      <w:r>
        <w:tab/>
      </w:r>
      <w:r>
        <w:fldChar w:fldCharType="begin"/>
      </w:r>
      <w:r>
        <w:instrText xml:space="preserve"> PAGEREF _Toc230448036 \h </w:instrText>
      </w:r>
      <w:r>
        <w:fldChar w:fldCharType="separate"/>
      </w:r>
      <w:r>
        <w:t>53</w:t>
      </w:r>
      <w:r>
        <w:fldChar w:fldCharType="end"/>
      </w:r>
      <w:r>
        <w:fldChar w:fldCharType="end"/>
      </w:r>
    </w:p>
    <w:p w14:paraId="1E48F3B8">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"_Toc230448037" </w:instrText>
      </w:r>
      <w:r>
        <w:fldChar w:fldCharType="separate"/>
      </w:r>
      <w:r>
        <w:rPr>
          <w:rStyle w:val="55"/>
          <w14:scene3d w14:prst="orthographicFront">
            <w14:lightRig w14:rig="threePt" w14:dir="t">
              <w14:rot w14:lat="0" w14:lon="0" w14:rev="0"/>
            </w14:lightRig>
          </w14:scene3d>
        </w:rPr>
        <w:t>3.2.</w:t>
      </w:r>
      <w:r>
        <w:rPr>
          <w:rStyle w:val="55"/>
        </w:rPr>
        <w:t xml:space="preserve"> 海域环境质量现状调查与评价</w:t>
      </w:r>
      <w:r>
        <w:tab/>
      </w:r>
      <w:r>
        <w:fldChar w:fldCharType="begin"/>
      </w:r>
      <w:r>
        <w:instrText xml:space="preserve"> PAGEREF _Toc230448037 \h </w:instrText>
      </w:r>
      <w:r>
        <w:fldChar w:fldCharType="separate"/>
      </w:r>
      <w:r>
        <w:t>57</w:t>
      </w:r>
      <w:r>
        <w:fldChar w:fldCharType="end"/>
      </w:r>
      <w:r>
        <w:fldChar w:fldCharType="end"/>
      </w:r>
    </w:p>
    <w:p w14:paraId="498782DF">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"_Toc230448038" </w:instrText>
      </w:r>
      <w:r>
        <w:fldChar w:fldCharType="separate"/>
      </w:r>
      <w:r>
        <w:rPr>
          <w:rStyle w:val="55"/>
          <w14:scene3d w14:prst="orthographicFront">
            <w14:lightRig w14:rig="threePt" w14:dir="t">
              <w14:rot w14:lat="0" w14:lon="0" w14:rev="0"/>
            </w14:lightRig>
          </w14:scene3d>
        </w:rPr>
        <w:t>3.3.</w:t>
      </w:r>
      <w:r>
        <w:rPr>
          <w:rStyle w:val="55"/>
        </w:rPr>
        <w:t xml:space="preserve"> 地表水环境质量现状调查评价</w:t>
      </w:r>
      <w:r>
        <w:tab/>
      </w:r>
      <w:r>
        <w:fldChar w:fldCharType="begin"/>
      </w:r>
      <w:r>
        <w:instrText xml:space="preserve"> PAGEREF _Toc230448038 \h </w:instrText>
      </w:r>
      <w:r>
        <w:fldChar w:fldCharType="separate"/>
      </w:r>
      <w:r>
        <w:t>64</w:t>
      </w:r>
      <w:r>
        <w:fldChar w:fldCharType="end"/>
      </w:r>
      <w:r>
        <w:fldChar w:fldCharType="end"/>
      </w:r>
    </w:p>
    <w:p w14:paraId="2CD8C393">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"_Toc230448039" </w:instrText>
      </w:r>
      <w:r>
        <w:fldChar w:fldCharType="separate"/>
      </w:r>
      <w:r>
        <w:rPr>
          <w:rStyle w:val="55"/>
          <w14:scene3d w14:prst="orthographicFront">
            <w14:lightRig w14:rig="threePt" w14:dir="t">
              <w14:rot w14:lat="0" w14:lon="0" w14:rev="0"/>
            </w14:lightRig>
          </w14:scene3d>
        </w:rPr>
        <w:t>3.4.</w:t>
      </w:r>
      <w:r>
        <w:rPr>
          <w:rStyle w:val="55"/>
        </w:rPr>
        <w:t xml:space="preserve"> 地下水环境质量现状调查与评价</w:t>
      </w:r>
      <w:r>
        <w:tab/>
      </w:r>
      <w:r>
        <w:fldChar w:fldCharType="begin"/>
      </w:r>
      <w:r>
        <w:instrText xml:space="preserve"> PAGEREF _Toc230448039 \h </w:instrText>
      </w:r>
      <w:r>
        <w:fldChar w:fldCharType="separate"/>
      </w:r>
      <w:r>
        <w:t>69</w:t>
      </w:r>
      <w:r>
        <w:fldChar w:fldCharType="end"/>
      </w:r>
      <w:r>
        <w:fldChar w:fldCharType="end"/>
      </w:r>
    </w:p>
    <w:p w14:paraId="59F51137">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"_Toc230448040" </w:instrText>
      </w:r>
      <w:r>
        <w:fldChar w:fldCharType="separate"/>
      </w:r>
      <w:r>
        <w:rPr>
          <w:rStyle w:val="55"/>
          <w14:scene3d w14:prst="orthographicFront">
            <w14:lightRig w14:rig="threePt" w14:dir="t">
              <w14:rot w14:lat="0" w14:lon="0" w14:rev="0"/>
            </w14:lightRig>
          </w14:scene3d>
        </w:rPr>
        <w:t>3.5.</w:t>
      </w:r>
      <w:r>
        <w:rPr>
          <w:rStyle w:val="55"/>
        </w:rPr>
        <w:t xml:space="preserve"> 土壤环境质量现状调查与评价</w:t>
      </w:r>
      <w:r>
        <w:tab/>
      </w:r>
      <w:r>
        <w:fldChar w:fldCharType="begin"/>
      </w:r>
      <w:r>
        <w:instrText xml:space="preserve"> PAGEREF _Toc230448040 \h </w:instrText>
      </w:r>
      <w:r>
        <w:fldChar w:fldCharType="separate"/>
      </w:r>
      <w:r>
        <w:t>71</w:t>
      </w:r>
      <w:r>
        <w:fldChar w:fldCharType="end"/>
      </w:r>
      <w:r>
        <w:fldChar w:fldCharType="end"/>
      </w:r>
    </w:p>
    <w:p w14:paraId="296190B6">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"_Toc230448041" </w:instrText>
      </w:r>
      <w:r>
        <w:fldChar w:fldCharType="separate"/>
      </w:r>
      <w:r>
        <w:rPr>
          <w:rStyle w:val="55"/>
          <w14:scene3d w14:prst="orthographicFront">
            <w14:lightRig w14:rig="threePt" w14:dir="t">
              <w14:rot w14:lat="0" w14:lon="0" w14:rev="0"/>
            </w14:lightRig>
          </w14:scene3d>
        </w:rPr>
        <w:t>3.6.</w:t>
      </w:r>
      <w:r>
        <w:rPr>
          <w:rStyle w:val="55"/>
        </w:rPr>
        <w:t xml:space="preserve"> 声环境质量</w:t>
      </w:r>
      <w:r>
        <w:tab/>
      </w:r>
      <w:r>
        <w:fldChar w:fldCharType="begin"/>
      </w:r>
      <w:r>
        <w:instrText xml:space="preserve"> PAGEREF _Toc230448041 \h </w:instrText>
      </w:r>
      <w:r>
        <w:fldChar w:fldCharType="separate"/>
      </w:r>
      <w:r>
        <w:t>72</w:t>
      </w:r>
      <w:r>
        <w:fldChar w:fldCharType="end"/>
      </w:r>
      <w:r>
        <w:fldChar w:fldCharType="end"/>
      </w:r>
    </w:p>
    <w:p w14:paraId="0CAE73AB">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"_Toc230448042" </w:instrText>
      </w:r>
      <w:r>
        <w:fldChar w:fldCharType="separate"/>
      </w:r>
      <w:r>
        <w:rPr>
          <w:rStyle w:val="55"/>
          <w14:scene3d w14:prst="orthographicFront">
            <w14:lightRig w14:rig="threePt" w14:dir="t">
              <w14:rot w14:lat="0" w14:lon="0" w14:rev="0"/>
            </w14:lightRig>
          </w14:scene3d>
        </w:rPr>
        <w:t>3.7.</w:t>
      </w:r>
      <w:r>
        <w:rPr>
          <w:rStyle w:val="55"/>
        </w:rPr>
        <w:t xml:space="preserve"> 环境保护目标</w:t>
      </w:r>
      <w:r>
        <w:tab/>
      </w:r>
      <w:r>
        <w:fldChar w:fldCharType="begin"/>
      </w:r>
      <w:r>
        <w:instrText xml:space="preserve"> PAGEREF _Toc230448042 \h </w:instrText>
      </w:r>
      <w:r>
        <w:fldChar w:fldCharType="separate"/>
      </w:r>
      <w:r>
        <w:t>73</w:t>
      </w:r>
      <w:r>
        <w:fldChar w:fldCharType="end"/>
      </w:r>
      <w:r>
        <w:fldChar w:fldCharType="end"/>
      </w:r>
    </w:p>
    <w:p w14:paraId="7AF0B78B">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"_Toc230448043" </w:instrText>
      </w:r>
      <w:r>
        <w:fldChar w:fldCharType="separate"/>
      </w:r>
      <w:r>
        <w:rPr>
          <w:rStyle w:val="55"/>
          <w14:scene3d w14:prst="orthographicFront">
            <w14:lightRig w14:rig="threePt" w14:dir="t">
              <w14:rot w14:lat="0" w14:lon="0" w14:rev="0"/>
            </w14:lightRig>
          </w14:scene3d>
        </w:rPr>
        <w:t>3.8.</w:t>
      </w:r>
      <w:r>
        <w:rPr>
          <w:rStyle w:val="55"/>
        </w:rPr>
        <w:t xml:space="preserve"> 废气排放标准</w:t>
      </w:r>
      <w:r>
        <w:tab/>
      </w:r>
      <w:r>
        <w:fldChar w:fldCharType="begin"/>
      </w:r>
      <w:r>
        <w:instrText xml:space="preserve"> PAGEREF _Toc230448043 \h </w:instrText>
      </w:r>
      <w:r>
        <w:fldChar w:fldCharType="separate"/>
      </w:r>
      <w:r>
        <w:t>74</w:t>
      </w:r>
      <w:r>
        <w:fldChar w:fldCharType="end"/>
      </w:r>
      <w:r>
        <w:fldChar w:fldCharType="end"/>
      </w:r>
    </w:p>
    <w:p w14:paraId="79ED640B">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"_Toc230448044" </w:instrText>
      </w:r>
      <w:r>
        <w:fldChar w:fldCharType="separate"/>
      </w:r>
      <w:r>
        <w:rPr>
          <w:rStyle w:val="55"/>
          <w14:scene3d w14:prst="orthographicFront">
            <w14:lightRig w14:rig="threePt" w14:dir="t">
              <w14:rot w14:lat="0" w14:lon="0" w14:rev="0"/>
            </w14:lightRig>
          </w14:scene3d>
        </w:rPr>
        <w:t>3.9.</w:t>
      </w:r>
      <w:r>
        <w:rPr>
          <w:rStyle w:val="55"/>
        </w:rPr>
        <w:t xml:space="preserve"> 噪声排放标准</w:t>
      </w:r>
      <w:r>
        <w:tab/>
      </w:r>
      <w:r>
        <w:fldChar w:fldCharType="begin"/>
      </w:r>
      <w:r>
        <w:instrText xml:space="preserve"> PAGEREF _Toc230448044 \h </w:instrText>
      </w:r>
      <w:r>
        <w:fldChar w:fldCharType="separate"/>
      </w:r>
      <w:r>
        <w:t>75</w:t>
      </w:r>
      <w:r>
        <w:fldChar w:fldCharType="end"/>
      </w:r>
      <w:r>
        <w:fldChar w:fldCharType="end"/>
      </w:r>
    </w:p>
    <w:p w14:paraId="04690EEA">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"_Toc230448045" </w:instrText>
      </w:r>
      <w:r>
        <w:fldChar w:fldCharType="separate"/>
      </w:r>
      <w:r>
        <w:rPr>
          <w:rStyle w:val="55"/>
          <w14:scene3d w14:prst="orthographicFront">
            <w14:lightRig w14:rig="threePt" w14:dir="t">
              <w14:rot w14:lat="0" w14:lon="0" w14:rev="0"/>
            </w14:lightRig>
          </w14:scene3d>
        </w:rPr>
        <w:t>3.10.</w:t>
      </w:r>
      <w:r>
        <w:rPr>
          <w:rStyle w:val="55"/>
        </w:rPr>
        <w:t xml:space="preserve"> 废水排放标准</w:t>
      </w:r>
      <w:r>
        <w:tab/>
      </w:r>
      <w:r>
        <w:fldChar w:fldCharType="begin"/>
      </w:r>
      <w:r>
        <w:instrText xml:space="preserve"> PAGEREF _Toc230448045 \h </w:instrText>
      </w:r>
      <w:r>
        <w:fldChar w:fldCharType="separate"/>
      </w:r>
      <w:r>
        <w:t>75</w:t>
      </w:r>
      <w:r>
        <w:fldChar w:fldCharType="end"/>
      </w:r>
      <w:r>
        <w:fldChar w:fldCharType="end"/>
      </w:r>
    </w:p>
    <w:p w14:paraId="621A86C8">
      <w:pPr>
        <w:pStyle w:val="30"/>
        <w:tabs>
          <w:tab w:val="right" w:leader="dot" w:pos="8834"/>
        </w:tabs>
        <w:rPr>
          <w:rFonts w:asciiTheme="minorHAnsi" w:hAnsiTheme="minorHAnsi" w:eastAsiaTheme="minorEastAsia" w:cstheme="minorBidi"/>
          <w:b w:val="0"/>
          <w:bCs w:val="0"/>
          <w:caps w:val="0"/>
          <w:kern w:val="2"/>
          <w:sz w:val="21"/>
          <w:szCs w:val="24"/>
        </w:rPr>
      </w:pPr>
      <w:r>
        <w:fldChar w:fldCharType="begin"/>
      </w:r>
      <w:r>
        <w:instrText xml:space="preserve"> HYPERLINK \l "_Toc230448046" </w:instrText>
      </w:r>
      <w:r>
        <w:fldChar w:fldCharType="separate"/>
      </w:r>
      <w:r>
        <w:rPr>
          <w:rStyle w:val="55"/>
        </w:rPr>
        <w:t>（</w:t>
      </w:r>
      <w:r>
        <w:rPr>
          <w:rStyle w:val="55"/>
          <w:snapToGrid w:val="0"/>
        </w:rPr>
        <w:t>四</w:t>
      </w:r>
      <w:r>
        <w:rPr>
          <w:rStyle w:val="55"/>
        </w:rPr>
        <w:t>）</w:t>
      </w:r>
      <w:r>
        <w:rPr>
          <w:rStyle w:val="55"/>
          <w:snapToGrid w:val="0"/>
        </w:rPr>
        <w:t>主要环境影响和保护措施</w:t>
      </w:r>
      <w:r>
        <w:tab/>
      </w:r>
      <w:r>
        <w:fldChar w:fldCharType="begin"/>
      </w:r>
      <w:r>
        <w:instrText xml:space="preserve"> PAGEREF _Toc230448046 \h </w:instrText>
      </w:r>
      <w:r>
        <w:fldChar w:fldCharType="separate"/>
      </w:r>
      <w:r>
        <w:t>77</w:t>
      </w:r>
      <w:r>
        <w:fldChar w:fldCharType="end"/>
      </w:r>
      <w:r>
        <w:fldChar w:fldCharType="end"/>
      </w:r>
    </w:p>
    <w:p w14:paraId="57756595">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"_Toc230448047" </w:instrText>
      </w:r>
      <w:r>
        <w:fldChar w:fldCharType="separate"/>
      </w:r>
      <w:r>
        <w:rPr>
          <w:rStyle w:val="55"/>
          <w14:scene3d w14:prst="orthographicFront">
            <w14:lightRig w14:rig="threePt" w14:dir="t">
              <w14:rot w14:lat="0" w14:lon="0" w14:rev="0"/>
            </w14:lightRig>
          </w14:scene3d>
        </w:rPr>
        <w:t>4.1.</w:t>
      </w:r>
      <w:r>
        <w:rPr>
          <w:rStyle w:val="55"/>
        </w:rPr>
        <w:t xml:space="preserve"> 废气影响分析及污染防治措施</w:t>
      </w:r>
      <w:r>
        <w:tab/>
      </w:r>
      <w:r>
        <w:fldChar w:fldCharType="begin"/>
      </w:r>
      <w:r>
        <w:instrText xml:space="preserve"> PAGEREF _Toc230448047 \h </w:instrText>
      </w:r>
      <w:r>
        <w:fldChar w:fldCharType="separate"/>
      </w:r>
      <w:r>
        <w:t>77</w:t>
      </w:r>
      <w:r>
        <w:fldChar w:fldCharType="end"/>
      </w:r>
      <w:r>
        <w:fldChar w:fldCharType="end"/>
      </w:r>
    </w:p>
    <w:p w14:paraId="6BC52D44">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"_Toc230448048" </w:instrText>
      </w:r>
      <w:r>
        <w:fldChar w:fldCharType="separate"/>
      </w:r>
      <w:r>
        <w:rPr>
          <w:rStyle w:val="55"/>
          <w14:scene3d w14:prst="orthographicFront">
            <w14:lightRig w14:rig="threePt" w14:dir="t">
              <w14:rot w14:lat="0" w14:lon="0" w14:rev="0"/>
            </w14:lightRig>
          </w14:scene3d>
        </w:rPr>
        <w:t>4.2.</w:t>
      </w:r>
      <w:r>
        <w:rPr>
          <w:rStyle w:val="55"/>
        </w:rPr>
        <w:t xml:space="preserve"> 废水影响分析及污染防治措施</w:t>
      </w:r>
      <w:r>
        <w:tab/>
      </w:r>
      <w:r>
        <w:fldChar w:fldCharType="begin"/>
      </w:r>
      <w:r>
        <w:instrText xml:space="preserve"> PAGEREF _Toc230448048 \h </w:instrText>
      </w:r>
      <w:r>
        <w:fldChar w:fldCharType="separate"/>
      </w:r>
      <w:r>
        <w:t>78</w:t>
      </w:r>
      <w:r>
        <w:fldChar w:fldCharType="end"/>
      </w:r>
      <w:r>
        <w:fldChar w:fldCharType="end"/>
      </w:r>
    </w:p>
    <w:p w14:paraId="086C3DC3">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"_Toc230448049" </w:instrText>
      </w:r>
      <w:r>
        <w:fldChar w:fldCharType="separate"/>
      </w:r>
      <w:r>
        <w:rPr>
          <w:rStyle w:val="55"/>
          <w14:scene3d w14:prst="orthographicFront">
            <w14:lightRig w14:rig="threePt" w14:dir="t">
              <w14:rot w14:lat="0" w14:lon="0" w14:rev="0"/>
            </w14:lightRig>
          </w14:scene3d>
        </w:rPr>
        <w:t>4.3.</w:t>
      </w:r>
      <w:r>
        <w:rPr>
          <w:rStyle w:val="55"/>
        </w:rPr>
        <w:t xml:space="preserve"> 噪声影响分析及污染防治措施</w:t>
      </w:r>
      <w:r>
        <w:tab/>
      </w:r>
      <w:r>
        <w:fldChar w:fldCharType="begin"/>
      </w:r>
      <w:r>
        <w:instrText xml:space="preserve"> PAGEREF _Toc230448049 \h </w:instrText>
      </w:r>
      <w:r>
        <w:fldChar w:fldCharType="separate"/>
      </w:r>
      <w:r>
        <w:t>79</w:t>
      </w:r>
      <w:r>
        <w:fldChar w:fldCharType="end"/>
      </w:r>
      <w:r>
        <w:fldChar w:fldCharType="end"/>
      </w:r>
    </w:p>
    <w:p w14:paraId="13C2B7DB">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"_Toc230448050" </w:instrText>
      </w:r>
      <w:r>
        <w:fldChar w:fldCharType="separate"/>
      </w:r>
      <w:r>
        <w:rPr>
          <w:rStyle w:val="55"/>
          <w14:scene3d w14:prst="orthographicFront">
            <w14:lightRig w14:rig="threePt" w14:dir="t">
              <w14:rot w14:lat="0" w14:lon="0" w14:rev="0"/>
            </w14:lightRig>
          </w14:scene3d>
        </w:rPr>
        <w:t>4.4.</w:t>
      </w:r>
      <w:r>
        <w:rPr>
          <w:rStyle w:val="55"/>
        </w:rPr>
        <w:t xml:space="preserve"> 固体废物影响分析及污染防治措施</w:t>
      </w:r>
      <w:r>
        <w:tab/>
      </w:r>
      <w:r>
        <w:fldChar w:fldCharType="begin"/>
      </w:r>
      <w:r>
        <w:instrText xml:space="preserve"> PAGEREF _Toc230448050 \h </w:instrText>
      </w:r>
      <w:r>
        <w:fldChar w:fldCharType="separate"/>
      </w:r>
      <w:r>
        <w:t>80</w:t>
      </w:r>
      <w:r>
        <w:fldChar w:fldCharType="end"/>
      </w:r>
      <w:r>
        <w:fldChar w:fldCharType="end"/>
      </w:r>
    </w:p>
    <w:p w14:paraId="2BA1AE12">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"_Toc230448051" </w:instrText>
      </w:r>
      <w:r>
        <w:fldChar w:fldCharType="separate"/>
      </w:r>
      <w:r>
        <w:rPr>
          <w:rStyle w:val="55"/>
          <w14:scene3d w14:prst="orthographicFront">
            <w14:lightRig w14:rig="threePt" w14:dir="t">
              <w14:rot w14:lat="0" w14:lon="0" w14:rev="0"/>
            </w14:lightRig>
          </w14:scene3d>
        </w:rPr>
        <w:t>4.5.</w:t>
      </w:r>
      <w:r>
        <w:rPr>
          <w:rStyle w:val="55"/>
        </w:rPr>
        <w:t xml:space="preserve"> 生态环境影响分析及污染防治措施</w:t>
      </w:r>
      <w:r>
        <w:tab/>
      </w:r>
      <w:r>
        <w:fldChar w:fldCharType="begin"/>
      </w:r>
      <w:r>
        <w:instrText xml:space="preserve"> PAGEREF _Toc230448051 \h </w:instrText>
      </w:r>
      <w:r>
        <w:fldChar w:fldCharType="separate"/>
      </w:r>
      <w:r>
        <w:t>80</w:t>
      </w:r>
      <w:r>
        <w:fldChar w:fldCharType="end"/>
      </w:r>
      <w:r>
        <w:fldChar w:fldCharType="end"/>
      </w:r>
    </w:p>
    <w:p w14:paraId="72B60499">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"_Toc230448052" </w:instrText>
      </w:r>
      <w:r>
        <w:fldChar w:fldCharType="separate"/>
      </w:r>
      <w:r>
        <w:rPr>
          <w:rStyle w:val="55"/>
          <w14:scene3d w14:prst="orthographicFront">
            <w14:lightRig w14:rig="threePt" w14:dir="t">
              <w14:rot w14:lat="0" w14:lon="0" w14:rev="0"/>
            </w14:lightRig>
          </w14:scene3d>
        </w:rPr>
        <w:t>4.6.</w:t>
      </w:r>
      <w:r>
        <w:rPr>
          <w:rStyle w:val="55"/>
        </w:rPr>
        <w:t xml:space="preserve"> 大气环境影响及保护措施</w:t>
      </w:r>
      <w:r>
        <w:tab/>
      </w:r>
      <w:r>
        <w:fldChar w:fldCharType="begin"/>
      </w:r>
      <w:r>
        <w:instrText xml:space="preserve"> PAGEREF _Toc230448052 \h </w:instrText>
      </w:r>
      <w:r>
        <w:fldChar w:fldCharType="separate"/>
      </w:r>
      <w:r>
        <w:t>81</w:t>
      </w:r>
      <w:r>
        <w:fldChar w:fldCharType="end"/>
      </w:r>
      <w:r>
        <w:fldChar w:fldCharType="end"/>
      </w:r>
    </w:p>
    <w:p w14:paraId="2FFB50FF">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"_Toc230448053" </w:instrText>
      </w:r>
      <w:r>
        <w:fldChar w:fldCharType="separate"/>
      </w:r>
      <w:r>
        <w:rPr>
          <w:rStyle w:val="55"/>
          <w14:scene3d w14:prst="orthographicFront">
            <w14:lightRig w14:rig="threePt" w14:dir="t">
              <w14:rot w14:lat="0" w14:lon="0" w14:rev="0"/>
            </w14:lightRig>
          </w14:scene3d>
        </w:rPr>
        <w:t>4.7.</w:t>
      </w:r>
      <w:r>
        <w:rPr>
          <w:rStyle w:val="55"/>
        </w:rPr>
        <w:t xml:space="preserve"> 废水环境影响及保护措施</w:t>
      </w:r>
      <w:r>
        <w:tab/>
      </w:r>
      <w:r>
        <w:fldChar w:fldCharType="begin"/>
      </w:r>
      <w:r>
        <w:instrText xml:space="preserve"> PAGEREF _Toc230448053 \h </w:instrText>
      </w:r>
      <w:r>
        <w:fldChar w:fldCharType="separate"/>
      </w:r>
      <w:r>
        <w:t>102</w:t>
      </w:r>
      <w:r>
        <w:fldChar w:fldCharType="end"/>
      </w:r>
      <w:r>
        <w:fldChar w:fldCharType="end"/>
      </w:r>
    </w:p>
    <w:p w14:paraId="31B0DA82">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"_Toc230448054" </w:instrText>
      </w:r>
      <w:r>
        <w:fldChar w:fldCharType="separate"/>
      </w:r>
      <w:r>
        <w:rPr>
          <w:rStyle w:val="55"/>
          <w14:scene3d w14:prst="orthographicFront">
            <w14:lightRig w14:rig="threePt" w14:dir="t">
              <w14:rot w14:lat="0" w14:lon="0" w14:rev="0"/>
            </w14:lightRig>
          </w14:scene3d>
        </w:rPr>
        <w:t>4.8.</w:t>
      </w:r>
      <w:r>
        <w:rPr>
          <w:rStyle w:val="55"/>
        </w:rPr>
        <w:t xml:space="preserve"> 噪声影响及保护措施</w:t>
      </w:r>
      <w:r>
        <w:tab/>
      </w:r>
      <w:r>
        <w:fldChar w:fldCharType="begin"/>
      </w:r>
      <w:r>
        <w:instrText xml:space="preserve"> PAGEREF _Toc230448054 \h </w:instrText>
      </w:r>
      <w:r>
        <w:fldChar w:fldCharType="separate"/>
      </w:r>
      <w:r>
        <w:t>107</w:t>
      </w:r>
      <w:r>
        <w:fldChar w:fldCharType="end"/>
      </w:r>
      <w:r>
        <w:fldChar w:fldCharType="end"/>
      </w:r>
    </w:p>
    <w:p w14:paraId="378EDD67">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"_Toc230448055" </w:instrText>
      </w:r>
      <w:r>
        <w:fldChar w:fldCharType="separate"/>
      </w:r>
      <w:r>
        <w:rPr>
          <w:rStyle w:val="55"/>
          <w14:scene3d w14:prst="orthographicFront">
            <w14:lightRig w14:rig="threePt" w14:dir="t">
              <w14:rot w14:lat="0" w14:lon="0" w14:rev="0"/>
            </w14:lightRig>
          </w14:scene3d>
        </w:rPr>
        <w:t>4.9.</w:t>
      </w:r>
      <w:r>
        <w:rPr>
          <w:rStyle w:val="55"/>
        </w:rPr>
        <w:t xml:space="preserve"> 固废环境影响及防治措施</w:t>
      </w:r>
      <w:r>
        <w:tab/>
      </w:r>
      <w:r>
        <w:fldChar w:fldCharType="begin"/>
      </w:r>
      <w:r>
        <w:instrText xml:space="preserve"> PAGEREF _Toc230448055 \h </w:instrText>
      </w:r>
      <w:r>
        <w:fldChar w:fldCharType="separate"/>
      </w:r>
      <w:r>
        <w:t>113</w:t>
      </w:r>
      <w:r>
        <w:fldChar w:fldCharType="end"/>
      </w:r>
      <w:r>
        <w:fldChar w:fldCharType="end"/>
      </w:r>
    </w:p>
    <w:p w14:paraId="2F5D6A42">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"_Toc230448056" </w:instrText>
      </w:r>
      <w:r>
        <w:fldChar w:fldCharType="separate"/>
      </w:r>
      <w:r>
        <w:rPr>
          <w:rStyle w:val="55"/>
          <w14:scene3d w14:prst="orthographicFront">
            <w14:lightRig w14:rig="threePt" w14:dir="t">
              <w14:rot w14:lat="0" w14:lon="0" w14:rev="0"/>
            </w14:lightRig>
          </w14:scene3d>
        </w:rPr>
        <w:t>4.10.</w:t>
      </w:r>
      <w:r>
        <w:rPr>
          <w:rStyle w:val="55"/>
        </w:rPr>
        <w:t xml:space="preserve"> 地下水、土壤环境影响及防治措施</w:t>
      </w:r>
      <w:r>
        <w:tab/>
      </w:r>
      <w:r>
        <w:fldChar w:fldCharType="begin"/>
      </w:r>
      <w:r>
        <w:instrText xml:space="preserve"> PAGEREF _Toc230448056 \h </w:instrText>
      </w:r>
      <w:r>
        <w:fldChar w:fldCharType="separate"/>
      </w:r>
      <w:r>
        <w:t>118</w:t>
      </w:r>
      <w:r>
        <w:fldChar w:fldCharType="end"/>
      </w:r>
      <w:r>
        <w:fldChar w:fldCharType="end"/>
      </w:r>
    </w:p>
    <w:p w14:paraId="0ADDDC8A">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"_Toc230448057" </w:instrText>
      </w:r>
      <w:r>
        <w:fldChar w:fldCharType="separate"/>
      </w:r>
      <w:r>
        <w:rPr>
          <w:rStyle w:val="55"/>
          <w14:scene3d w14:prst="orthographicFront">
            <w14:lightRig w14:rig="threePt" w14:dir="t">
              <w14:rot w14:lat="0" w14:lon="0" w14:rev="0"/>
            </w14:lightRig>
          </w14:scene3d>
        </w:rPr>
        <w:t>4.11.</w:t>
      </w:r>
      <w:r>
        <w:rPr>
          <w:rStyle w:val="55"/>
        </w:rPr>
        <w:t xml:space="preserve"> 生态环境影响</w:t>
      </w:r>
      <w:r>
        <w:tab/>
      </w:r>
      <w:r>
        <w:fldChar w:fldCharType="begin"/>
      </w:r>
      <w:r>
        <w:instrText xml:space="preserve"> PAGEREF _Toc230448057 \h </w:instrText>
      </w:r>
      <w:r>
        <w:fldChar w:fldCharType="separate"/>
      </w:r>
      <w:r>
        <w:t>122</w:t>
      </w:r>
      <w:r>
        <w:fldChar w:fldCharType="end"/>
      </w:r>
      <w:r>
        <w:fldChar w:fldCharType="end"/>
      </w:r>
    </w:p>
    <w:p w14:paraId="4AA3E5B7">
      <w:pPr>
        <w:pStyle w:val="37"/>
        <w:tabs>
          <w:tab w:val="right" w:leader="dot" w:pos="8834"/>
        </w:tabs>
        <w:rPr>
          <w:rFonts w:asciiTheme="minorHAnsi" w:hAnsiTheme="minorHAnsi" w:eastAsiaTheme="minorEastAsia" w:cstheme="minorBidi"/>
          <w:smallCaps w:val="0"/>
          <w:kern w:val="2"/>
          <w:sz w:val="21"/>
          <w:szCs w:val="24"/>
        </w:rPr>
      </w:pPr>
      <w:r>
        <w:fldChar w:fldCharType="begin"/>
      </w:r>
      <w:r>
        <w:instrText xml:space="preserve"> HYPERLINK \l "_Toc230448058" </w:instrText>
      </w:r>
      <w:r>
        <w:fldChar w:fldCharType="separate"/>
      </w:r>
      <w:r>
        <w:rPr>
          <w:rStyle w:val="55"/>
          <w14:scene3d w14:prst="orthographicFront">
            <w14:lightRig w14:rig="threePt" w14:dir="t">
              <w14:rot w14:lat="0" w14:lon="0" w14:rev="0"/>
            </w14:lightRig>
          </w14:scene3d>
        </w:rPr>
        <w:t>4.12.</w:t>
      </w:r>
      <w:r>
        <w:rPr>
          <w:rStyle w:val="55"/>
        </w:rPr>
        <w:t xml:space="preserve"> 环境风险影响及防治措施</w:t>
      </w:r>
      <w:r>
        <w:tab/>
      </w:r>
      <w:r>
        <w:fldChar w:fldCharType="begin"/>
      </w:r>
      <w:r>
        <w:instrText xml:space="preserve"> PAGEREF _Toc230448058 \h </w:instrText>
      </w:r>
      <w:r>
        <w:fldChar w:fldCharType="separate"/>
      </w:r>
      <w:r>
        <w:t>124</w:t>
      </w:r>
      <w:r>
        <w:fldChar w:fldCharType="end"/>
      </w:r>
      <w:r>
        <w:fldChar w:fldCharType="end"/>
      </w:r>
    </w:p>
    <w:p w14:paraId="317BF386">
      <w:pPr>
        <w:pStyle w:val="30"/>
        <w:tabs>
          <w:tab w:val="right" w:leader="dot" w:pos="8834"/>
        </w:tabs>
        <w:rPr>
          <w:rFonts w:asciiTheme="minorHAnsi" w:hAnsiTheme="minorHAnsi" w:eastAsiaTheme="minorEastAsia" w:cstheme="minorBidi"/>
          <w:b w:val="0"/>
          <w:bCs w:val="0"/>
          <w:caps w:val="0"/>
          <w:kern w:val="2"/>
          <w:sz w:val="21"/>
          <w:szCs w:val="24"/>
        </w:rPr>
      </w:pPr>
      <w:r>
        <w:fldChar w:fldCharType="begin"/>
      </w:r>
      <w:r>
        <w:instrText xml:space="preserve"> HYPERLINK \l "_Toc230448059" </w:instrText>
      </w:r>
      <w:r>
        <w:fldChar w:fldCharType="separate"/>
      </w:r>
      <w:r>
        <w:rPr>
          <w:rStyle w:val="55"/>
        </w:rPr>
        <w:t>（</w:t>
      </w:r>
      <w:r>
        <w:rPr>
          <w:rStyle w:val="55"/>
          <w:snapToGrid w:val="0"/>
        </w:rPr>
        <w:t>五</w:t>
      </w:r>
      <w:r>
        <w:rPr>
          <w:rStyle w:val="55"/>
        </w:rPr>
        <w:t>）</w:t>
      </w:r>
      <w:r>
        <w:rPr>
          <w:rStyle w:val="55"/>
          <w:snapToGrid w:val="0"/>
        </w:rPr>
        <w:t>环境保护措施监督检查清单</w:t>
      </w:r>
      <w:r>
        <w:tab/>
      </w:r>
      <w:r>
        <w:fldChar w:fldCharType="begin"/>
      </w:r>
      <w:r>
        <w:instrText xml:space="preserve"> PAGEREF _Toc230448059 \h </w:instrText>
      </w:r>
      <w:r>
        <w:fldChar w:fldCharType="separate"/>
      </w:r>
      <w:r>
        <w:t>129</w:t>
      </w:r>
      <w:r>
        <w:fldChar w:fldCharType="end"/>
      </w:r>
      <w:r>
        <w:fldChar w:fldCharType="end"/>
      </w:r>
    </w:p>
    <w:p w14:paraId="7851E052">
      <w:pPr>
        <w:pStyle w:val="30"/>
        <w:tabs>
          <w:tab w:val="right" w:leader="dot" w:pos="8834"/>
        </w:tabs>
        <w:rPr>
          <w:rFonts w:asciiTheme="minorHAnsi" w:hAnsiTheme="minorHAnsi" w:eastAsiaTheme="minorEastAsia" w:cstheme="minorBidi"/>
          <w:b w:val="0"/>
          <w:bCs w:val="0"/>
          <w:caps w:val="0"/>
          <w:kern w:val="2"/>
          <w:sz w:val="21"/>
          <w:szCs w:val="24"/>
        </w:rPr>
      </w:pPr>
      <w:r>
        <w:fldChar w:fldCharType="begin"/>
      </w:r>
      <w:r>
        <w:instrText xml:space="preserve"> HYPERLINK \l "_Toc230448060" </w:instrText>
      </w:r>
      <w:r>
        <w:fldChar w:fldCharType="separate"/>
      </w:r>
      <w:r>
        <w:rPr>
          <w:rStyle w:val="55"/>
          <w:snapToGrid w:val="0"/>
        </w:rPr>
        <w:t>（六）结论</w:t>
      </w:r>
      <w:r>
        <w:tab/>
      </w:r>
      <w:r>
        <w:fldChar w:fldCharType="begin"/>
      </w:r>
      <w:r>
        <w:instrText xml:space="preserve"> PAGEREF _Toc230448060 \h </w:instrText>
      </w:r>
      <w:r>
        <w:fldChar w:fldCharType="separate"/>
      </w:r>
      <w:r>
        <w:t>131</w:t>
      </w:r>
      <w:r>
        <w:fldChar w:fldCharType="end"/>
      </w:r>
      <w:r>
        <w:fldChar w:fldCharType="end"/>
      </w:r>
    </w:p>
    <w:p w14:paraId="605B81D4">
      <w:pPr>
        <w:adjustRightInd w:val="0"/>
        <w:snapToGrid w:val="0"/>
        <w:spacing w:line="440" w:lineRule="atLeast"/>
        <w:ind w:firstLine="480"/>
        <w:rPr>
          <w:rFonts w:cs="Times New Roman"/>
          <w:bCs/>
          <w:color w:val="000000" w:themeColor="text1"/>
          <w14:textFill>
            <w14:solidFill>
              <w14:schemeClr w14:val="tx1"/>
            </w14:solidFill>
          </w14:textFill>
        </w:rPr>
        <w:sectPr>
          <w:pgSz w:w="11906" w:h="16838"/>
          <w:pgMar w:top="1701" w:right="1531" w:bottom="1701" w:left="1531" w:header="851" w:footer="1077" w:gutter="0"/>
          <w:pgNumType w:start="3"/>
          <w:cols w:space="720" w:num="1"/>
          <w:docGrid w:linePitch="312" w:charSpace="0"/>
        </w:sectPr>
      </w:pPr>
      <w:r>
        <w:rPr>
          <w:rFonts w:cs="Times New Roman"/>
          <w:bCs/>
          <w:color w:val="000000" w:themeColor="text1"/>
          <w14:textFill>
            <w14:solidFill>
              <w14:schemeClr w14:val="tx1"/>
            </w14:solidFill>
          </w14:textFill>
        </w:rPr>
        <w:fldChar w:fldCharType="end"/>
      </w:r>
    </w:p>
    <w:p w14:paraId="790B1EC6">
      <w:pPr>
        <w:pStyle w:val="2"/>
        <w:rPr>
          <w:rFonts w:cs="Times New Roman"/>
          <w:color w:val="000000" w:themeColor="text1"/>
          <w14:textFill>
            <w14:solidFill>
              <w14:schemeClr w14:val="tx1"/>
            </w14:solidFill>
          </w14:textFill>
        </w:rPr>
      </w:pPr>
      <w:bookmarkStart w:id="8" w:name="_Toc1574175128"/>
      <w:bookmarkStart w:id="9" w:name="_Toc230448007"/>
      <w:r>
        <w:rPr>
          <w:rFonts w:cs="Times New Roman"/>
          <w:color w:val="000000" w:themeColor="text1"/>
          <w14:textFill>
            <w14:solidFill>
              <w14:schemeClr w14:val="tx1"/>
            </w14:solidFill>
          </w14:textFill>
        </w:rPr>
        <w:t>（一）建设项目基本情况</w:t>
      </w:r>
      <w:bookmarkEnd w:id="8"/>
      <w:bookmarkEnd w:id="9"/>
    </w:p>
    <w:tbl>
      <w:tblPr>
        <w:tblStyle w:val="4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29"/>
        <w:gridCol w:w="2290"/>
        <w:gridCol w:w="2212"/>
        <w:gridCol w:w="2639"/>
      </w:tblGrid>
      <w:tr w14:paraId="00BD9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9" w:type="dxa"/>
            <w:tcMar>
              <w:top w:w="16" w:type="dxa"/>
              <w:left w:w="16" w:type="dxa"/>
              <w:right w:w="16" w:type="dxa"/>
            </w:tcMar>
            <w:vAlign w:val="center"/>
          </w:tcPr>
          <w:p w14:paraId="3A2CC9F1">
            <w:pPr>
              <w:pStyle w:val="96"/>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建设项目名称</w:t>
            </w:r>
          </w:p>
        </w:tc>
        <w:tc>
          <w:tcPr>
            <w:tcW w:w="7141" w:type="dxa"/>
            <w:gridSpan w:val="3"/>
            <w:vAlign w:val="center"/>
          </w:tcPr>
          <w:p w14:paraId="45CF1F14">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宝钢德盛50MW余气及25MW余热发电项目</w:t>
            </w:r>
          </w:p>
        </w:tc>
      </w:tr>
      <w:tr w14:paraId="6B96A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tcMar>
              <w:top w:w="16" w:type="dxa"/>
              <w:left w:w="16" w:type="dxa"/>
              <w:right w:w="16" w:type="dxa"/>
            </w:tcMar>
            <w:vAlign w:val="center"/>
          </w:tcPr>
          <w:p w14:paraId="7B946995">
            <w:pPr>
              <w:pStyle w:val="96"/>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项目代码</w:t>
            </w:r>
          </w:p>
        </w:tc>
        <w:tc>
          <w:tcPr>
            <w:tcW w:w="7141" w:type="dxa"/>
            <w:gridSpan w:val="3"/>
            <w:vAlign w:val="center"/>
          </w:tcPr>
          <w:p w14:paraId="3C3C3D40">
            <w:pPr>
              <w:pStyle w:val="138"/>
              <w:rPr>
                <w:rFonts w:cs="Times New Roman"/>
                <w:color w:val="000000" w:themeColor="text1"/>
                <w:sz w:val="24"/>
                <w14:textFill>
                  <w14:solidFill>
                    <w14:schemeClr w14:val="tx1"/>
                  </w14:solidFill>
                </w14:textFill>
              </w:rPr>
            </w:pPr>
          </w:p>
        </w:tc>
      </w:tr>
      <w:tr w14:paraId="365A5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tcMar>
              <w:top w:w="16" w:type="dxa"/>
              <w:left w:w="16" w:type="dxa"/>
              <w:right w:w="16" w:type="dxa"/>
            </w:tcMar>
            <w:vAlign w:val="center"/>
          </w:tcPr>
          <w:p w14:paraId="4D6F08C6">
            <w:pPr>
              <w:pStyle w:val="96"/>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建设单位联系人</w:t>
            </w:r>
          </w:p>
        </w:tc>
        <w:tc>
          <w:tcPr>
            <w:tcW w:w="2290" w:type="dxa"/>
            <w:vAlign w:val="center"/>
          </w:tcPr>
          <w:p w14:paraId="7E25E79A">
            <w:pPr>
              <w:pStyle w:val="138"/>
              <w:rPr>
                <w:rFonts w:cs="Times New Roman"/>
                <w:color w:val="000000" w:themeColor="text1"/>
                <w:sz w:val="24"/>
                <w14:textFill>
                  <w14:solidFill>
                    <w14:schemeClr w14:val="tx1"/>
                  </w14:solidFill>
                </w14:textFill>
              </w:rPr>
            </w:pPr>
          </w:p>
        </w:tc>
        <w:tc>
          <w:tcPr>
            <w:tcW w:w="2212" w:type="dxa"/>
            <w:vAlign w:val="center"/>
          </w:tcPr>
          <w:p w14:paraId="15734383">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联系方式</w:t>
            </w:r>
          </w:p>
        </w:tc>
        <w:tc>
          <w:tcPr>
            <w:tcW w:w="2639" w:type="dxa"/>
            <w:vAlign w:val="center"/>
          </w:tcPr>
          <w:p w14:paraId="4E33BB14">
            <w:pPr>
              <w:pStyle w:val="138"/>
              <w:rPr>
                <w:rFonts w:cs="Times New Roman"/>
                <w:color w:val="000000" w:themeColor="text1"/>
                <w:sz w:val="24"/>
                <w14:textFill>
                  <w14:solidFill>
                    <w14:schemeClr w14:val="tx1"/>
                  </w14:solidFill>
                </w14:textFill>
              </w:rPr>
            </w:pPr>
          </w:p>
        </w:tc>
      </w:tr>
      <w:tr w14:paraId="4E806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tcMar>
              <w:top w:w="16" w:type="dxa"/>
              <w:left w:w="16" w:type="dxa"/>
              <w:right w:w="16" w:type="dxa"/>
            </w:tcMar>
            <w:vAlign w:val="center"/>
          </w:tcPr>
          <w:p w14:paraId="16D4CAF3">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建设地点</w:t>
            </w:r>
          </w:p>
        </w:tc>
        <w:tc>
          <w:tcPr>
            <w:tcW w:w="7141" w:type="dxa"/>
            <w:gridSpan w:val="3"/>
            <w:vAlign w:val="center"/>
          </w:tcPr>
          <w:p w14:paraId="0980FDF1">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福建省（自治区）福州市罗源县（区）/乡（街道）罗源湾开发区金港工业区</w:t>
            </w:r>
          </w:p>
        </w:tc>
      </w:tr>
      <w:tr w14:paraId="6F926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tcMar>
              <w:top w:w="16" w:type="dxa"/>
              <w:left w:w="16" w:type="dxa"/>
              <w:right w:w="16" w:type="dxa"/>
            </w:tcMar>
            <w:vAlign w:val="center"/>
          </w:tcPr>
          <w:p w14:paraId="19C66D77">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地理坐标</w:t>
            </w:r>
          </w:p>
        </w:tc>
        <w:tc>
          <w:tcPr>
            <w:tcW w:w="7141" w:type="dxa"/>
            <w:gridSpan w:val="3"/>
            <w:vAlign w:val="center"/>
          </w:tcPr>
          <w:p w14:paraId="678C55C1">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（119度39分47.991秒，26度29分26.897秒）</w:t>
            </w:r>
          </w:p>
        </w:tc>
      </w:tr>
      <w:tr w14:paraId="0BF2B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1729" w:type="dxa"/>
            <w:tcMar>
              <w:top w:w="16" w:type="dxa"/>
              <w:left w:w="16" w:type="dxa"/>
              <w:right w:w="16" w:type="dxa"/>
            </w:tcMar>
            <w:vAlign w:val="center"/>
          </w:tcPr>
          <w:p w14:paraId="4161E478">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国民经济</w:t>
            </w:r>
          </w:p>
          <w:p w14:paraId="2B2AE256">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行业类别</w:t>
            </w:r>
          </w:p>
        </w:tc>
        <w:tc>
          <w:tcPr>
            <w:tcW w:w="2290" w:type="dxa"/>
            <w:vAlign w:val="center"/>
          </w:tcPr>
          <w:p w14:paraId="5FDB0961">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4411火力发电</w:t>
            </w:r>
          </w:p>
        </w:tc>
        <w:tc>
          <w:tcPr>
            <w:tcW w:w="2212" w:type="dxa"/>
            <w:vAlign w:val="center"/>
          </w:tcPr>
          <w:p w14:paraId="74F65696">
            <w:pPr>
              <w:pStyle w:val="138"/>
              <w:rPr>
                <w:rFonts w:cs="Times New Roman"/>
                <w:color w:val="000000" w:themeColor="text1"/>
                <w:sz w:val="24"/>
                <w14:textFill>
                  <w14:solidFill>
                    <w14:schemeClr w14:val="tx1"/>
                  </w14:solidFill>
                </w14:textFill>
              </w:rPr>
            </w:pPr>
            <w:bookmarkStart w:id="10" w:name="_Hlk49843745"/>
            <w:r>
              <w:rPr>
                <w:rFonts w:cs="Times New Roman"/>
                <w:color w:val="000000" w:themeColor="text1"/>
                <w:sz w:val="24"/>
                <w14:textFill>
                  <w14:solidFill>
                    <w14:schemeClr w14:val="tx1"/>
                  </w14:solidFill>
                </w14:textFill>
              </w:rPr>
              <w:t>建设项目</w:t>
            </w:r>
          </w:p>
          <w:p w14:paraId="4C291EE2">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行业类别</w:t>
            </w:r>
            <w:bookmarkEnd w:id="10"/>
          </w:p>
        </w:tc>
        <w:tc>
          <w:tcPr>
            <w:tcW w:w="2639" w:type="dxa"/>
            <w:vAlign w:val="center"/>
          </w:tcPr>
          <w:p w14:paraId="1A5F6DBF">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四十一、电力、热力生产和供应业：火力发电 4411；热电联产 4412（4411和4412均含掺烧生活垃圾发电、掺烧污泥发电）：单纯利用余气（含煤矿瓦斯）发电</w:t>
            </w:r>
          </w:p>
        </w:tc>
      </w:tr>
      <w:tr w14:paraId="59296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65" w:hRule="atLeast"/>
          <w:jc w:val="center"/>
        </w:trPr>
        <w:tc>
          <w:tcPr>
            <w:tcW w:w="1729" w:type="dxa"/>
            <w:tcMar>
              <w:top w:w="16" w:type="dxa"/>
              <w:left w:w="16" w:type="dxa"/>
              <w:right w:w="16" w:type="dxa"/>
            </w:tcMar>
            <w:vAlign w:val="center"/>
          </w:tcPr>
          <w:p w14:paraId="62CE842D">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建设性质</w:t>
            </w:r>
          </w:p>
        </w:tc>
        <w:tc>
          <w:tcPr>
            <w:tcW w:w="2290" w:type="dxa"/>
            <w:vAlign w:val="center"/>
          </w:tcPr>
          <w:p w14:paraId="366C177A">
            <w:pPr>
              <w:pStyle w:val="138"/>
              <w:jc w:val="left"/>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□新建（迁建）</w:t>
            </w:r>
          </w:p>
          <w:p w14:paraId="21073794">
            <w:pPr>
              <w:pStyle w:val="138"/>
              <w:jc w:val="left"/>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☑改建</w:t>
            </w:r>
          </w:p>
          <w:p w14:paraId="471651C5">
            <w:pPr>
              <w:pStyle w:val="138"/>
              <w:jc w:val="left"/>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☑扩建</w:t>
            </w:r>
          </w:p>
          <w:p w14:paraId="3C3155FA">
            <w:pPr>
              <w:pStyle w:val="138"/>
              <w:jc w:val="left"/>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□技术改造</w:t>
            </w:r>
          </w:p>
        </w:tc>
        <w:tc>
          <w:tcPr>
            <w:tcW w:w="2212" w:type="dxa"/>
            <w:vAlign w:val="center"/>
          </w:tcPr>
          <w:p w14:paraId="2809785B">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建设项目</w:t>
            </w:r>
          </w:p>
          <w:p w14:paraId="14EBEFDB">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申报情形</w:t>
            </w:r>
          </w:p>
        </w:tc>
        <w:tc>
          <w:tcPr>
            <w:tcW w:w="2639" w:type="dxa"/>
            <w:vAlign w:val="center"/>
          </w:tcPr>
          <w:p w14:paraId="099847AF">
            <w:pPr>
              <w:pStyle w:val="138"/>
              <w:jc w:val="left"/>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 xml:space="preserve">☑首次申报项目             </w:t>
            </w:r>
          </w:p>
          <w:p w14:paraId="6271171E">
            <w:pPr>
              <w:pStyle w:val="138"/>
              <w:jc w:val="left"/>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□不予批准后再次申报项目</w:t>
            </w:r>
          </w:p>
          <w:p w14:paraId="1FD1F8CB">
            <w:pPr>
              <w:pStyle w:val="138"/>
              <w:jc w:val="left"/>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 xml:space="preserve">□超五年重新审核项目     </w:t>
            </w:r>
          </w:p>
          <w:p w14:paraId="5C5482BF">
            <w:pPr>
              <w:pStyle w:val="138"/>
              <w:jc w:val="left"/>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□重大变动重新报批项目</w:t>
            </w:r>
          </w:p>
        </w:tc>
      </w:tr>
      <w:tr w14:paraId="59F43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29" w:type="dxa"/>
            <w:tcMar>
              <w:top w:w="16" w:type="dxa"/>
              <w:left w:w="16" w:type="dxa"/>
              <w:right w:w="16" w:type="dxa"/>
            </w:tcMar>
            <w:vAlign w:val="center"/>
          </w:tcPr>
          <w:p w14:paraId="3FB62371">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项目审批（核准/</w:t>
            </w:r>
          </w:p>
          <w:p w14:paraId="7936BF10">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备案）部门（选填）</w:t>
            </w:r>
          </w:p>
        </w:tc>
        <w:tc>
          <w:tcPr>
            <w:tcW w:w="2290" w:type="dxa"/>
            <w:vAlign w:val="center"/>
          </w:tcPr>
          <w:p w14:paraId="3A6CCBEF">
            <w:pPr>
              <w:pStyle w:val="138"/>
              <w:rPr>
                <w:rFonts w:cs="Times New Roman"/>
                <w:color w:val="000000" w:themeColor="text1"/>
                <w:sz w:val="24"/>
                <w14:textFill>
                  <w14:solidFill>
                    <w14:schemeClr w14:val="tx1"/>
                  </w14:solidFill>
                </w14:textFill>
              </w:rPr>
            </w:pPr>
          </w:p>
        </w:tc>
        <w:tc>
          <w:tcPr>
            <w:tcW w:w="2212" w:type="dxa"/>
            <w:vAlign w:val="center"/>
          </w:tcPr>
          <w:p w14:paraId="04FD376B">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项目审批（核准/</w:t>
            </w:r>
          </w:p>
          <w:p w14:paraId="25FFB216">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备案）文号（选填）</w:t>
            </w:r>
          </w:p>
        </w:tc>
        <w:tc>
          <w:tcPr>
            <w:tcW w:w="2639" w:type="dxa"/>
            <w:vAlign w:val="center"/>
          </w:tcPr>
          <w:p w14:paraId="3BBD4DA4">
            <w:pPr>
              <w:pStyle w:val="138"/>
              <w:rPr>
                <w:rFonts w:cs="Times New Roman"/>
                <w:color w:val="000000" w:themeColor="text1"/>
                <w:sz w:val="24"/>
                <w14:textFill>
                  <w14:solidFill>
                    <w14:schemeClr w14:val="tx1"/>
                  </w14:solidFill>
                </w14:textFill>
              </w:rPr>
            </w:pPr>
          </w:p>
        </w:tc>
      </w:tr>
      <w:tr w14:paraId="6B692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tcMar>
              <w:top w:w="16" w:type="dxa"/>
              <w:left w:w="16" w:type="dxa"/>
              <w:right w:w="16" w:type="dxa"/>
            </w:tcMar>
            <w:vAlign w:val="center"/>
          </w:tcPr>
          <w:p w14:paraId="7CE513AA">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总投资（万元）</w:t>
            </w:r>
          </w:p>
        </w:tc>
        <w:tc>
          <w:tcPr>
            <w:tcW w:w="2290" w:type="dxa"/>
            <w:vAlign w:val="center"/>
          </w:tcPr>
          <w:p w14:paraId="359A01E0">
            <w:pPr>
              <w:pStyle w:val="138"/>
              <w:rPr>
                <w:rFonts w:cs="Times New Roman"/>
                <w:color w:val="000000" w:themeColor="text1"/>
                <w:sz w:val="24"/>
                <w14:textFill>
                  <w14:solidFill>
                    <w14:schemeClr w14:val="tx1"/>
                  </w14:solidFill>
                </w14:textFill>
              </w:rPr>
            </w:pPr>
          </w:p>
        </w:tc>
        <w:tc>
          <w:tcPr>
            <w:tcW w:w="2212" w:type="dxa"/>
            <w:tcMar>
              <w:top w:w="16" w:type="dxa"/>
              <w:left w:w="16" w:type="dxa"/>
              <w:right w:w="16" w:type="dxa"/>
            </w:tcMar>
            <w:vAlign w:val="center"/>
          </w:tcPr>
          <w:p w14:paraId="690F0F75">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环保投资（万元）</w:t>
            </w:r>
          </w:p>
        </w:tc>
        <w:tc>
          <w:tcPr>
            <w:tcW w:w="2639" w:type="dxa"/>
            <w:vAlign w:val="center"/>
          </w:tcPr>
          <w:p w14:paraId="28AB6811">
            <w:pPr>
              <w:pStyle w:val="138"/>
              <w:rPr>
                <w:rFonts w:cs="Times New Roman"/>
                <w:color w:val="000000" w:themeColor="text1"/>
                <w:sz w:val="24"/>
                <w14:textFill>
                  <w14:solidFill>
                    <w14:schemeClr w14:val="tx1"/>
                  </w14:solidFill>
                </w14:textFill>
              </w:rPr>
            </w:pPr>
          </w:p>
        </w:tc>
      </w:tr>
      <w:tr w14:paraId="32E7E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1729" w:type="dxa"/>
            <w:tcMar>
              <w:top w:w="16" w:type="dxa"/>
              <w:left w:w="16" w:type="dxa"/>
              <w:right w:w="16" w:type="dxa"/>
            </w:tcMar>
            <w:vAlign w:val="center"/>
          </w:tcPr>
          <w:p w14:paraId="5883487D">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环保投资占比（%）</w:t>
            </w:r>
          </w:p>
        </w:tc>
        <w:tc>
          <w:tcPr>
            <w:tcW w:w="2290" w:type="dxa"/>
            <w:vAlign w:val="center"/>
          </w:tcPr>
          <w:p w14:paraId="3016600B">
            <w:pPr>
              <w:pStyle w:val="138"/>
              <w:rPr>
                <w:rFonts w:cs="Times New Roman"/>
                <w:color w:val="000000" w:themeColor="text1"/>
                <w:sz w:val="24"/>
                <w14:textFill>
                  <w14:solidFill>
                    <w14:schemeClr w14:val="tx1"/>
                  </w14:solidFill>
                </w14:textFill>
              </w:rPr>
            </w:pPr>
          </w:p>
        </w:tc>
        <w:tc>
          <w:tcPr>
            <w:tcW w:w="2212" w:type="dxa"/>
            <w:tcMar>
              <w:top w:w="16" w:type="dxa"/>
              <w:left w:w="16" w:type="dxa"/>
              <w:right w:w="16" w:type="dxa"/>
            </w:tcMar>
            <w:vAlign w:val="center"/>
          </w:tcPr>
          <w:p w14:paraId="26ADED28">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施工工期</w:t>
            </w:r>
          </w:p>
        </w:tc>
        <w:tc>
          <w:tcPr>
            <w:tcW w:w="2639" w:type="dxa"/>
            <w:vAlign w:val="center"/>
          </w:tcPr>
          <w:p w14:paraId="5A8CD95D">
            <w:pPr>
              <w:pStyle w:val="138"/>
              <w:rPr>
                <w:rFonts w:cs="Times New Roman"/>
                <w:color w:val="000000" w:themeColor="text1"/>
                <w:sz w:val="24"/>
                <w14:textFill>
                  <w14:solidFill>
                    <w14:schemeClr w14:val="tx1"/>
                  </w14:solidFill>
                </w14:textFill>
              </w:rPr>
            </w:pPr>
          </w:p>
        </w:tc>
      </w:tr>
      <w:tr w14:paraId="580B9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tcMar>
              <w:top w:w="16" w:type="dxa"/>
              <w:left w:w="16" w:type="dxa"/>
              <w:right w:w="16" w:type="dxa"/>
            </w:tcMar>
            <w:vAlign w:val="center"/>
          </w:tcPr>
          <w:p w14:paraId="16608441">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是否开工建设</w:t>
            </w:r>
          </w:p>
        </w:tc>
        <w:tc>
          <w:tcPr>
            <w:tcW w:w="2290" w:type="dxa"/>
            <w:vAlign w:val="center"/>
          </w:tcPr>
          <w:p w14:paraId="64911EBF">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☑否</w:t>
            </w:r>
          </w:p>
          <w:p w14:paraId="550CDB5F">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 xml:space="preserve">□是             </w:t>
            </w:r>
          </w:p>
        </w:tc>
        <w:tc>
          <w:tcPr>
            <w:tcW w:w="2212" w:type="dxa"/>
            <w:tcMar>
              <w:top w:w="16" w:type="dxa"/>
              <w:left w:w="16" w:type="dxa"/>
              <w:right w:w="16" w:type="dxa"/>
            </w:tcMar>
            <w:vAlign w:val="center"/>
          </w:tcPr>
          <w:p w14:paraId="3F13C03C">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用地（用海）面积（m</w:t>
            </w:r>
            <w:r>
              <w:rPr>
                <w:rFonts w:cs="Times New Roman"/>
                <w:color w:val="000000" w:themeColor="text1"/>
                <w:sz w:val="24"/>
                <w:vertAlign w:val="superscript"/>
                <w14:textFill>
                  <w14:solidFill>
                    <w14:schemeClr w14:val="tx1"/>
                  </w14:solidFill>
                </w14:textFill>
              </w:rPr>
              <w:t>2</w:t>
            </w:r>
            <w:r>
              <w:rPr>
                <w:rFonts w:cs="Times New Roman"/>
                <w:color w:val="000000" w:themeColor="text1"/>
                <w:sz w:val="24"/>
                <w14:textFill>
                  <w14:solidFill>
                    <w14:schemeClr w14:val="tx1"/>
                  </w14:solidFill>
                </w14:textFill>
              </w:rPr>
              <w:t>）</w:t>
            </w:r>
          </w:p>
        </w:tc>
        <w:tc>
          <w:tcPr>
            <w:tcW w:w="2639" w:type="dxa"/>
            <w:vAlign w:val="center"/>
          </w:tcPr>
          <w:p w14:paraId="20546436">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1.3万</w:t>
            </w:r>
          </w:p>
        </w:tc>
      </w:tr>
      <w:tr w14:paraId="05099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729" w:type="dxa"/>
            <w:vAlign w:val="center"/>
          </w:tcPr>
          <w:p w14:paraId="41A4B098">
            <w:pPr>
              <w:pStyle w:val="96"/>
              <w:rPr>
                <w:rFonts w:cs="Times New Roman"/>
                <w:color w:val="000000" w:themeColor="text1"/>
                <w14:textFill>
                  <w14:solidFill>
                    <w14:schemeClr w14:val="tx1"/>
                  </w14:solidFill>
                </w14:textFill>
              </w:rPr>
            </w:pPr>
          </w:p>
          <w:p w14:paraId="44D6C896">
            <w:pPr>
              <w:pStyle w:val="96"/>
              <w:rPr>
                <w:rFonts w:cs="Times New Roman"/>
                <w:color w:val="000000" w:themeColor="text1"/>
                <w14:textFill>
                  <w14:solidFill>
                    <w14:schemeClr w14:val="tx1"/>
                  </w14:solidFill>
                </w14:textFill>
              </w:rPr>
            </w:pPr>
          </w:p>
          <w:p w14:paraId="474C6504">
            <w:pPr>
              <w:pStyle w:val="96"/>
              <w:rPr>
                <w:rFonts w:cs="Times New Roman"/>
                <w:color w:val="000000" w:themeColor="text1"/>
                <w14:textFill>
                  <w14:solidFill>
                    <w14:schemeClr w14:val="tx1"/>
                  </w14:solidFill>
                </w14:textFill>
              </w:rPr>
            </w:pPr>
          </w:p>
          <w:p w14:paraId="2B4578AB">
            <w:pPr>
              <w:pStyle w:val="96"/>
              <w:rPr>
                <w:rFonts w:cs="Times New Roman"/>
                <w:color w:val="000000" w:themeColor="text1"/>
                <w14:textFill>
                  <w14:solidFill>
                    <w14:schemeClr w14:val="tx1"/>
                  </w14:solidFill>
                </w14:textFill>
              </w:rPr>
            </w:pPr>
          </w:p>
          <w:p w14:paraId="79D2F1B2">
            <w:pPr>
              <w:pStyle w:val="96"/>
              <w:rPr>
                <w:rFonts w:cs="Times New Roman"/>
                <w:color w:val="000000" w:themeColor="text1"/>
                <w14:textFill>
                  <w14:solidFill>
                    <w14:schemeClr w14:val="tx1"/>
                  </w14:solidFill>
                </w14:textFill>
              </w:rPr>
            </w:pPr>
          </w:p>
          <w:p w14:paraId="76277D3B">
            <w:pPr>
              <w:pStyle w:val="96"/>
              <w:rPr>
                <w:rFonts w:cs="Times New Roman"/>
                <w:color w:val="000000" w:themeColor="text1"/>
                <w14:textFill>
                  <w14:solidFill>
                    <w14:schemeClr w14:val="tx1"/>
                  </w14:solidFill>
                </w14:textFill>
              </w:rPr>
            </w:pPr>
          </w:p>
          <w:p w14:paraId="0F1C4FDE">
            <w:pPr>
              <w:pStyle w:val="96"/>
              <w:rPr>
                <w:rFonts w:cs="Times New Roman"/>
                <w:color w:val="000000" w:themeColor="text1"/>
                <w14:textFill>
                  <w14:solidFill>
                    <w14:schemeClr w14:val="tx1"/>
                  </w14:solidFill>
                </w14:textFill>
              </w:rPr>
            </w:pPr>
          </w:p>
          <w:p w14:paraId="7B51453B">
            <w:pPr>
              <w:pStyle w:val="96"/>
              <w:rPr>
                <w:rFonts w:cs="Times New Roman"/>
                <w:color w:val="000000" w:themeColor="text1"/>
                <w14:textFill>
                  <w14:solidFill>
                    <w14:schemeClr w14:val="tx1"/>
                  </w14:solidFill>
                </w14:textFill>
              </w:rPr>
            </w:pPr>
          </w:p>
          <w:p w14:paraId="253E8603">
            <w:pPr>
              <w:pStyle w:val="96"/>
              <w:rPr>
                <w:rFonts w:cs="Times New Roman"/>
                <w:color w:val="000000" w:themeColor="text1"/>
                <w14:textFill>
                  <w14:solidFill>
                    <w14:schemeClr w14:val="tx1"/>
                  </w14:solidFill>
                </w14:textFill>
              </w:rPr>
            </w:pPr>
          </w:p>
          <w:p w14:paraId="6F837929">
            <w:pPr>
              <w:pStyle w:val="96"/>
              <w:rPr>
                <w:rFonts w:cs="Times New Roman"/>
                <w:color w:val="000000" w:themeColor="text1"/>
                <w14:textFill>
                  <w14:solidFill>
                    <w14:schemeClr w14:val="tx1"/>
                  </w14:solidFill>
                </w14:textFill>
              </w:rPr>
            </w:pPr>
          </w:p>
          <w:p w14:paraId="58B3C2F2">
            <w:pPr>
              <w:pStyle w:val="96"/>
              <w:rPr>
                <w:rFonts w:cs="Times New Roman"/>
                <w:color w:val="000000" w:themeColor="text1"/>
                <w14:textFill>
                  <w14:solidFill>
                    <w14:schemeClr w14:val="tx1"/>
                  </w14:solidFill>
                </w14:textFill>
              </w:rPr>
            </w:pPr>
          </w:p>
          <w:p w14:paraId="5411E57C">
            <w:pPr>
              <w:pStyle w:val="96"/>
              <w:rPr>
                <w:rFonts w:cs="Times New Roman"/>
                <w:color w:val="000000" w:themeColor="text1"/>
                <w14:textFill>
                  <w14:solidFill>
                    <w14:schemeClr w14:val="tx1"/>
                  </w14:solidFill>
                </w14:textFill>
              </w:rPr>
            </w:pPr>
          </w:p>
          <w:p w14:paraId="45A77731">
            <w:pPr>
              <w:pStyle w:val="96"/>
              <w:rPr>
                <w:rFonts w:cs="Times New Roman"/>
                <w:color w:val="000000" w:themeColor="text1"/>
                <w14:textFill>
                  <w14:solidFill>
                    <w14:schemeClr w14:val="tx1"/>
                  </w14:solidFill>
                </w14:textFill>
              </w:rPr>
            </w:pPr>
          </w:p>
          <w:p w14:paraId="6E6ACE79">
            <w:pPr>
              <w:pStyle w:val="96"/>
              <w:rPr>
                <w:rFonts w:cs="Times New Roman"/>
                <w:color w:val="000000" w:themeColor="text1"/>
                <w14:textFill>
                  <w14:solidFill>
                    <w14:schemeClr w14:val="tx1"/>
                  </w14:solidFill>
                </w14:textFill>
              </w:rPr>
            </w:pPr>
          </w:p>
          <w:p w14:paraId="2623BCA1">
            <w:pPr>
              <w:pStyle w:val="96"/>
              <w:rPr>
                <w:rFonts w:cs="Times New Roman"/>
                <w:color w:val="000000" w:themeColor="text1"/>
                <w14:textFill>
                  <w14:solidFill>
                    <w14:schemeClr w14:val="tx1"/>
                  </w14:solidFill>
                </w14:textFill>
              </w:rPr>
            </w:pPr>
          </w:p>
          <w:p w14:paraId="6510A035">
            <w:pPr>
              <w:pStyle w:val="96"/>
              <w:rPr>
                <w:rFonts w:cs="Times New Roman"/>
                <w:color w:val="000000" w:themeColor="text1"/>
                <w14:textFill>
                  <w14:solidFill>
                    <w14:schemeClr w14:val="tx1"/>
                  </w14:solidFill>
                </w14:textFill>
              </w:rPr>
            </w:pPr>
          </w:p>
          <w:p w14:paraId="4DF6AEA4">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专项评价设置情况</w:t>
            </w:r>
          </w:p>
        </w:tc>
        <w:tc>
          <w:tcPr>
            <w:tcW w:w="7141" w:type="dxa"/>
            <w:gridSpan w:val="3"/>
            <w:vAlign w:val="center"/>
          </w:tcPr>
          <w:p w14:paraId="711E8F8C">
            <w:pPr>
              <w:pStyle w:val="353"/>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评价设置情况一览表</w:t>
            </w:r>
          </w:p>
          <w:tbl>
            <w:tblPr>
              <w:tblStyle w:val="46"/>
              <w:tblpPr w:leftFromText="180" w:rightFromText="180" w:vertAnchor="text" w:tblpY="1"/>
              <w:tblOverlap w:val="never"/>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268"/>
              <w:gridCol w:w="2631"/>
              <w:gridCol w:w="1040"/>
            </w:tblGrid>
            <w:tr w14:paraId="3D04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center"/>
                </w:tcPr>
                <w:p w14:paraId="1A3ABB90">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专题设置类别</w:t>
                  </w:r>
                </w:p>
              </w:tc>
              <w:tc>
                <w:tcPr>
                  <w:tcW w:w="2268" w:type="dxa"/>
                  <w:vAlign w:val="center"/>
                </w:tcPr>
                <w:p w14:paraId="3850C9D0">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设置原则</w:t>
                  </w:r>
                </w:p>
              </w:tc>
              <w:tc>
                <w:tcPr>
                  <w:tcW w:w="2631" w:type="dxa"/>
                  <w:vAlign w:val="center"/>
                </w:tcPr>
                <w:p w14:paraId="63734DF8">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本项目情况</w:t>
                  </w:r>
                </w:p>
              </w:tc>
              <w:tc>
                <w:tcPr>
                  <w:tcW w:w="1040" w:type="dxa"/>
                  <w:vAlign w:val="center"/>
                </w:tcPr>
                <w:p w14:paraId="4B28B123">
                  <w:pPr>
                    <w:pStyle w:val="138"/>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是否设置专项</w:t>
                  </w:r>
                </w:p>
              </w:tc>
            </w:tr>
            <w:tr w14:paraId="056C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center"/>
                </w:tcPr>
                <w:p w14:paraId="14DC9BB1">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大气</w:t>
                  </w:r>
                </w:p>
              </w:tc>
              <w:tc>
                <w:tcPr>
                  <w:tcW w:w="2268" w:type="dxa"/>
                  <w:vAlign w:val="center"/>
                </w:tcPr>
                <w:p w14:paraId="3E96ABE4">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排放废气含有有毒有害污染物1、二噁英、苯并[a]芘、氰化物、氯气且厂界外500m范围内有环境空气保护目标2的建设项目</w:t>
                  </w:r>
                </w:p>
              </w:tc>
              <w:tc>
                <w:tcPr>
                  <w:tcW w:w="2631" w:type="dxa"/>
                  <w:vAlign w:val="center"/>
                </w:tcPr>
                <w:p w14:paraId="4622BF71">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本项目排放大气污染物为颗粒物、二氧化硫、氮氧化物、氨；不涉及有毒有害污染物1、二噁英、苯并[a]芘、氰化物、氯气；且厂界外500m范围内无环境空气保护目标</w:t>
                  </w:r>
                </w:p>
              </w:tc>
              <w:tc>
                <w:tcPr>
                  <w:tcW w:w="1040" w:type="dxa"/>
                  <w:vAlign w:val="center"/>
                </w:tcPr>
                <w:p w14:paraId="3A9551E0">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无</w:t>
                  </w:r>
                </w:p>
              </w:tc>
            </w:tr>
            <w:tr w14:paraId="3ED4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center"/>
                </w:tcPr>
                <w:p w14:paraId="39FA688E">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地表水</w:t>
                  </w:r>
                </w:p>
              </w:tc>
              <w:tc>
                <w:tcPr>
                  <w:tcW w:w="2268" w:type="dxa"/>
                  <w:vAlign w:val="center"/>
                </w:tcPr>
                <w:p w14:paraId="632AC8E9">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新增工业废水直排建设项目（槽罐车外送污水处理厂的除外）；新增废水直排的污水集中处理厂</w:t>
                  </w:r>
                </w:p>
              </w:tc>
              <w:tc>
                <w:tcPr>
                  <w:tcW w:w="2631" w:type="dxa"/>
                  <w:vAlign w:val="center"/>
                </w:tcPr>
                <w:p w14:paraId="4F541C30">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新增废水统一进入中央污水处理站</w:t>
                  </w:r>
                </w:p>
              </w:tc>
              <w:tc>
                <w:tcPr>
                  <w:tcW w:w="1040" w:type="dxa"/>
                  <w:vAlign w:val="center"/>
                </w:tcPr>
                <w:p w14:paraId="66B0113E">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无</w:t>
                  </w:r>
                </w:p>
              </w:tc>
            </w:tr>
            <w:tr w14:paraId="74A4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center"/>
                </w:tcPr>
                <w:p w14:paraId="68F0AE54">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环境风险</w:t>
                  </w:r>
                </w:p>
              </w:tc>
              <w:tc>
                <w:tcPr>
                  <w:tcW w:w="2268" w:type="dxa"/>
                  <w:vAlign w:val="center"/>
                </w:tcPr>
                <w:p w14:paraId="54AD7CB2">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有毒有害和易燃易爆危险物质存储量超过临界量</w:t>
                  </w:r>
                  <w:r>
                    <w:rPr>
                      <w:color w:val="000000" w:themeColor="text1"/>
                      <w:kern w:val="0"/>
                      <w:sz w:val="24"/>
                      <w:szCs w:val="24"/>
                      <w:vertAlign w:val="superscript"/>
                      <w14:textFill>
                        <w14:solidFill>
                          <w14:schemeClr w14:val="tx1"/>
                        </w14:solidFill>
                      </w14:textFill>
                    </w:rPr>
                    <w:t>3</w:t>
                  </w:r>
                  <w:r>
                    <w:rPr>
                      <w:color w:val="000000" w:themeColor="text1"/>
                      <w:kern w:val="0"/>
                      <w:sz w:val="24"/>
                      <w:szCs w:val="24"/>
                      <w14:textFill>
                        <w14:solidFill>
                          <w14:schemeClr w14:val="tx1"/>
                        </w14:solidFill>
                      </w14:textFill>
                    </w:rPr>
                    <w:t>的建设项目</w:t>
                  </w:r>
                </w:p>
              </w:tc>
              <w:tc>
                <w:tcPr>
                  <w:tcW w:w="2631" w:type="dxa"/>
                  <w:vAlign w:val="center"/>
                </w:tcPr>
                <w:p w14:paraId="0CED1295">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本项目易燃易爆和有毒有害危险物质分别为煤气、矿物油类和氨水，煤气通过管道输送至本区域，项目区域内煤气管道最大储存量qn约0.4t；煤气临界量Qn为7.5t；矿物油类qn约16.8t，临界量Qn为2500t；SCR配套氨水罐折算为20%氨水最大储存量qn为7.5t，氨水（浓度≥20%）临界量Qn为10t，上述物质均未超过最大临界量。</w:t>
                  </w:r>
                </w:p>
              </w:tc>
              <w:tc>
                <w:tcPr>
                  <w:tcW w:w="1040" w:type="dxa"/>
                  <w:vAlign w:val="center"/>
                </w:tcPr>
                <w:p w14:paraId="08EAD0B9">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无</w:t>
                  </w:r>
                </w:p>
              </w:tc>
            </w:tr>
            <w:tr w14:paraId="309D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center"/>
                </w:tcPr>
                <w:p w14:paraId="293277FC">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生态</w:t>
                  </w:r>
                </w:p>
              </w:tc>
              <w:tc>
                <w:tcPr>
                  <w:tcW w:w="2268" w:type="dxa"/>
                  <w:vAlign w:val="center"/>
                </w:tcPr>
                <w:p w14:paraId="6FC98194">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取水口下游500米范围内有重要水生物的自然产卵场、索饵场、越冬场和洄游通道的新增河道取水的污染类建设项目</w:t>
                  </w:r>
                </w:p>
              </w:tc>
              <w:tc>
                <w:tcPr>
                  <w:tcW w:w="2631" w:type="dxa"/>
                  <w:vAlign w:val="center"/>
                </w:tcPr>
                <w:p w14:paraId="18D6E98D">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不涉及</w:t>
                  </w:r>
                </w:p>
              </w:tc>
              <w:tc>
                <w:tcPr>
                  <w:tcW w:w="1040" w:type="dxa"/>
                  <w:vAlign w:val="center"/>
                </w:tcPr>
                <w:p w14:paraId="14724CF1">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无</w:t>
                  </w:r>
                </w:p>
              </w:tc>
            </w:tr>
            <w:tr w14:paraId="5F45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center"/>
                </w:tcPr>
                <w:p w14:paraId="2735EBE3">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海洋</w:t>
                  </w:r>
                </w:p>
              </w:tc>
              <w:tc>
                <w:tcPr>
                  <w:tcW w:w="2268" w:type="dxa"/>
                  <w:vAlign w:val="center"/>
                </w:tcPr>
                <w:p w14:paraId="28371FF2">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直接向海排放污染物的海洋工程建设项目</w:t>
                  </w:r>
                </w:p>
              </w:tc>
              <w:tc>
                <w:tcPr>
                  <w:tcW w:w="2631" w:type="dxa"/>
                  <w:vAlign w:val="center"/>
                </w:tcPr>
                <w:p w14:paraId="30F4303E">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不涉及</w:t>
                  </w:r>
                </w:p>
              </w:tc>
              <w:tc>
                <w:tcPr>
                  <w:tcW w:w="1040" w:type="dxa"/>
                  <w:vAlign w:val="center"/>
                </w:tcPr>
                <w:p w14:paraId="4BF8D015">
                  <w:pPr>
                    <w:pStyle w:val="9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无</w:t>
                  </w:r>
                </w:p>
              </w:tc>
            </w:tr>
          </w:tbl>
          <w:p w14:paraId="06ABE990">
            <w:pPr>
              <w:pStyle w:val="304"/>
              <w:spacing w:beforeLines="0" w:line="240" w:lineRule="exact"/>
              <w:rPr>
                <w:rFonts w:cs="Times New Roman"/>
                <w:bCs/>
                <w:color w:val="000000" w:themeColor="text1"/>
                <w:szCs w:val="24"/>
                <w14:textFill>
                  <w14:solidFill>
                    <w14:schemeClr w14:val="tx1"/>
                  </w14:solidFill>
                </w14:textFill>
              </w:rPr>
            </w:pPr>
          </w:p>
          <w:p w14:paraId="4458E83A">
            <w:pPr>
              <w:pStyle w:val="96"/>
              <w:jc w:val="left"/>
              <w:rPr>
                <w:rFonts w:cs="Times New Roman"/>
                <w:color w:val="000000" w:themeColor="text1"/>
                <w:sz w:val="22"/>
                <w14:textFill>
                  <w14:solidFill>
                    <w14:schemeClr w14:val="tx1"/>
                  </w14:solidFill>
                </w14:textFill>
              </w:rPr>
            </w:pPr>
            <w:r>
              <w:rPr>
                <w:rFonts w:cs="Times New Roman"/>
                <w:color w:val="000000" w:themeColor="text1"/>
                <w:sz w:val="22"/>
                <w14:textFill>
                  <w14:solidFill>
                    <w14:schemeClr w14:val="tx1"/>
                  </w14:solidFill>
                </w14:textFill>
              </w:rPr>
              <w:t>注：1.废气中有毒有害污染物指纳入《有毒有害大气污染物名录》的污染物（不包括无排放标准的污染物）。</w:t>
            </w:r>
          </w:p>
          <w:p w14:paraId="5E021E16">
            <w:pPr>
              <w:pStyle w:val="96"/>
              <w:ind w:firstLine="440" w:firstLineChars="200"/>
              <w:jc w:val="left"/>
              <w:rPr>
                <w:rFonts w:cs="Times New Roman"/>
                <w:color w:val="000000" w:themeColor="text1"/>
                <w:sz w:val="22"/>
                <w14:textFill>
                  <w14:solidFill>
                    <w14:schemeClr w14:val="tx1"/>
                  </w14:solidFill>
                </w14:textFill>
              </w:rPr>
            </w:pPr>
            <w:r>
              <w:rPr>
                <w:rFonts w:cs="Times New Roman"/>
                <w:color w:val="000000" w:themeColor="text1"/>
                <w:sz w:val="22"/>
                <w14:textFill>
                  <w14:solidFill>
                    <w14:schemeClr w14:val="tx1"/>
                  </w14:solidFill>
                </w14:textFill>
              </w:rPr>
              <w:t>2.环境空气保护目标指自然保护区、风景名胜区、居住区、文化区和农村地区中人群较集中的区域。</w:t>
            </w:r>
          </w:p>
          <w:p w14:paraId="5598A1BC">
            <w:pPr>
              <w:pStyle w:val="96"/>
              <w:ind w:firstLine="440" w:firstLineChars="200"/>
              <w:jc w:val="left"/>
              <w:rPr>
                <w:rFonts w:cs="Times New Roman"/>
                <w:color w:val="000000" w:themeColor="text1"/>
                <w:szCs w:val="21"/>
                <w14:textFill>
                  <w14:solidFill>
                    <w14:schemeClr w14:val="tx1"/>
                  </w14:solidFill>
                </w14:textFill>
              </w:rPr>
            </w:pPr>
            <w:r>
              <w:rPr>
                <w:rFonts w:cs="Times New Roman"/>
                <w:color w:val="000000" w:themeColor="text1"/>
                <w:sz w:val="22"/>
                <w14:textFill>
                  <w14:solidFill>
                    <w14:schemeClr w14:val="tx1"/>
                  </w14:solidFill>
                </w14:textFill>
              </w:rPr>
              <w:t>3.临界量及其计算方法可参考《建设项目环境风险评价技术导则》（HJ 169）附录B、附录C。</w:t>
            </w:r>
          </w:p>
        </w:tc>
      </w:tr>
      <w:tr w14:paraId="168AD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9" w:type="dxa"/>
            <w:vAlign w:val="center"/>
          </w:tcPr>
          <w:p w14:paraId="4B7BD523">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规划情况</w:t>
            </w:r>
          </w:p>
        </w:tc>
        <w:tc>
          <w:tcPr>
            <w:tcW w:w="7141" w:type="dxa"/>
            <w:gridSpan w:val="3"/>
            <w:vAlign w:val="center"/>
          </w:tcPr>
          <w:p w14:paraId="5132EC2E">
            <w:pPr>
              <w:ind w:firstLine="480"/>
              <w:rPr>
                <w:rFonts w:cs="Times New Roman"/>
                <w:color w:val="000000" w:themeColor="text1"/>
                <w14:textFill>
                  <w14:solidFill>
                    <w14:schemeClr w14:val="tx1"/>
                  </w14:solidFill>
                </w14:textFill>
              </w:rPr>
            </w:pPr>
            <w:bookmarkStart w:id="11" w:name="_Toc149419217"/>
            <w:bookmarkStart w:id="12" w:name="_Toc149415626"/>
            <w:bookmarkStart w:id="13" w:name="_Toc222114167"/>
            <w:bookmarkStart w:id="14" w:name="_Toc803036829"/>
            <w:bookmarkStart w:id="15" w:name="_Toc16316"/>
            <w:bookmarkStart w:id="16" w:name="_Toc141261442"/>
            <w:r>
              <w:rPr>
                <w:rFonts w:cs="Times New Roman"/>
                <w:color w:val="000000" w:themeColor="text1"/>
                <w14:textFill>
                  <w14:solidFill>
                    <w14:schemeClr w14:val="tx1"/>
                  </w14:solidFill>
                </w14:textFill>
              </w:rPr>
              <w:t>1、规划名称：《福州市钢铁产业转型升级布局规划》（2020-2025年）；</w:t>
            </w:r>
          </w:p>
          <w:p w14:paraId="099D8C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审批机关：福州市人民政府；</w:t>
            </w:r>
          </w:p>
          <w:p w14:paraId="696C746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规划审批文件名称及文号：《关于〈福州市钢铁产业转型升级布局规划（2020-2025）〉的批复》。</w:t>
            </w:r>
          </w:p>
          <w:p w14:paraId="1870C56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2、规划名称：《环罗源湾地区工业产业布局规划》（2020-2025年）修编；</w:t>
            </w:r>
          </w:p>
          <w:p w14:paraId="741239D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审批机关：福州市人民政府；</w:t>
            </w:r>
          </w:p>
          <w:p w14:paraId="1B613AA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规划审批文件名称及文号：</w:t>
            </w:r>
            <w:bookmarkEnd w:id="11"/>
            <w:bookmarkEnd w:id="12"/>
            <w:bookmarkEnd w:id="13"/>
            <w:bookmarkEnd w:id="14"/>
            <w:bookmarkEnd w:id="15"/>
            <w:bookmarkEnd w:id="16"/>
            <w:r>
              <w:rPr>
                <w:rFonts w:cs="Times New Roman"/>
                <w:color w:val="000000" w:themeColor="text1"/>
                <w14:textFill>
                  <w14:solidFill>
                    <w14:schemeClr w14:val="tx1"/>
                  </w14:solidFill>
                </w14:textFill>
              </w:rPr>
              <w:t>《福州市人民政府关于同意环罗源湾地区工业产业布局规划（2020-2025年）》；榕政综〔2020〕65 号。</w:t>
            </w:r>
          </w:p>
        </w:tc>
      </w:tr>
      <w:tr w14:paraId="051D4B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9" w:type="dxa"/>
            <w:vAlign w:val="center"/>
          </w:tcPr>
          <w:p w14:paraId="133D7DC8">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规划环境影响</w:t>
            </w:r>
          </w:p>
          <w:p w14:paraId="0E909E93">
            <w:pPr>
              <w:pStyle w:val="96"/>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评价情况</w:t>
            </w:r>
          </w:p>
        </w:tc>
        <w:tc>
          <w:tcPr>
            <w:tcW w:w="7141" w:type="dxa"/>
            <w:gridSpan w:val="3"/>
            <w:vAlign w:val="center"/>
          </w:tcPr>
          <w:p w14:paraId="4C53FDD2">
            <w:pPr>
              <w:ind w:firstLine="480"/>
              <w:rPr>
                <w:rFonts w:cs="Times New Roman"/>
                <w:color w:val="000000" w:themeColor="text1"/>
                <w14:textFill>
                  <w14:solidFill>
                    <w14:schemeClr w14:val="tx1"/>
                  </w14:solidFill>
                </w14:textFill>
              </w:rPr>
            </w:pPr>
            <w:bookmarkStart w:id="17" w:name="_Toc141261446"/>
            <w:bookmarkStart w:id="18" w:name="_Toc2058156608"/>
            <w:bookmarkStart w:id="19" w:name="_Toc149415630"/>
            <w:bookmarkStart w:id="20" w:name="_Toc149419221"/>
            <w:bookmarkStart w:id="21" w:name="_Toc1812193606"/>
            <w:bookmarkStart w:id="22" w:name="_Toc4785"/>
            <w:r>
              <w:rPr>
                <w:rFonts w:cs="Times New Roman"/>
                <w:color w:val="000000" w:themeColor="text1"/>
                <w14:textFill>
                  <w14:solidFill>
                    <w14:schemeClr w14:val="tx1"/>
                  </w14:solidFill>
                </w14:textFill>
              </w:rPr>
              <w:t>1、规划环评文件名称:《福州市钢铁产业转型升级布局规划（2020-2025年）环境影响评价报告书》；</w:t>
            </w:r>
          </w:p>
          <w:p w14:paraId="05606B8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审查机关：福州市生态环境局；</w:t>
            </w:r>
          </w:p>
          <w:p w14:paraId="47968DA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审查文件名称及文号：</w:t>
            </w:r>
            <w:r>
              <w:rPr>
                <w:rFonts w:cs="Times New Roman"/>
                <w:b/>
                <w:bCs/>
                <w:color w:val="000000" w:themeColor="text1"/>
                <w14:textFill>
                  <w14:solidFill>
                    <w14:schemeClr w14:val="tx1"/>
                  </w14:solidFill>
                </w14:textFill>
              </w:rPr>
              <w:t>{</w:t>
            </w:r>
            <w:r>
              <w:rPr>
                <w:rFonts w:cs="Times New Roman"/>
                <w:color w:val="000000" w:themeColor="text1"/>
                <w14:textFill>
                  <w14:solidFill>
                    <w14:schemeClr w14:val="tx1"/>
                  </w14:solidFill>
                </w14:textFill>
              </w:rPr>
              <w:t>关于印发《福州市钢铁产业转型升级布局规划（2020-2025年）环境影响评价报告书》审查小组意见</w:t>
            </w:r>
            <w:r>
              <w:rPr>
                <w:rFonts w:cs="Times New Roman"/>
                <w:b/>
                <w:bCs/>
                <w:color w:val="000000" w:themeColor="text1"/>
                <w14:textFill>
                  <w14:solidFill>
                    <w14:schemeClr w14:val="tx1"/>
                  </w14:solidFill>
                </w14:textFill>
              </w:rPr>
              <w:t>}</w:t>
            </w:r>
            <w:r>
              <w:rPr>
                <w:rFonts w:cs="Times New Roman"/>
                <w:color w:val="000000" w:themeColor="text1"/>
                <w14:textFill>
                  <w14:solidFill>
                    <w14:schemeClr w14:val="tx1"/>
                  </w14:solidFill>
                </w14:textFill>
              </w:rPr>
              <w:t>；榕环保评[2020]15号。</w:t>
            </w:r>
          </w:p>
          <w:p w14:paraId="418AFB5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2、规划环评文件名称：《环罗源湾地区工业产业布局规划（2020-2025年）修编环境影响评价报告书》；</w:t>
            </w:r>
          </w:p>
          <w:p w14:paraId="5DEE06B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审查机关：福州市生态环境局；</w:t>
            </w:r>
          </w:p>
          <w:p w14:paraId="505CFCE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审查文件名称及文号：</w:t>
            </w:r>
            <w:r>
              <w:rPr>
                <w:rFonts w:cs="Times New Roman"/>
                <w:b/>
                <w:bCs/>
                <w:color w:val="000000" w:themeColor="text1"/>
                <w14:textFill>
                  <w14:solidFill>
                    <w14:schemeClr w14:val="tx1"/>
                  </w14:solidFill>
                </w14:textFill>
              </w:rPr>
              <w:t>{</w:t>
            </w:r>
            <w:r>
              <w:rPr>
                <w:rFonts w:cs="Times New Roman"/>
                <w:color w:val="000000" w:themeColor="text1"/>
                <w14:textFill>
                  <w14:solidFill>
                    <w14:schemeClr w14:val="tx1"/>
                  </w14:solidFill>
                </w14:textFill>
              </w:rPr>
              <w:t>关于印发《环罗源湾地区工业产业布局规划（2020-2025年）》修编环境影响评价报告书审查小组意见</w:t>
            </w:r>
            <w:r>
              <w:rPr>
                <w:rFonts w:cs="Times New Roman"/>
                <w:b/>
                <w:bCs/>
                <w:color w:val="000000" w:themeColor="text1"/>
                <w14:textFill>
                  <w14:solidFill>
                    <w14:schemeClr w14:val="tx1"/>
                  </w14:solidFill>
                </w14:textFill>
              </w:rPr>
              <w:t>}</w:t>
            </w:r>
            <w:r>
              <w:rPr>
                <w:rFonts w:cs="Times New Roman"/>
                <w:color w:val="000000" w:themeColor="text1"/>
                <w14:textFill>
                  <w14:solidFill>
                    <w14:schemeClr w14:val="tx1"/>
                  </w14:solidFill>
                </w14:textFill>
              </w:rPr>
              <w:t>；榕环评[2022]8号。</w:t>
            </w:r>
            <w:bookmarkEnd w:id="17"/>
            <w:bookmarkEnd w:id="18"/>
            <w:bookmarkEnd w:id="19"/>
            <w:bookmarkEnd w:id="20"/>
            <w:bookmarkEnd w:id="21"/>
            <w:bookmarkEnd w:id="22"/>
          </w:p>
        </w:tc>
      </w:tr>
      <w:tr w14:paraId="6A3DD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9" w:type="dxa"/>
            <w:vAlign w:val="center"/>
          </w:tcPr>
          <w:p w14:paraId="79643C74">
            <w:pPr>
              <w:pStyle w:val="96"/>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规划及规划环境影响评价符合性分析</w:t>
            </w:r>
          </w:p>
        </w:tc>
        <w:tc>
          <w:tcPr>
            <w:tcW w:w="7141" w:type="dxa"/>
            <w:gridSpan w:val="3"/>
            <w:vAlign w:val="center"/>
          </w:tcPr>
          <w:p w14:paraId="6D58BF4C">
            <w:pPr>
              <w:pStyle w:val="3"/>
              <w:numPr>
                <w:ilvl w:val="1"/>
                <w:numId w:val="0"/>
              </w:numPr>
              <w:rPr>
                <w:rFonts w:cs="Times New Roman"/>
                <w:color w:val="000000" w:themeColor="text1"/>
                <w14:textFill>
                  <w14:solidFill>
                    <w14:schemeClr w14:val="tx1"/>
                  </w14:solidFill>
                </w14:textFill>
              </w:rPr>
            </w:pPr>
            <w:bookmarkStart w:id="23" w:name="_Toc141261445"/>
            <w:bookmarkStart w:id="24" w:name="_Toc1102789361"/>
            <w:bookmarkStart w:id="25" w:name="_Toc149419220"/>
            <w:bookmarkStart w:id="26" w:name="_Toc149415629"/>
            <w:bookmarkStart w:id="27" w:name="_Toc1331796004"/>
            <w:bookmarkStart w:id="28" w:name="_Toc29709"/>
            <w:bookmarkStart w:id="29" w:name="_Toc1881"/>
            <w:bookmarkStart w:id="30" w:name="_Toc10312"/>
            <w:bookmarkStart w:id="31" w:name="_Toc230448008"/>
            <w:bookmarkStart w:id="32" w:name="_Toc141261444"/>
            <w:bookmarkStart w:id="33" w:name="_Toc11914"/>
            <w:bookmarkStart w:id="34" w:name="_Toc1310796723"/>
            <w:bookmarkStart w:id="35" w:name="_Toc1143192777"/>
            <w:bookmarkStart w:id="36" w:name="_Toc149415628"/>
            <w:bookmarkStart w:id="37" w:name="_Toc149419219"/>
            <w:r>
              <w:rPr>
                <w:rFonts w:cs="Times New Roman"/>
                <w:bCs w:val="0"/>
                <w:color w:val="000000" w:themeColor="text1"/>
                <w14:textFill>
                  <w14:solidFill>
                    <w14:schemeClr w14:val="tx1"/>
                  </w14:solidFill>
                </w14:textFill>
                <w14:scene3d w14:prst="orthographicFront">
                  <w14:lightRig w14:rig="threePt" w14:dir="t">
                    <w14:rot w14:lat="0" w14:lon="0" w14:rev="0"/>
                  </w14:lightRig>
                </w14:scene3d>
              </w:rPr>
              <w:t>1.1.</w:t>
            </w:r>
            <w:r>
              <w:rPr>
                <w:rFonts w:cs="Times New Roman"/>
                <w:color w:val="000000" w:themeColor="text1"/>
                <w14:textFill>
                  <w14:solidFill>
                    <w14:schemeClr w14:val="tx1"/>
                  </w14:solidFill>
                </w14:textFill>
              </w:rPr>
              <w:t>与《福州市钢铁产业转型升级布局规划》（2020-2025年）</w:t>
            </w:r>
            <w:bookmarkEnd w:id="23"/>
            <w:bookmarkEnd w:id="24"/>
            <w:bookmarkEnd w:id="25"/>
            <w:bookmarkEnd w:id="26"/>
            <w:bookmarkEnd w:id="27"/>
            <w:bookmarkEnd w:id="28"/>
            <w:r>
              <w:rPr>
                <w:rFonts w:cs="Times New Roman"/>
                <w:color w:val="000000" w:themeColor="text1"/>
                <w14:textFill>
                  <w14:solidFill>
                    <w14:schemeClr w14:val="tx1"/>
                  </w14:solidFill>
                </w14:textFill>
              </w:rPr>
              <w:t>符合性分析</w:t>
            </w:r>
            <w:bookmarkEnd w:id="29"/>
            <w:bookmarkEnd w:id="30"/>
            <w:bookmarkEnd w:id="31"/>
          </w:p>
          <w:p w14:paraId="52E3F87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注重资源要素整合，充分发挥福州市区位和产业基础的优势，按照高起点、高标准的要求，依托</w:t>
            </w:r>
            <w:r>
              <w:rPr>
                <w:rFonts w:cs="Times New Roman"/>
                <w:b/>
                <w:bCs/>
                <w:color w:val="000000" w:themeColor="text1"/>
                <w14:textFill>
                  <w14:solidFill>
                    <w14:schemeClr w14:val="tx1"/>
                  </w14:solidFill>
                </w14:textFill>
              </w:rPr>
              <w:t>宝钢德盛</w:t>
            </w:r>
            <w:r>
              <w:rPr>
                <w:rFonts w:cs="Times New Roman"/>
                <w:color w:val="000000" w:themeColor="text1"/>
                <w14:textFill>
                  <w14:solidFill>
                    <w14:schemeClr w14:val="tx1"/>
                  </w14:solidFill>
                </w14:textFill>
              </w:rPr>
              <w:t>、罗源闽光、福建大东海实业、吴钢集团等龙头企业，加快福州市钢铁产业结构调整和产业发展，推进钢铁行业转型升级、绿色发展，提高产品附加值，打造海峡西岸绿色钢铁千亿集群。</w:t>
            </w:r>
          </w:p>
          <w:p w14:paraId="531F20A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——推动福州市区域钢铁产品转型升级，提高产品附加值，环罗源湾片区在</w:t>
            </w:r>
            <w:r>
              <w:rPr>
                <w:rFonts w:cs="Times New Roman"/>
                <w:b/>
                <w:bCs/>
                <w:color w:val="000000" w:themeColor="text1"/>
                <w14:textFill>
                  <w14:solidFill>
                    <w14:schemeClr w14:val="tx1"/>
                  </w14:solidFill>
                </w14:textFill>
              </w:rPr>
              <w:t>布局宝钢德盛</w:t>
            </w:r>
            <w:r>
              <w:rPr>
                <w:rFonts w:cs="Times New Roman"/>
                <w:color w:val="000000" w:themeColor="text1"/>
                <w14:textFill>
                  <w14:solidFill>
                    <w14:schemeClr w14:val="tx1"/>
                  </w14:solidFill>
                </w14:textFill>
              </w:rPr>
              <w:t>、罗源闽光、亿鑫钢铁等龙头项目的基础上，发展高附加值精品钢材和不锈钢产业（大中型H型特种钢材、扁平材及优质圆棒等品种，热（冷）轧不锈钢卷板、镍合金卷板、不锈钢带材等高附加值不锈钢品种）。</w:t>
            </w:r>
          </w:p>
          <w:p w14:paraId="5BDFC9C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环罗源湾片区用地面积约9400 亩，重点布局于环罗源湾北岸金港工业园。充分利用国家冶金工业布局逐步向市场需求增长快的地区转移、向进口铁矿石便利的沿海地区转移的有利时机，充分发挥港口和土地优势。</w:t>
            </w:r>
            <w:r>
              <w:rPr>
                <w:rFonts w:cs="Times New Roman"/>
                <w:b/>
                <w:bCs/>
                <w:color w:val="000000" w:themeColor="text1"/>
                <w14:textFill>
                  <w14:solidFill>
                    <w14:schemeClr w14:val="tx1"/>
                  </w14:solidFill>
                </w14:textFill>
              </w:rPr>
              <w:t>主要依托宝钢德盛</w:t>
            </w:r>
            <w:r>
              <w:rPr>
                <w:rFonts w:cs="Times New Roman"/>
                <w:color w:val="000000" w:themeColor="text1"/>
                <w14:textFill>
                  <w14:solidFill>
                    <w14:schemeClr w14:val="tx1"/>
                  </w14:solidFill>
                </w14:textFill>
              </w:rPr>
              <w:t>、罗源闽光等龙头企业，重点发展高起点、高技术含量、高附加值的钢铁产品，丰富特种钢产品品种，成为我国重要的生态型精品钢铁产业基地之一。</w:t>
            </w:r>
          </w:p>
          <w:p w14:paraId="62B6F18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拟建项目属于钢铁企业配套的余气、余热回收利用工程，位于宝钢德盛现有厂区内，属钢铁行业</w:t>
            </w:r>
            <w:r>
              <w:rPr>
                <w:rStyle w:val="51"/>
                <w:b w:val="0"/>
                <w:bCs w:val="0"/>
                <w:color w:val="000000" w:themeColor="text1"/>
                <w14:textFill>
                  <w14:solidFill>
                    <w14:schemeClr w14:val="tx1"/>
                  </w14:solidFill>
                </w14:textFill>
              </w:rPr>
              <w:t>节能环保与资源综合利用类</w:t>
            </w:r>
            <w:r>
              <w:rPr>
                <w:rFonts w:cs="Times New Roman"/>
                <w:color w:val="000000" w:themeColor="text1"/>
                <w14:textFill>
                  <w14:solidFill>
                    <w14:schemeClr w14:val="tx1"/>
                  </w14:solidFill>
                </w14:textFill>
              </w:rPr>
              <w:t>，符合规划关于“转型升级、绿色发展、提高附加值、打造海峡西岸绿色钢铁千亿集群”的核心目标；本规划主要依托宝钢德盛等龙头企业，拟建项目为龙头企业配套余能利用设施，有利于宝钢德盛发展高附加值精品钢材和不锈钢产业。拟建项目符合《福州市钢铁产业转型升级布局规划》（2020-2025年）。</w:t>
            </w:r>
          </w:p>
          <w:p w14:paraId="497A85FB">
            <w:pPr>
              <w:pStyle w:val="3"/>
              <w:numPr>
                <w:ilvl w:val="1"/>
                <w:numId w:val="0"/>
              </w:numPr>
              <w:rPr>
                <w:rFonts w:cs="Times New Roman"/>
                <w:color w:val="000000" w:themeColor="text1"/>
                <w14:textFill>
                  <w14:solidFill>
                    <w14:schemeClr w14:val="tx1"/>
                  </w14:solidFill>
                </w14:textFill>
              </w:rPr>
            </w:pPr>
            <w:bookmarkStart w:id="38" w:name="_Toc230448009"/>
            <w:bookmarkStart w:id="39" w:name="_Toc21281"/>
            <w:bookmarkStart w:id="40" w:name="_Toc29731"/>
            <w:r>
              <w:rPr>
                <w:rFonts w:cs="Times New Roman"/>
                <w:bCs w:val="0"/>
                <w:color w:val="000000" w:themeColor="text1"/>
                <w14:textFill>
                  <w14:solidFill>
                    <w14:schemeClr w14:val="tx1"/>
                  </w14:solidFill>
                </w14:textFill>
                <w14:scene3d w14:prst="orthographicFront">
                  <w14:lightRig w14:rig="threePt" w14:dir="t">
                    <w14:rot w14:lat="0" w14:lon="0" w14:rev="0"/>
                  </w14:lightRig>
                </w14:scene3d>
              </w:rPr>
              <w:t>1.2.</w:t>
            </w:r>
            <w:r>
              <w:rPr>
                <w:rFonts w:cs="Times New Roman"/>
                <w:color w:val="000000" w:themeColor="text1"/>
                <w14:textFill>
                  <w14:solidFill>
                    <w14:schemeClr w14:val="tx1"/>
                  </w14:solidFill>
                </w14:textFill>
              </w:rPr>
              <w:t>与《环罗源湾地区工业产业布局规划》（2020-2025年）修编</w:t>
            </w:r>
            <w:bookmarkEnd w:id="32"/>
            <w:bookmarkEnd w:id="33"/>
            <w:bookmarkEnd w:id="34"/>
            <w:bookmarkEnd w:id="35"/>
            <w:bookmarkEnd w:id="36"/>
            <w:bookmarkEnd w:id="37"/>
            <w:r>
              <w:rPr>
                <w:rFonts w:cs="Times New Roman"/>
                <w:color w:val="000000" w:themeColor="text1"/>
                <w14:textFill>
                  <w14:solidFill>
                    <w14:schemeClr w14:val="tx1"/>
                  </w14:solidFill>
                </w14:textFill>
              </w:rPr>
              <w:t>符合性分析</w:t>
            </w:r>
            <w:bookmarkEnd w:id="38"/>
            <w:bookmarkEnd w:id="39"/>
            <w:bookmarkEnd w:id="40"/>
          </w:p>
          <w:p w14:paraId="2152BABD">
            <w:pPr>
              <w:ind w:firstLine="480"/>
              <w:rPr>
                <w:rFonts w:cs="Times New Roman"/>
                <w:b/>
                <w:bCs/>
                <w:color w:val="000000" w:themeColor="text1"/>
                <w:u w:val="wave"/>
                <w14:textFill>
                  <w14:solidFill>
                    <w14:schemeClr w14:val="tx1"/>
                  </w14:solidFill>
                </w14:textFill>
              </w:rPr>
            </w:pPr>
            <w:r>
              <w:rPr>
                <w:rFonts w:cs="Times New Roman"/>
                <w:color w:val="000000" w:themeColor="text1"/>
                <w14:textFill>
                  <w14:solidFill>
                    <w14:schemeClr w14:val="tx1"/>
                  </w14:solidFill>
                </w14:textFill>
              </w:rPr>
              <w:t>金港组团：利用现有的产业优势，鼓励高起点、高技术含量的发展特种钢等产品，推进镍合金等有色金属行业和冷弯型钢、建筑用钢、桥梁用钢等钢结构加工和不锈钢产业链向精深加工发展。冶金产业规模控制在炼铁1000万吨、炼钢1500万吨（其中优特钢700万吨、不锈钢800 万吨）。组团内的淡头作业区以滚装、散杂货运输为主，主要服务周边临港工业发展。组团西北侧规划布局金属精深加工产业和钢铁循环经济产业，作为区内冶金企业的下游延伸以及</w:t>
            </w:r>
            <w:r>
              <w:rPr>
                <w:rFonts w:cs="Times New Roman"/>
                <w:b/>
                <w:bCs/>
                <w:color w:val="000000" w:themeColor="text1"/>
                <w14:textFill>
                  <w14:solidFill>
                    <w14:schemeClr w14:val="tx1"/>
                  </w14:solidFill>
                </w14:textFill>
              </w:rPr>
              <w:t>冶金企业生产过程中余热、余压、余气、余渣的回收再利用和再资源化。</w:t>
            </w:r>
          </w:p>
          <w:p w14:paraId="0235493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属于钢铁企业配套的余气、余热回收利用工程，位于宝钢德盛现有厂区内，属于规划明确提出的钢铁循环经济产业范畴，是冶金生产过程中余热、余气资源化回收再利用项目，同时服务于企业冶金产业链绿色化升级，契合金港组团钢铁循环经济、延伸冶金下游配套产业的发展导向，符合组团产业发展布局。</w:t>
            </w:r>
          </w:p>
          <w:p w14:paraId="03B72F61">
            <w:pPr>
              <w:pStyle w:val="3"/>
              <w:numPr>
                <w:ilvl w:val="1"/>
                <w:numId w:val="0"/>
              </w:numPr>
              <w:rPr>
                <w:rFonts w:cs="Times New Roman"/>
                <w:color w:val="000000" w:themeColor="text1"/>
                <w14:textFill>
                  <w14:solidFill>
                    <w14:schemeClr w14:val="tx1"/>
                  </w14:solidFill>
                </w14:textFill>
              </w:rPr>
            </w:pPr>
            <w:bookmarkStart w:id="41" w:name="_Toc149419222"/>
            <w:bookmarkStart w:id="42" w:name="_Toc22568"/>
            <w:bookmarkStart w:id="43" w:name="_Toc1955791055"/>
            <w:bookmarkStart w:id="44" w:name="_Toc149415631"/>
            <w:bookmarkStart w:id="45" w:name="_Toc141261447"/>
            <w:bookmarkStart w:id="46" w:name="_Toc1022977989"/>
            <w:bookmarkStart w:id="47" w:name="_Toc6691"/>
            <w:bookmarkStart w:id="48" w:name="_Toc6592"/>
            <w:bookmarkStart w:id="49" w:name="_Toc230448010"/>
            <w:r>
              <w:rPr>
                <w:rFonts w:cs="Times New Roman"/>
                <w:bCs w:val="0"/>
                <w:color w:val="000000" w:themeColor="text1"/>
                <w14:textFill>
                  <w14:solidFill>
                    <w14:schemeClr w14:val="tx1"/>
                  </w14:solidFill>
                </w14:textFill>
                <w14:scene3d w14:prst="orthographicFront">
                  <w14:lightRig w14:rig="threePt" w14:dir="t">
                    <w14:rot w14:lat="0" w14:lon="0" w14:rev="0"/>
                  </w14:lightRig>
                </w14:scene3d>
              </w:rPr>
              <w:t>1.3.</w:t>
            </w:r>
            <w:r>
              <w:rPr>
                <w:rFonts w:cs="Times New Roman"/>
                <w:color w:val="000000" w:themeColor="text1"/>
                <w14:textFill>
                  <w14:solidFill>
                    <w14:schemeClr w14:val="tx1"/>
                  </w14:solidFill>
                </w14:textFill>
              </w:rPr>
              <w:t>与《福州市钢铁产业转型升级布局规划（2020-2025年）》环评</w:t>
            </w:r>
            <w:bookmarkEnd w:id="41"/>
            <w:bookmarkEnd w:id="42"/>
            <w:bookmarkEnd w:id="43"/>
            <w:bookmarkEnd w:id="44"/>
            <w:bookmarkEnd w:id="45"/>
            <w:bookmarkEnd w:id="46"/>
            <w:r>
              <w:rPr>
                <w:rFonts w:cs="Times New Roman"/>
                <w:color w:val="000000" w:themeColor="text1"/>
                <w14:textFill>
                  <w14:solidFill>
                    <w14:schemeClr w14:val="tx1"/>
                  </w14:solidFill>
                </w14:textFill>
              </w:rPr>
              <w:t>及审查意见分析</w:t>
            </w:r>
            <w:bookmarkEnd w:id="47"/>
            <w:bookmarkEnd w:id="48"/>
            <w:bookmarkEnd w:id="49"/>
          </w:p>
          <w:p w14:paraId="21767406">
            <w:pPr>
              <w:autoSpaceDE w:val="0"/>
              <w:autoSpaceDN w:val="0"/>
              <w:adjustRightInd w:val="0"/>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拟建项目与《</w:t>
            </w:r>
            <w:r>
              <w:rPr>
                <w:rFonts w:cs="Times New Roman"/>
                <w:color w:val="000000" w:themeColor="text1"/>
                <w14:textFill>
                  <w14:solidFill>
                    <w14:schemeClr w14:val="tx1"/>
                  </w14:solidFill>
                </w14:textFill>
              </w:rPr>
              <w:t>福州市钢铁产业转型升级布局规划（2020-2025年）环评报告书》及其审查意见</w:t>
            </w:r>
            <w:r>
              <w:rPr>
                <w:rFonts w:cs="Times New Roman"/>
                <w:color w:val="000000" w:themeColor="text1"/>
                <w:szCs w:val="18"/>
                <w14:textFill>
                  <w14:solidFill>
                    <w14:schemeClr w14:val="tx1"/>
                  </w14:solidFill>
                </w14:textFill>
              </w:rPr>
              <w:t>的符合性分析见下表。由表可知，拟建项目建设符合规划环评文件</w:t>
            </w:r>
            <w:r>
              <w:rPr>
                <w:rFonts w:cs="Times New Roman"/>
                <w:color w:val="000000" w:themeColor="text1"/>
                <w14:textFill>
                  <w14:solidFill>
                    <w14:schemeClr w14:val="tx1"/>
                  </w14:solidFill>
                </w14:textFill>
              </w:rPr>
              <w:t>及其审查意见</w:t>
            </w:r>
            <w:r>
              <w:rPr>
                <w:rFonts w:cs="Times New Roman"/>
                <w:color w:val="000000" w:themeColor="text1"/>
                <w:szCs w:val="18"/>
                <w14:textFill>
                  <w14:solidFill>
                    <w14:schemeClr w14:val="tx1"/>
                  </w14:solidFill>
                </w14:textFill>
              </w:rPr>
              <w:t>要求。</w:t>
            </w:r>
          </w:p>
          <w:p w14:paraId="4C6599A2">
            <w:pPr>
              <w:pStyle w:val="353"/>
              <w:rPr>
                <w:rFonts w:cs="Times New Roman"/>
                <w:color w:val="000000" w:themeColor="text1"/>
                <w14:textFill>
                  <w14:solidFill>
                    <w14:schemeClr w14:val="tx1"/>
                  </w14:solidFill>
                </w14:textFill>
              </w:rPr>
            </w:pPr>
          </w:p>
          <w:p w14:paraId="18FF2304">
            <w:pPr>
              <w:ind w:firstLine="480"/>
              <w:rPr>
                <w:rFonts w:cs="Times New Roman"/>
                <w:color w:val="000000" w:themeColor="text1"/>
                <w14:textFill>
                  <w14:solidFill>
                    <w14:schemeClr w14:val="tx1"/>
                  </w14:solidFill>
                </w14:textFill>
              </w:rPr>
            </w:pPr>
          </w:p>
        </w:tc>
      </w:tr>
    </w:tbl>
    <w:p w14:paraId="462409F8">
      <w:pPr>
        <w:ind w:firstLine="480"/>
        <w:rPr>
          <w:rFonts w:cs="Times New Roman"/>
          <w:color w:val="000000" w:themeColor="text1"/>
          <w14:textFill>
            <w14:solidFill>
              <w14:schemeClr w14:val="tx1"/>
            </w14:solidFill>
          </w14:textFill>
        </w:rPr>
        <w:sectPr>
          <w:footerReference r:id="rId11" w:type="default"/>
          <w:type w:val="continuous"/>
          <w:pgSz w:w="11907" w:h="16840"/>
          <w:pgMar w:top="1701" w:right="1531" w:bottom="2127" w:left="1531" w:header="851" w:footer="851" w:gutter="0"/>
          <w:pgNumType w:start="1"/>
          <w:cols w:space="720" w:num="1"/>
          <w:docGrid w:linePitch="312" w:charSpace="0"/>
        </w:sectPr>
      </w:pPr>
    </w:p>
    <w:p w14:paraId="2D02159E">
      <w:pPr>
        <w:ind w:firstLine="480"/>
        <w:rPr>
          <w:rFonts w:cs="Times New Roman"/>
          <w:color w:val="000000" w:themeColor="text1"/>
          <w14:textFill>
            <w14:solidFill>
              <w14:schemeClr w14:val="tx1"/>
            </w14:solidFill>
          </w14:textFill>
        </w:rPr>
        <w:sectPr>
          <w:footerReference r:id="rId12" w:type="default"/>
          <w:type w:val="continuous"/>
          <w:pgSz w:w="11907" w:h="16840"/>
          <w:pgMar w:top="1701" w:right="1531" w:bottom="2127" w:left="1531" w:header="851" w:footer="851" w:gutter="0"/>
          <w:cols w:space="720" w:num="1"/>
          <w:docGrid w:linePitch="312" w:charSpace="0"/>
        </w:sectPr>
      </w:pPr>
    </w:p>
    <w:p w14:paraId="10F0B1BA">
      <w:pPr>
        <w:ind w:firstLine="480"/>
        <w:rPr>
          <w:rFonts w:cs="Times New Roman"/>
          <w:color w:val="000000" w:themeColor="text1"/>
          <w14:textFill>
            <w14:solidFill>
              <w14:schemeClr w14:val="tx1"/>
            </w14:solidFill>
          </w14:textFill>
        </w:rPr>
      </w:pPr>
    </w:p>
    <w:tbl>
      <w:tblPr>
        <w:tblStyle w:val="46"/>
        <w:tblW w:w="49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1932"/>
      </w:tblGrid>
      <w:tr w14:paraId="15BEC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3" w:hRule="atLeast"/>
          <w:jc w:val="center"/>
        </w:trPr>
        <w:tc>
          <w:tcPr>
            <w:tcW w:w="400" w:type="pct"/>
            <w:vAlign w:val="center"/>
          </w:tcPr>
          <w:p w14:paraId="0CA54182">
            <w:pPr>
              <w:pStyle w:val="96"/>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规划及规划环境影响评价符合性分析</w:t>
            </w:r>
          </w:p>
        </w:tc>
        <w:tc>
          <w:tcPr>
            <w:tcW w:w="4599" w:type="pct"/>
            <w:vAlign w:val="center"/>
          </w:tcPr>
          <w:p w14:paraId="1EAA27A2">
            <w:pPr>
              <w:pStyle w:val="353"/>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1.3</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与规划环评及审查意见符合性一览表</w:t>
            </w:r>
          </w:p>
          <w:tbl>
            <w:tblPr>
              <w:tblStyle w:val="47"/>
              <w:tblpPr w:leftFromText="180" w:rightFromText="180" w:vertAnchor="text" w:tblpY="1"/>
              <w:tblOverlap w:val="never"/>
              <w:tblW w:w="11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733"/>
              <w:gridCol w:w="5745"/>
              <w:gridCol w:w="3407"/>
              <w:gridCol w:w="1019"/>
            </w:tblGrid>
            <w:tr w14:paraId="7B71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33" w:type="dxa"/>
                  <w:vAlign w:val="center"/>
                </w:tcPr>
                <w:p w14:paraId="0336E57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适用范围</w:t>
                  </w:r>
                </w:p>
              </w:tc>
              <w:tc>
                <w:tcPr>
                  <w:tcW w:w="733" w:type="dxa"/>
                  <w:vAlign w:val="center"/>
                </w:tcPr>
                <w:p w14:paraId="6CA2DB0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管控内容</w:t>
                  </w:r>
                </w:p>
              </w:tc>
              <w:tc>
                <w:tcPr>
                  <w:tcW w:w="5745" w:type="dxa"/>
                  <w:vAlign w:val="center"/>
                </w:tcPr>
                <w:p w14:paraId="3420111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管控要求</w:t>
                  </w:r>
                </w:p>
              </w:tc>
              <w:tc>
                <w:tcPr>
                  <w:tcW w:w="3407" w:type="dxa"/>
                  <w:vAlign w:val="center"/>
                </w:tcPr>
                <w:p w14:paraId="3FBBBCE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项目情况</w:t>
                  </w:r>
                </w:p>
              </w:tc>
              <w:tc>
                <w:tcPr>
                  <w:tcW w:w="1019" w:type="dxa"/>
                  <w:vAlign w:val="center"/>
                </w:tcPr>
                <w:p w14:paraId="70C6B833">
                  <w:pPr>
                    <w:pStyle w:val="138"/>
                    <w:rPr>
                      <w:rFonts w:cs="Times New Roman"/>
                      <w:color w:val="000000" w:themeColor="text1"/>
                      <w14:textFill>
                        <w14:solidFill>
                          <w14:schemeClr w14:val="tx1"/>
                        </w14:solidFill>
                      </w14:textFill>
                    </w:rPr>
                  </w:pPr>
                  <w:r>
                    <w:rPr>
                      <w:rFonts w:cs="Times New Roman"/>
                      <w:color w:val="000000" w:themeColor="text1"/>
                      <w:sz w:val="18"/>
                      <w:szCs w:val="18"/>
                      <w14:textFill>
                        <w14:solidFill>
                          <w14:schemeClr w14:val="tx1"/>
                        </w14:solidFill>
                      </w14:textFill>
                    </w:rPr>
                    <w:t>符合性分析</w:t>
                  </w:r>
                </w:p>
              </w:tc>
            </w:tr>
            <w:tr w14:paraId="03EC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7" w:hRule="atLeast"/>
              </w:trPr>
              <w:tc>
                <w:tcPr>
                  <w:tcW w:w="733" w:type="dxa"/>
                  <w:vMerge w:val="restart"/>
                  <w:vAlign w:val="center"/>
                </w:tcPr>
                <w:p w14:paraId="35EEADA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w:t>
                  </w:r>
                </w:p>
                <w:p w14:paraId="58E598C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w:t>
                  </w:r>
                </w:p>
                <w:p w14:paraId="3B426E9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划</w:t>
                  </w:r>
                </w:p>
                <w:p w14:paraId="6042297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区</w:t>
                  </w:r>
                </w:p>
              </w:tc>
              <w:tc>
                <w:tcPr>
                  <w:tcW w:w="733" w:type="dxa"/>
                  <w:vAlign w:val="center"/>
                </w:tcPr>
                <w:p w14:paraId="17B8436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空间布局约束</w:t>
                  </w:r>
                </w:p>
              </w:tc>
              <w:tc>
                <w:tcPr>
                  <w:tcW w:w="5745" w:type="dxa"/>
                </w:tcPr>
                <w:p w14:paraId="4712B6B8">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1.福州市2020～2025年钢铁产业发展规划重点发展区域为环罗源湾片区及长乐片区，福州其他区域原则上不再布局钢铁冶炼项目，鼓励引导福州其他区域现有钢厂钢铁产能逐步退出。</w:t>
                  </w:r>
                </w:p>
                <w:p w14:paraId="2D41E3C3">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环罗源湾北岸金港工业园主要依托宝钢德盛、罗源闽光等龙头企业，重点发展高起点、高技术含量、高附加值的钢铁产品，丰富特种钢产品品种，成为我国重要的生态型精品钢铁产业基地之一。重点发展冶金和金属深加工产业，延伸产业链；发展高附加值精品钢材和不锈钢产业（大中型H型特种钢材、扁平材及优质圆棒等品种，热（冷）轧不锈钢卷板、镍合金卷板、不锈钢带材等高附加值不锈钢品种），产业链向精深加工发展，提高产品档次和附加值。</w:t>
                  </w:r>
                </w:p>
                <w:p w14:paraId="0E03FA66">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长乐片区重点规划区块位于长乐区东部松下镇滨海工业集中区，依托福建大东海的优势，积极推动产业结构调整，支持高端钢材品种的研发和产业化及下游用钢产业发展。重点研发制造汽车用钢、工程机械用热轧高强板、高耐候钢、管线钢、集装箱用钢等附加值较高的板带产品。</w:t>
                  </w:r>
                </w:p>
                <w:p w14:paraId="2E209023">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长乐片区的航城街道洋屿作业区及营前镇岐头村的闽江口工业区加快发展不锈钢、有色金属精深加工等冶金下游链条产业，积极推动冶金产业转型升级。以福建吴航不锈钢为龙头企业，重点发展高端优质不锈钢产品，提升上游产品品质，拓展延伸发展下游精加工产业链；以福州吴航钢铁的电炉炼钢企业，进行废钢资源回收利用。</w:t>
                  </w:r>
                </w:p>
                <w:p w14:paraId="79DB6E9F">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项目引进应符合《产业结构调整指导目录(2019年本)》、《限制用地项目目录(2012年本)》和《禁止用地项目目录(2012年本)》、《钢铁产业调整政策（2015年修订）》（征求意见稿）、《钢铁工业调整升级规划（2016-2020年）》、《产业发展与转移指导目录（2018年本）》等国家相关法律、法规和产业政策要求。</w:t>
                  </w:r>
                </w:p>
                <w:p w14:paraId="5DB49847">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6.拟落地钢铁项目禁止建设《产业结构调整指导目录（2019年本）》中淘汰类和限制类的工艺和装备。</w:t>
                  </w:r>
                </w:p>
                <w:p w14:paraId="06A80DA0">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7.项目引进符合钢铁冶金行业化解产能严重过剩矛盾的相关指导意见；符合《钢铁行业产能置换实施办法》（工信部原[2017]337号）。</w:t>
                  </w:r>
                </w:p>
                <w:p w14:paraId="1D6B94FC">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8.规划区内禁止新上焦化生产线，钢企能源缺口统一采用外购焦炭方式予以解决。</w:t>
                  </w:r>
                </w:p>
                <w:p w14:paraId="4BDD1FFE">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钢铁企业周边应规划足够距离的环保控制带，应严格控制环保控制带的用地规划功能和村镇发展规模，不得新增居民住宅、学校、医院，种植食用农产品等；环罗源湾片区及长乐松下片区三类工业用地周边1km设置环保控制带（如遇山体以第一重山山脊为界限），控制带内严格限制规划新增居住、学校、医院等用地类型。妥善做好可能受影响范围内居住区搬迁安置。</w:t>
                  </w:r>
                </w:p>
                <w:p w14:paraId="7D42C469">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10.规划或项目实施过程中应严格执行钢铁行业相关政策，清洁生产水平须达到国内先进水平及以上。</w:t>
                  </w:r>
                </w:p>
              </w:tc>
              <w:tc>
                <w:tcPr>
                  <w:tcW w:w="3407" w:type="dxa"/>
                </w:tcPr>
                <w:p w14:paraId="72A1A79F">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1、拟建项目为余能利用项目，位于环罗源湾片区宝钢德盛现有厂区内；</w:t>
                  </w:r>
                </w:p>
                <w:p w14:paraId="2BF89F9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2、拟建项目符合《产业结构调整指导目录(2024年本)》、《自然资源要素支撑产业高质量发展指导目录（2024 年本）》（自然资发〔2024〕273号）、《产业发展与转移指导目录（2018年本）》等国家相关法律、法规和产业政策要求。</w:t>
                  </w:r>
                </w:p>
                <w:p w14:paraId="65394BBF">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3、拟建项目不涉及钢铁产能，不涉及焦化生产；</w:t>
                  </w:r>
                </w:p>
                <w:p w14:paraId="21B13520">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4、宝钢德盛企业周边已设置足够距离的大气防护距离，其范围内未新增居民住宅、学校、医院，种植食用农产品等；</w:t>
                  </w:r>
                </w:p>
                <w:p w14:paraId="68F25FCA">
                  <w:pPr>
                    <w:pStyle w:val="138"/>
                    <w:jc w:val="both"/>
                    <w:rPr>
                      <w:rFonts w:cs="Times New Roman"/>
                      <w:color w:val="000000" w:themeColor="text1"/>
                      <w14:textFill>
                        <w14:solidFill>
                          <w14:schemeClr w14:val="tx1"/>
                        </w14:solidFill>
                      </w14:textFill>
                    </w:rPr>
                  </w:pPr>
                </w:p>
              </w:tc>
              <w:tc>
                <w:tcPr>
                  <w:tcW w:w="1019" w:type="dxa"/>
                  <w:vAlign w:val="center"/>
                </w:tcPr>
                <w:p w14:paraId="695E223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432A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6" w:hRule="atLeast"/>
              </w:trPr>
              <w:tc>
                <w:tcPr>
                  <w:tcW w:w="733" w:type="dxa"/>
                  <w:vMerge w:val="continue"/>
                </w:tcPr>
                <w:p w14:paraId="295A653A">
                  <w:pPr>
                    <w:pStyle w:val="138"/>
                    <w:rPr>
                      <w:rFonts w:cs="Times New Roman"/>
                      <w:color w:val="000000" w:themeColor="text1"/>
                      <w14:textFill>
                        <w14:solidFill>
                          <w14:schemeClr w14:val="tx1"/>
                        </w14:solidFill>
                      </w14:textFill>
                    </w:rPr>
                  </w:pPr>
                </w:p>
              </w:tc>
              <w:tc>
                <w:tcPr>
                  <w:tcW w:w="733" w:type="dxa"/>
                  <w:vAlign w:val="center"/>
                </w:tcPr>
                <w:p w14:paraId="7813EF2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污染排放管控</w:t>
                  </w:r>
                </w:p>
              </w:tc>
              <w:tc>
                <w:tcPr>
                  <w:tcW w:w="5745" w:type="dxa"/>
                </w:tcPr>
                <w:p w14:paraId="5C2D1A32">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1.钢铁冶炼新增排放二氧化硫、氮氧化物、工业烟粉尘、挥发性有机物的项目，实行区域污染物排放减量替代（二氧化硫排放量按不低于1.2倍进行排污权交易，挥发性有机物执行倍量替代）。</w:t>
                  </w:r>
                </w:p>
                <w:p w14:paraId="5F997646">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2.钢铁行业执行超低排放：烧结机机头、球团焙烧烟气颗粒物、二氧化硫、氮氧化物排放浓度小时均值分别不高于10、35、50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；其他主要污染源颗粒物、二氧化硫、氮氧化物排放浓度小时均值原则上分别不高于10、50、200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。长乐松下片区执行严于超低排放限值，烧结机机头、球团焙烧烟气颗粒物、二氧化硫、氮氧化物排放浓度小时均值分别不高于8、25、40mg/m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；炼铁热风炉颗粒物、二氧化硫、氮氧化物排放浓度小时均值分别不高于8、25、60mg/m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；轧钢热处理炉颗粒物、二氧化硫、氮氧化物排放浓度小时均值分别不高于8、35、60mg/m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；燃气锅炉颗粒物、二氧化硫、氮氧化物排放浓度小时均值分别不高于8、25、35mg/m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；其他主要污染源颗粒物排放浓度小时均值原则上分别不高于8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38C37A77">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 钢铁企业废气超低排放达标率100%。</w:t>
                  </w:r>
                </w:p>
                <w:p w14:paraId="5FB4F254">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4.环罗源湾金港片区钢铁行业大气污染物及特征污染物允许排放量为：颗粒物 9666 t/a、SO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：3288 t/a、NO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：9549t/a、CO：225482 t/a、VOCs：134 t/a、氟化物71 t/a、二噁英18 t/a。长乐松下片区钢铁行业大气污染物及特征污染物允许排放量为：颗粒物 5172 t/a、SO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：1319 t/a、NO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：2172 t/a、CO 158460 t/a、氟化物 51t/a、二噁英 11 t/a。长乐闽江口片区钢铁行业大气污染物及特征污染物允许排放量为：颗粒物 897 t/a、SO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：130 t/a、NO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：518 t/a、CO 2582 t/a、二噁英 22 t/a。</w:t>
                  </w:r>
                </w:p>
                <w:p w14:paraId="23830243">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5.钢铁企业工业废水实施零排放，工业用水重复率≥97%。</w:t>
                  </w:r>
                </w:p>
                <w:p w14:paraId="31D4BAB3">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6.生活污水集中处理率≥100%。</w:t>
                  </w:r>
                </w:p>
              </w:tc>
              <w:tc>
                <w:tcPr>
                  <w:tcW w:w="3407" w:type="dxa"/>
                </w:tcPr>
                <w:p w14:paraId="31A78A87">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1、拟建项目废气污染物二氧化硫、氮氧化物、颗粒物执行《关于推进实施钢铁行业超低排放的意见》（环大气[2019]35号）超低排放要求和《火电厂大气污染物排放标准》（GB 13223—2011）；</w:t>
                  </w:r>
                </w:p>
                <w:p w14:paraId="0411CF6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2、宝钢德盛实施超低排放改造排污总量全面削减，拟建项目为余能利用项目，建成后全厂排污符合本规划环评中钢铁产业污染物排放总量未突破的要求；</w:t>
                  </w:r>
                </w:p>
                <w:p w14:paraId="72459852">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3、拟建项目工业废水实施零排放，工业用水重复率≥97%，生活污水集中处理率≥100%。</w:t>
                  </w:r>
                </w:p>
              </w:tc>
              <w:tc>
                <w:tcPr>
                  <w:tcW w:w="1019" w:type="dxa"/>
                  <w:vAlign w:val="center"/>
                </w:tcPr>
                <w:p w14:paraId="37591F1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7157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4" w:hRule="atLeast"/>
              </w:trPr>
              <w:tc>
                <w:tcPr>
                  <w:tcW w:w="733" w:type="dxa"/>
                  <w:vMerge w:val="continue"/>
                </w:tcPr>
                <w:p w14:paraId="5B86ACC3">
                  <w:pPr>
                    <w:pStyle w:val="138"/>
                    <w:rPr>
                      <w:rFonts w:cs="Times New Roman"/>
                      <w:color w:val="000000" w:themeColor="text1"/>
                      <w14:textFill>
                        <w14:solidFill>
                          <w14:schemeClr w14:val="tx1"/>
                        </w14:solidFill>
                      </w14:textFill>
                    </w:rPr>
                  </w:pPr>
                </w:p>
              </w:tc>
              <w:tc>
                <w:tcPr>
                  <w:tcW w:w="733" w:type="dxa"/>
                  <w:vAlign w:val="center"/>
                </w:tcPr>
                <w:p w14:paraId="42F6504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环境风险防控</w:t>
                  </w:r>
                </w:p>
              </w:tc>
              <w:tc>
                <w:tcPr>
                  <w:tcW w:w="5745" w:type="dxa"/>
                </w:tcPr>
                <w:p w14:paraId="156FAECA">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1.对可能存在的风险建立“一区一档”环境信息管理平台。强化企业环境风险防范设施设备建设和正常运行监管，加强企业应急预案制定，建立常态化的企业隐患排查整治监管机制；加强风险防控体系建设。</w:t>
                  </w:r>
                </w:p>
                <w:p w14:paraId="0703180D">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2.各企业内部须设置事故应急池，用于收集事故时的生产废水、消防洗消废水和初期雨水。</w:t>
                  </w:r>
                </w:p>
                <w:p w14:paraId="008FA510">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3.与罗源县生态环境主管部门、长乐区生态环境管理部门建立联动机制，定期开展区域环境空气质量监测，开展隐患排查，加强对企业的环保管理，确保污染治理设施运行正常。</w:t>
                  </w:r>
                </w:p>
                <w:p w14:paraId="0B16F5D0">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 加强固体废物堆放场所建设，临时堆放储存场所、转运站应设置防流失防渗透设施。要求规划区内企业在危废间污染区地面建设防渗措施和泄漏、渗漏污染物收集措施，防止危险废物泄漏污染土壤</w:t>
                  </w:r>
                </w:p>
                <w:p w14:paraId="11E0164B">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5、建立环境风险三级防控体系。</w:t>
                  </w:r>
                </w:p>
              </w:tc>
              <w:tc>
                <w:tcPr>
                  <w:tcW w:w="3407" w:type="dxa"/>
                </w:tcPr>
                <w:p w14:paraId="045ADF91">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1、宝钢德盛已建立环境信息管理平台，配置了各级环境风险防范设施设备，构建管理部门有效保障正常运行监管，已按期修编企业应急预案制定，建立常态化的企业隐患排查整治监管机制和风险防控体系；</w:t>
                  </w:r>
                </w:p>
                <w:p w14:paraId="54F838E1">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2、企业设有全厂事故应急池，收集事故时的生产废水、消防洗消废水和初期雨水。</w:t>
                  </w:r>
                </w:p>
                <w:p w14:paraId="3361A956">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3.企业与罗源县生态环境主管部门建立了联动机制，定期开展区域环境空气质量监测，开展隐患排查；注重企业的环保管理，确保污染治理设施运行正常。</w:t>
                  </w:r>
                </w:p>
                <w:p w14:paraId="432BD30E">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4.宝钢德盛建设有符合贮存空间和规范要求危险废物和一般固体废物堆放场所，可有效防止危废间危险废物泄漏污染土壤。</w:t>
                  </w:r>
                </w:p>
                <w:p w14:paraId="5D8A9CC8">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5、企业建立了环境风险三级防控体系。</w:t>
                  </w:r>
                </w:p>
              </w:tc>
              <w:tc>
                <w:tcPr>
                  <w:tcW w:w="1019" w:type="dxa"/>
                  <w:vAlign w:val="center"/>
                </w:tcPr>
                <w:p w14:paraId="32F1031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bl>
          <w:p w14:paraId="0A4B1130">
            <w:pPr>
              <w:pStyle w:val="3"/>
              <w:numPr>
                <w:ilvl w:val="1"/>
                <w:numId w:val="0"/>
              </w:numPr>
              <w:rPr>
                <w:rFonts w:cs="Times New Roman"/>
                <w:color w:val="000000" w:themeColor="text1"/>
                <w14:textFill>
                  <w14:solidFill>
                    <w14:schemeClr w14:val="tx1"/>
                  </w14:solidFill>
                </w14:textFill>
              </w:rPr>
            </w:pPr>
            <w:bookmarkStart w:id="50" w:name="_Toc15327"/>
            <w:bookmarkStart w:id="51" w:name="_Toc230448011"/>
            <w:bookmarkStart w:id="52" w:name="_Toc29612"/>
            <w:r>
              <w:rPr>
                <w:rFonts w:cs="Times New Roman"/>
                <w:bCs w:val="0"/>
                <w:color w:val="000000" w:themeColor="text1"/>
                <w14:textFill>
                  <w14:solidFill>
                    <w14:schemeClr w14:val="tx1"/>
                  </w14:solidFill>
                </w14:textFill>
                <w14:scene3d w14:prst="orthographicFront">
                  <w14:lightRig w14:rig="threePt" w14:dir="t">
                    <w14:rot w14:lat="0" w14:lon="0" w14:rev="0"/>
                  </w14:lightRig>
                </w14:scene3d>
              </w:rPr>
              <w:t>1.4.</w:t>
            </w:r>
            <w:r>
              <w:rPr>
                <w:rFonts w:cs="Times New Roman"/>
                <w:color w:val="000000" w:themeColor="text1"/>
                <w14:textFill>
                  <w14:solidFill>
                    <w14:schemeClr w14:val="tx1"/>
                  </w14:solidFill>
                </w14:textFill>
              </w:rPr>
              <w:t>与《环罗源湾地区工业产业布局规划》（2020-2025年）修编规划环评及其审查意见符合性分析</w:t>
            </w:r>
            <w:bookmarkEnd w:id="50"/>
            <w:bookmarkEnd w:id="51"/>
            <w:bookmarkEnd w:id="52"/>
          </w:p>
          <w:p w14:paraId="36965E10">
            <w:pPr>
              <w:autoSpaceDE w:val="0"/>
              <w:autoSpaceDN w:val="0"/>
              <w:adjustRightInd w:val="0"/>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拟建项目与《</w:t>
            </w:r>
            <w:r>
              <w:rPr>
                <w:rFonts w:cs="Times New Roman"/>
                <w:color w:val="000000" w:themeColor="text1"/>
                <w14:textFill>
                  <w14:solidFill>
                    <w14:schemeClr w14:val="tx1"/>
                  </w14:solidFill>
                </w14:textFill>
              </w:rPr>
              <w:t>环罗源湾地区工业产业布局规划（2020-2025年）修编环评报告书》及其审查意见</w:t>
            </w:r>
            <w:r>
              <w:rPr>
                <w:rFonts w:cs="Times New Roman"/>
                <w:color w:val="000000" w:themeColor="text1"/>
                <w:szCs w:val="18"/>
                <w14:textFill>
                  <w14:solidFill>
                    <w14:schemeClr w14:val="tx1"/>
                  </w14:solidFill>
                </w14:textFill>
              </w:rPr>
              <w:t>的符合性分析见下表。由表可知，拟建项目建设符合规划环评文件</w:t>
            </w:r>
            <w:r>
              <w:rPr>
                <w:rFonts w:cs="Times New Roman"/>
                <w:color w:val="000000" w:themeColor="text1"/>
                <w14:textFill>
                  <w14:solidFill>
                    <w14:schemeClr w14:val="tx1"/>
                  </w14:solidFill>
                </w14:textFill>
              </w:rPr>
              <w:t>及其审查意见</w:t>
            </w:r>
            <w:r>
              <w:rPr>
                <w:rFonts w:cs="Times New Roman"/>
                <w:color w:val="000000" w:themeColor="text1"/>
                <w:szCs w:val="18"/>
                <w14:textFill>
                  <w14:solidFill>
                    <w14:schemeClr w14:val="tx1"/>
                  </w14:solidFill>
                </w14:textFill>
              </w:rPr>
              <w:t>要求。</w:t>
            </w:r>
          </w:p>
          <w:p w14:paraId="353F9DEB">
            <w:pPr>
              <w:pStyle w:val="353"/>
              <w:rPr>
                <w:rFonts w:cs="Times New Roman"/>
                <w:color w:val="000000" w:themeColor="text1"/>
                <w14:textFill>
                  <w14:solidFill>
                    <w14:schemeClr w14:val="tx1"/>
                  </w14:solidFill>
                </w14:textFill>
              </w:rPr>
            </w:pPr>
          </w:p>
          <w:p w14:paraId="1C078960">
            <w:pPr>
              <w:pStyle w:val="353"/>
              <w:rPr>
                <w:rFonts w:cs="Times New Roman"/>
                <w:color w:val="000000" w:themeColor="text1"/>
                <w14:textFill>
                  <w14:solidFill>
                    <w14:schemeClr w14:val="tx1"/>
                  </w14:solidFill>
                </w14:textFill>
              </w:rPr>
            </w:pPr>
          </w:p>
          <w:p w14:paraId="5676B766">
            <w:pPr>
              <w:pStyle w:val="353"/>
              <w:rPr>
                <w:rFonts w:cs="Times New Roman"/>
                <w:color w:val="000000" w:themeColor="text1"/>
                <w14:textFill>
                  <w14:solidFill>
                    <w14:schemeClr w14:val="tx1"/>
                  </w14:solidFill>
                </w14:textFill>
              </w:rPr>
            </w:pPr>
          </w:p>
          <w:p w14:paraId="6FB2E3D0">
            <w:pPr>
              <w:pStyle w:val="353"/>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1.4</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与规划环评及审查意见符合性一览表</w:t>
            </w:r>
          </w:p>
          <w:tbl>
            <w:tblPr>
              <w:tblStyle w:val="47"/>
              <w:tblW w:w="11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5688"/>
              <w:gridCol w:w="3028"/>
              <w:gridCol w:w="1606"/>
            </w:tblGrid>
            <w:tr w14:paraId="699C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4" w:type="pct"/>
                  <w:vAlign w:val="center"/>
                </w:tcPr>
                <w:p w14:paraId="68F56A8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管控内容</w:t>
                  </w:r>
                </w:p>
              </w:tc>
              <w:tc>
                <w:tcPr>
                  <w:tcW w:w="2465" w:type="pct"/>
                  <w:vAlign w:val="center"/>
                </w:tcPr>
                <w:p w14:paraId="492258E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管控要求</w:t>
                  </w:r>
                </w:p>
              </w:tc>
              <w:tc>
                <w:tcPr>
                  <w:tcW w:w="1312" w:type="pct"/>
                  <w:vAlign w:val="center"/>
                </w:tcPr>
                <w:p w14:paraId="6692BCC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项目情况</w:t>
                  </w:r>
                </w:p>
              </w:tc>
              <w:tc>
                <w:tcPr>
                  <w:tcW w:w="696" w:type="pct"/>
                  <w:vAlign w:val="center"/>
                </w:tcPr>
                <w:p w14:paraId="0CBEB437">
                  <w:pPr>
                    <w:pStyle w:val="138"/>
                    <w:rPr>
                      <w:rFonts w:cs="Times New Roman"/>
                      <w:color w:val="000000" w:themeColor="text1"/>
                      <w14:textFill>
                        <w14:solidFill>
                          <w14:schemeClr w14:val="tx1"/>
                        </w14:solidFill>
                      </w14:textFill>
                    </w:rPr>
                  </w:pPr>
                  <w:r>
                    <w:rPr>
                      <w:rFonts w:cs="Times New Roman"/>
                      <w:color w:val="000000" w:themeColor="text1"/>
                      <w:sz w:val="18"/>
                      <w:szCs w:val="18"/>
                      <w14:textFill>
                        <w14:solidFill>
                          <w14:schemeClr w14:val="tx1"/>
                        </w14:solidFill>
                      </w14:textFill>
                    </w:rPr>
                    <w:t>符合性分析</w:t>
                  </w:r>
                </w:p>
              </w:tc>
            </w:tr>
            <w:tr w14:paraId="66C3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4" w:hRule="atLeast"/>
              </w:trPr>
              <w:tc>
                <w:tcPr>
                  <w:tcW w:w="524" w:type="pct"/>
                  <w:vAlign w:val="center"/>
                </w:tcPr>
                <w:p w14:paraId="5FB3856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空间</w:t>
                  </w:r>
                </w:p>
                <w:p w14:paraId="52B2F9C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布局</w:t>
                  </w:r>
                </w:p>
                <w:p w14:paraId="0285FDC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约束</w:t>
                  </w:r>
                </w:p>
              </w:tc>
              <w:tc>
                <w:tcPr>
                  <w:tcW w:w="2465" w:type="pct"/>
                </w:tcPr>
                <w:p w14:paraId="519FA7BC">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1、为减缓大气污染对邻近居民区的人居环境影响，松山组团应限制布局大气污染物排放量大的项目。</w:t>
                  </w:r>
                </w:p>
                <w:p w14:paraId="17DA4A8F">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2、邻近沿海基干林、生态公益林、永久基本农田和生态保护红线的项目应优化调整用地边界，避让和保护林地、基本农田和生态保护红线。</w:t>
                  </w:r>
                </w:p>
                <w:p w14:paraId="58E756A2">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3、禁止建设《产业转移指导目录》、《产业结构调整指导目录》以及福建省、福州市产业政策中明确列入淘汰或限制的项目。</w:t>
                  </w:r>
                </w:p>
                <w:p w14:paraId="4331C89A">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4、禁止建设《环境保护综合名录》等负面清单中“高污染、高环境风险”产品相关生产项目。</w:t>
                  </w:r>
                </w:p>
                <w:p w14:paraId="66E98041">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5、牛坑湾/将军帽组团不布局冶金项目，不引进锰矿加工项目，金属精深加工产业和钢铁绿色产业加工基地均不引进冶金项目，合理控制金属精深加工等钢铁加工相关产业规模。</w:t>
                  </w:r>
                </w:p>
                <w:p w14:paraId="30F18F34">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6、金属精深加工产业、钢铁循环经济产业和钢铁绿色产业加工基地项目应设置300 m环保控制带。</w:t>
                  </w:r>
                </w:p>
                <w:p w14:paraId="5C458DFD">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7、可门港区组团不引进石化项目。</w:t>
                  </w:r>
                </w:p>
                <w:p w14:paraId="24D068C9">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8、大官坂组团不引进冶金项目。</w:t>
                  </w:r>
                </w:p>
              </w:tc>
              <w:tc>
                <w:tcPr>
                  <w:tcW w:w="1312" w:type="pct"/>
                </w:tcPr>
                <w:p w14:paraId="34BD5A84">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1、拟建项目为余能利用项目，位于环罗源湾片区宝钢德盛现有厂区内，不涉及林地、基本农田和生态保护红线。</w:t>
                  </w:r>
                </w:p>
                <w:p w14:paraId="1F7E6AA9">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2、拟建项目符合《产业结构调整指导目录(2024年本)》、《自然资源要素支撑产业高质量发展指导目录（2024 年本）》（自然资发〔2024〕273号）、《产业发展与转移指导目录（2018年本）》等国家相关法律、法规和产业政策要求。</w:t>
                  </w:r>
                </w:p>
                <w:p w14:paraId="08D20F7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3、拟建项目不属于《环境保护综合名录》环办综合函〔2021〕495号）等负面清单中“高污染、高环境风险”产品相关生产项目。</w:t>
                  </w:r>
                </w:p>
              </w:tc>
              <w:tc>
                <w:tcPr>
                  <w:tcW w:w="696" w:type="pct"/>
                  <w:vAlign w:val="center"/>
                </w:tcPr>
                <w:p w14:paraId="1ED680A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68EE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24" w:type="pct"/>
                  <w:vAlign w:val="center"/>
                </w:tcPr>
                <w:p w14:paraId="136DB26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污染排放管控</w:t>
                  </w:r>
                </w:p>
              </w:tc>
              <w:tc>
                <w:tcPr>
                  <w:tcW w:w="2465" w:type="pct"/>
                </w:tcPr>
                <w:p w14:paraId="2D349305">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1、原油地下水封洞库项目应做好VOC</w:t>
                  </w:r>
                  <w:r>
                    <w:rPr>
                      <w:rFonts w:cs="Times New Roman"/>
                      <w:color w:val="000000" w:themeColor="text1"/>
                      <w:vertAlign w:val="subscript"/>
                      <w14:textFill>
                        <w14:solidFill>
                          <w14:schemeClr w14:val="tx1"/>
                        </w14:solidFill>
                      </w14:textFill>
                    </w:rPr>
                    <w:t>S</w:t>
                  </w:r>
                  <w:r>
                    <w:rPr>
                      <w:rFonts w:cs="Times New Roman"/>
                      <w:color w:val="000000" w:themeColor="text1"/>
                      <w14:textFill>
                        <w14:solidFill>
                          <w14:schemeClr w14:val="tx1"/>
                        </w14:solidFill>
                      </w14:textFill>
                    </w:rPr>
                    <w:t>排放倍量替代，并加强无组织排放管理。</w:t>
                  </w:r>
                </w:p>
                <w:p w14:paraId="1A69051A">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2、加强涉重产业项目的污染防治和总量控制，定期开展土壤和地下水监测。</w:t>
                  </w:r>
                </w:p>
                <w:p w14:paraId="5B295F2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3、重点企业的大气污染防治设备、固废污染防治设备、废水处理设备、噪声与振动污染控制（材料）设备和土壤污染防治设备应达到《环境保护综合名录》中的技术要求。</w:t>
                  </w:r>
                </w:p>
              </w:tc>
              <w:tc>
                <w:tcPr>
                  <w:tcW w:w="1312" w:type="pct"/>
                </w:tcPr>
                <w:p w14:paraId="4E31598E">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拟建项目为余能利用项目，不是涉重产业，企业定期土壤和地下水监测；其废气污染物二氧化硫、氮氧化物、颗粒物执行《关于推进实施钢铁行业超低排放的意见》（环大气[2019]35号）超低排放要求和《火电厂大气污染物排放标准》（GB 13223—2011），不涉及VOC</w:t>
                  </w:r>
                  <w:r>
                    <w:rPr>
                      <w:rFonts w:cs="Times New Roman"/>
                      <w:color w:val="000000" w:themeColor="text1"/>
                      <w:vertAlign w:val="subscript"/>
                      <w14:textFill>
                        <w14:solidFill>
                          <w14:schemeClr w14:val="tx1"/>
                        </w14:solidFill>
                      </w14:textFill>
                    </w:rPr>
                    <w:t>S</w:t>
                  </w:r>
                  <w:r>
                    <w:rPr>
                      <w:rFonts w:cs="Times New Roman"/>
                      <w:color w:val="000000" w:themeColor="text1"/>
                      <w14:textFill>
                        <w14:solidFill>
                          <w14:schemeClr w14:val="tx1"/>
                        </w14:solidFill>
                      </w14:textFill>
                    </w:rPr>
                    <w:t>排放。</w:t>
                  </w:r>
                </w:p>
                <w:p w14:paraId="4EF9CAA2">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2、拟建项目大气污染防治设备、废水处理设备、噪声与振动污染控制（材料）等设备可达到《环境保护综合名录》中的技术要求。</w:t>
                  </w:r>
                </w:p>
              </w:tc>
              <w:tc>
                <w:tcPr>
                  <w:tcW w:w="696" w:type="pct"/>
                  <w:vAlign w:val="center"/>
                </w:tcPr>
                <w:p w14:paraId="40A66FB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7A44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4" w:type="pct"/>
                  <w:vAlign w:val="center"/>
                </w:tcPr>
                <w:p w14:paraId="29CAD21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环境风险防控</w:t>
                  </w:r>
                </w:p>
              </w:tc>
              <w:tc>
                <w:tcPr>
                  <w:tcW w:w="2465" w:type="pct"/>
                </w:tcPr>
                <w:p w14:paraId="31A699C5">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原油地下水封洞库项目的洞库、地面储运设施、库区输油管线和事故应急池等设施，应当按照国家有关标准和规范的要求，设计、建设和安装有关防腐蚀、防泄漏设施和泄漏监测装置，防止有毒有害物质污染土壤和地下水。</w:t>
                  </w:r>
                </w:p>
                <w:p w14:paraId="4AC29D19">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在企业设置环境风险事故应急池的基地上，相关园区应健全环境风险防控体系，建设公共环境应急池系统，完善事故废水导流措施，建设功率足够的双向动力提升设施，形成企业应急池、企业间应急池共用和园区公共应急池三级应急池体系，提升园区应对环境风险能力。</w:t>
                  </w:r>
                </w:p>
                <w:p w14:paraId="08FF9DBE">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3、加强区域应急物资储备与调配管理，构建区域环境风险联控机制，全面提升区域环境风险防控和应急响应能力。</w:t>
                  </w:r>
                </w:p>
                <w:p w14:paraId="3140E27F">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4、建立污染天气、重点断面监测预警系统，建立市、县联动应急响应体系，实行联防联控。</w:t>
                  </w:r>
                </w:p>
                <w:p w14:paraId="1A8B3583">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5、依照规划实施情况按时做好跟踪评价，定期开展区域环境监测。</w:t>
                  </w:r>
                </w:p>
              </w:tc>
              <w:tc>
                <w:tcPr>
                  <w:tcW w:w="1312" w:type="pct"/>
                </w:tcPr>
                <w:p w14:paraId="5FF24353">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1、宝钢德盛已建立环境信息管理平台，配置了各级环境风险防范设施设备，构建管理部门有效保障正常运行监管，已按期修编企业应急预案制定，建立常态化的企业隐患排查整治监管机制和风险防控体系。</w:t>
                  </w:r>
                </w:p>
                <w:p w14:paraId="21DCA9E0">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2、宝钢德盛设有全厂事故应急池，金港工业园设有公共应急池，但园区内企业应急池、企业间应急池共用和园区公共应急池三级应急池体系建设需逐步提升。</w:t>
                  </w:r>
                </w:p>
                <w:p w14:paraId="0083EC83">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3.企业与市、县生态环境主管部门建立了联动机制，定期开展区域环境空气质量监测；园区内企业可实现应急物资储备与调配共享，构建区域环境风险联控机制，全面提升区域环境风险防控和应急响应能力。</w:t>
                  </w:r>
                </w:p>
              </w:tc>
              <w:tc>
                <w:tcPr>
                  <w:tcW w:w="696" w:type="pct"/>
                  <w:vAlign w:val="center"/>
                </w:tcPr>
                <w:p w14:paraId="591F8B4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57E5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7" w:hRule="atLeast"/>
              </w:trPr>
              <w:tc>
                <w:tcPr>
                  <w:tcW w:w="524" w:type="pct"/>
                  <w:vAlign w:val="center"/>
                </w:tcPr>
                <w:p w14:paraId="1D6EE7E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资源</w:t>
                  </w:r>
                </w:p>
                <w:p w14:paraId="7353ADD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开发</w:t>
                  </w:r>
                </w:p>
                <w:p w14:paraId="22474ED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利用</w:t>
                  </w:r>
                </w:p>
                <w:p w14:paraId="714C6B0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要求</w:t>
                  </w:r>
                </w:p>
              </w:tc>
              <w:tc>
                <w:tcPr>
                  <w:tcW w:w="2465" w:type="pct"/>
                </w:tcPr>
                <w:p w14:paraId="09DE5D87">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引进的各类项目，其生产工艺、设备、污染治理技术，以及单位产品能耗、物耗、污染物排放和资源利用效率应至少达到国内同行业先进水平。其中，台商投资区引进项目的生产工艺、装备水平、污染治理技术，一级单位产品能耗、物耗、污染物排放和资源利用率应达到同行业国际先进水平。</w:t>
                  </w:r>
                </w:p>
                <w:p w14:paraId="610FA75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2、水资源利用要求：加强水资源再生利用、梯级分质利用，持续提高工业废水循环利用率。</w:t>
                  </w:r>
                </w:p>
                <w:p w14:paraId="0366CAA2">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3、地下水资源利用要求：定期开展地下水水位监测工作，避免地下水水位下降影响区域民用井等补充分散式饮用水水源。</w:t>
                  </w:r>
                </w:p>
                <w:p w14:paraId="33841B3D">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4、能源利用要求：实施集中供热、热电联产。</w:t>
                  </w:r>
                </w:p>
                <w:p w14:paraId="7F31E038">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5、土地资源利用要求：用地类型变更应征得自然资源主管部门同意；节约集约利用土地，提高土地资源开发利用率；维持岸线自然属性，</w:t>
                  </w:r>
                </w:p>
                <w:p w14:paraId="076BD8C0">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保护岸线原有生态功能，加强对受损自然岸线的整治与修复；严控新增围填海造地，严格落实《国务院关于加强滨海湿地保护严格管控围填</w:t>
                  </w:r>
                </w:p>
                <w:p w14:paraId="0C749210">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海的通知》（国发〔2018〕24 号）要求，新增围填海项目按程序报国家相关部门审批。</w:t>
                  </w:r>
                </w:p>
                <w:p w14:paraId="4FB56D40">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6、节能降碳要求：鼓励重点企业编制节能降碳方案。</w:t>
                  </w:r>
                </w:p>
                <w:p w14:paraId="7CE60292">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7、水土保持要求：原油地下水封洞库项目应尽可能减少对植被、山体的破坏，尽量</w:t>
                  </w:r>
                  <w:r>
                    <w:rPr>
                      <w:rFonts w:eastAsia="CIDFont+F5" w:cs="Times New Roman"/>
                      <w:color w:val="000000" w:themeColor="text1"/>
                      <w14:textFill>
                        <w14:solidFill>
                          <w14:schemeClr w14:val="tx1"/>
                        </w14:solidFill>
                      </w14:textFill>
                    </w:rPr>
                    <w:t>恢复原有植被。</w:t>
                  </w:r>
                </w:p>
              </w:tc>
              <w:tc>
                <w:tcPr>
                  <w:tcW w:w="1312" w:type="pct"/>
                </w:tcPr>
                <w:p w14:paraId="6A227F5D">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1、拟建项目机组装备等级、能源利用效率、水资源重复利用、废气超低排放、固废综合利用、自动化管控、环境管理体系等各项指标上可满足国内同行业先进水平。</w:t>
                  </w:r>
                </w:p>
                <w:p w14:paraId="36CC9650">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2、拟建项目生产废水实施全部回用，不外排。</w:t>
                  </w:r>
                </w:p>
                <w:p w14:paraId="4B5F571A">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3、拟建项目为余能利用项目，位于宝钢德盛现有厂区内，企业定期开展地下水等环境监测。</w:t>
                  </w:r>
                </w:p>
              </w:tc>
              <w:tc>
                <w:tcPr>
                  <w:tcW w:w="696" w:type="pct"/>
                  <w:vAlign w:val="center"/>
                </w:tcPr>
                <w:p w14:paraId="0911C2E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bl>
          <w:p w14:paraId="27D364F4">
            <w:pPr>
              <w:ind w:firstLine="480"/>
              <w:rPr>
                <w:rFonts w:cs="Times New Roman"/>
                <w:color w:val="000000" w:themeColor="text1"/>
                <w14:textFill>
                  <w14:solidFill>
                    <w14:schemeClr w14:val="tx1"/>
                  </w14:solidFill>
                </w14:textFill>
              </w:rPr>
            </w:pPr>
          </w:p>
        </w:tc>
      </w:tr>
    </w:tbl>
    <w:p w14:paraId="366296DA">
      <w:pPr>
        <w:ind w:firstLine="480"/>
        <w:rPr>
          <w:rFonts w:cs="Times New Roman"/>
          <w:color w:val="000000" w:themeColor="text1"/>
          <w14:textFill>
            <w14:solidFill>
              <w14:schemeClr w14:val="tx1"/>
            </w14:solidFill>
          </w14:textFill>
        </w:rPr>
        <w:sectPr>
          <w:type w:val="continuous"/>
          <w:pgSz w:w="16840" w:h="11907" w:orient="landscape"/>
          <w:pgMar w:top="1531" w:right="1701" w:bottom="1531" w:left="2127" w:header="851" w:footer="851" w:gutter="0"/>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1"/>
        <w:gridCol w:w="7114"/>
      </w:tblGrid>
      <w:tr w14:paraId="2416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1" w:type="dxa"/>
            <w:vAlign w:val="center"/>
          </w:tcPr>
          <w:p w14:paraId="1DCFE4F0">
            <w:pPr>
              <w:pStyle w:val="96"/>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其他符合性分析</w:t>
            </w:r>
          </w:p>
        </w:tc>
        <w:tc>
          <w:tcPr>
            <w:tcW w:w="7114" w:type="dxa"/>
            <w:vAlign w:val="center"/>
          </w:tcPr>
          <w:p w14:paraId="084B5BA9">
            <w:pPr>
              <w:pStyle w:val="3"/>
              <w:numPr>
                <w:ilvl w:val="1"/>
                <w:numId w:val="0"/>
              </w:numPr>
              <w:spacing w:before="0"/>
              <w:rPr>
                <w:rFonts w:cs="Times New Roman"/>
                <w:color w:val="000000" w:themeColor="text1"/>
                <w14:textFill>
                  <w14:solidFill>
                    <w14:schemeClr w14:val="tx1"/>
                  </w14:solidFill>
                </w14:textFill>
              </w:rPr>
            </w:pPr>
            <w:bookmarkStart w:id="53" w:name="_Toc6522"/>
            <w:bookmarkStart w:id="54" w:name="_Toc18983"/>
            <w:bookmarkStart w:id="55" w:name="_Toc230448012"/>
            <w:r>
              <w:rPr>
                <w:rFonts w:cs="Times New Roman"/>
                <w:bCs w:val="0"/>
                <w:color w:val="000000" w:themeColor="text1"/>
                <w14:textFill>
                  <w14:solidFill>
                    <w14:schemeClr w14:val="tx1"/>
                  </w14:solidFill>
                </w14:textFill>
                <w14:scene3d w14:prst="orthographicFront">
                  <w14:lightRig w14:rig="threePt" w14:dir="t">
                    <w14:rot w14:lat="0" w14:lon="0" w14:rev="0"/>
                  </w14:lightRig>
                </w14:scene3d>
              </w:rPr>
              <w:t>1.5.</w:t>
            </w:r>
            <w:r>
              <w:rPr>
                <w:rFonts w:cs="Times New Roman"/>
                <w:color w:val="000000" w:themeColor="text1"/>
                <w14:textFill>
                  <w14:solidFill>
                    <w14:schemeClr w14:val="tx1"/>
                  </w14:solidFill>
                </w14:textFill>
              </w:rPr>
              <w:t>与《福建省人民政府关于实施“三线一单”生态环境分区管控的通知》（闽政〔2020〕12号）符合性分析</w:t>
            </w:r>
            <w:bookmarkEnd w:id="53"/>
            <w:bookmarkEnd w:id="54"/>
            <w:bookmarkEnd w:id="55"/>
          </w:p>
          <w:p w14:paraId="37D9B89B">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摘录与项目所在区域（罗源湾金港工业园区）相关生态环境准入要求：</w:t>
            </w:r>
          </w:p>
          <w:p w14:paraId="2DE81ACD">
            <w:pPr>
              <w:numPr>
                <w:ilvl w:val="0"/>
                <w:numId w:val="4"/>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空间布局约束</w:t>
            </w:r>
          </w:p>
          <w:p w14:paraId="7A625E5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①严控钢铁、水泥、平板玻璃等产能过剩行业新增产能，新增产能应实施产能等量或减量置换。</w:t>
            </w:r>
          </w:p>
          <w:p w14:paraId="77A3994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②除列入国家规划的大型煤电和符合相关要求的等容量替代项目，以及以供热为主的热电联产项目外，原则上不再建设新的煤电项目。</w:t>
            </w:r>
          </w:p>
          <w:p w14:paraId="2DC4937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③禁止在水环境质量不能稳定达标的区域内，建设新增相应不达标污染物指标排放量的工业项目。</w:t>
            </w:r>
          </w:p>
          <w:p w14:paraId="62457B3D">
            <w:pPr>
              <w:numPr>
                <w:ilvl w:val="0"/>
                <w:numId w:val="4"/>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污染物排放管控</w:t>
            </w:r>
          </w:p>
          <w:p w14:paraId="49C1F38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①新建水泥、有色金属项目应执行大气污染物特别排放限值，钢铁项目应执行超低排放指标要求，火电项目应达到超低排放限值。</w:t>
            </w:r>
          </w:p>
          <w:p w14:paraId="62F0FBC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②三沙湾、</w:t>
            </w:r>
            <w:r>
              <w:rPr>
                <w:rFonts w:cs="Times New Roman"/>
                <w:b/>
                <w:bCs/>
                <w:color w:val="000000" w:themeColor="text1"/>
                <w14:textFill>
                  <w14:solidFill>
                    <w14:schemeClr w14:val="tx1"/>
                  </w14:solidFill>
                </w14:textFill>
              </w:rPr>
              <w:t>罗源湾</w:t>
            </w:r>
            <w:r>
              <w:rPr>
                <w:rFonts w:cs="Times New Roman"/>
                <w:color w:val="000000" w:themeColor="text1"/>
                <w14:textFill>
                  <w14:solidFill>
                    <w14:schemeClr w14:val="tx1"/>
                  </w14:solidFill>
                </w14:textFill>
              </w:rPr>
              <w:t>、闽江口、兴化湾、泉州湾、厦门湾、东山湾、诏安湾8个重点海湾实行主要污染物入海总量控制。对三沙湾、</w:t>
            </w:r>
            <w:r>
              <w:rPr>
                <w:rFonts w:cs="Times New Roman"/>
                <w:b/>
                <w:bCs/>
                <w:color w:val="000000" w:themeColor="text1"/>
                <w14:textFill>
                  <w14:solidFill>
                    <w14:schemeClr w14:val="tx1"/>
                  </w14:solidFill>
                </w14:textFill>
              </w:rPr>
              <w:t>罗源湾</w:t>
            </w:r>
            <w:r>
              <w:rPr>
                <w:rFonts w:cs="Times New Roman"/>
                <w:color w:val="000000" w:themeColor="text1"/>
                <w14:textFill>
                  <w14:solidFill>
                    <w14:schemeClr w14:val="tx1"/>
                  </w14:solidFill>
                </w14:textFill>
              </w:rPr>
              <w:t>等半封闭性的海域，实行湾内新（改、扩）建项目氮、磷污染物排放总量减量置换。</w:t>
            </w:r>
          </w:p>
          <w:p w14:paraId="02EB2F7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强化沿海石化、钢铁、印染、造纸等重污染行业整治，推动企业入园集聚发展，提升工业集聚区废水治理水平。新建、升级工业聚集区应同步规划、建设污水集中处理设施或利用现有的污水集中处理设施，污水处理设施应具备脱氮除磷工艺，并安装自动在线监控装置。</w:t>
            </w:r>
          </w:p>
          <w:p w14:paraId="768F2E0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（3）环境风险防控</w:t>
            </w:r>
          </w:p>
          <w:p w14:paraId="1CBE58F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强化沿海工业区和沿海石化、化工、冶炼、石油及危化品储运等企业的环境风险防控。</w:t>
            </w:r>
          </w:p>
          <w:p w14:paraId="587DAC2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性分析：拟建项目为余气和余热发电的能源综合利用项目，不涉及钢铁产能，排放的大气污染物执行《关于推进实施钢铁行业超低排放的意见》（环大气[2019]35号）超低排放要求和《火电厂大气污染物排放标准》（GB 13223—2011）、参照执行《火电厂及锅炉大气污染物排放标准（征求意见稿）》（GB 13223修订版，2026）中相关排放标准要求；生产废水不排放，全部厂内回用；并采取了有效的环境风险防控措施；拟建项目符合“全省生态环境总体准入要求”。</w:t>
            </w:r>
          </w:p>
          <w:p w14:paraId="3948C6F0">
            <w:pPr>
              <w:pStyle w:val="3"/>
              <w:numPr>
                <w:ilvl w:val="1"/>
                <w:numId w:val="0"/>
              </w:numPr>
              <w:rPr>
                <w:rFonts w:cs="Times New Roman"/>
                <w:color w:val="000000" w:themeColor="text1"/>
                <w14:textFill>
                  <w14:solidFill>
                    <w14:schemeClr w14:val="tx1"/>
                  </w14:solidFill>
                </w14:textFill>
              </w:rPr>
            </w:pPr>
            <w:bookmarkStart w:id="56" w:name="_Toc5776"/>
            <w:bookmarkStart w:id="57" w:name="_Toc30921"/>
            <w:bookmarkStart w:id="58" w:name="_Toc230448013"/>
            <w:r>
              <w:rPr>
                <w:rFonts w:cs="Times New Roman"/>
                <w:bCs w:val="0"/>
                <w:color w:val="000000" w:themeColor="text1"/>
                <w14:textFill>
                  <w14:solidFill>
                    <w14:schemeClr w14:val="tx1"/>
                  </w14:solidFill>
                </w14:textFill>
                <w14:scene3d w14:prst="orthographicFront">
                  <w14:lightRig w14:rig="threePt" w14:dir="t">
                    <w14:rot w14:lat="0" w14:lon="0" w14:rev="0"/>
                  </w14:lightRig>
                </w14:scene3d>
              </w:rPr>
              <w:t>1.6.</w:t>
            </w:r>
            <w:r>
              <w:rPr>
                <w:rFonts w:cs="Times New Roman"/>
                <w:color w:val="000000" w:themeColor="text1"/>
                <w14:textFill>
                  <w14:solidFill>
                    <w14:schemeClr w14:val="tx1"/>
                  </w14:solidFill>
                </w14:textFill>
              </w:rPr>
              <w:t>与《福州市生态环境局关于发布福州市2024年生态环境分区管控动态更新成果的通知》（</w:t>
            </w:r>
            <w:r>
              <w:rPr>
                <w:rFonts w:cs="Times New Roman"/>
                <w:color w:val="000000" w:themeColor="text1"/>
                <w:szCs w:val="24"/>
                <w14:textFill>
                  <w14:solidFill>
                    <w14:schemeClr w14:val="tx1"/>
                  </w14:solidFill>
                </w14:textFill>
              </w:rPr>
              <w:t>榕环保综〔2025〕1号</w:t>
            </w:r>
            <w:r>
              <w:rPr>
                <w:rFonts w:cs="Times New Roman"/>
                <w:color w:val="000000" w:themeColor="text1"/>
                <w14:textFill>
                  <w14:solidFill>
                    <w14:schemeClr w14:val="tx1"/>
                  </w14:solidFill>
                </w14:textFill>
              </w:rPr>
              <w:t>）符合性分析</w:t>
            </w:r>
            <w:bookmarkEnd w:id="56"/>
            <w:bookmarkEnd w:id="57"/>
            <w:bookmarkEnd w:id="58"/>
          </w:p>
          <w:p w14:paraId="6E4AAC4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根据《福州市生态环境局关于发布福州市2024年生态环境分区管控动态更新成果的通知》（榕环保综〔2025〕1号），拟建 项目与福州市生态环境分区管控要求的符合性分析如下表。</w:t>
            </w:r>
          </w:p>
          <w:p w14:paraId="33CCB2A2">
            <w:pPr>
              <w:ind w:firstLine="482"/>
              <w:jc w:val="center"/>
              <w:rPr>
                <w:b/>
                <w:color w:val="000000" w:themeColor="text1"/>
                <w14:textFill>
                  <w14:solidFill>
                    <w14:schemeClr w14:val="tx1"/>
                  </w14:solidFill>
                </w14:textFill>
              </w:rPr>
            </w:pPr>
            <w:r>
              <w:rPr>
                <w:rStyle w:val="352"/>
                <w:rFonts w:cs="Times New Roman"/>
                <w:color w:val="000000" w:themeColor="text1"/>
                <w14:textFill>
                  <w14:solidFill>
                    <w14:schemeClr w14:val="tx1"/>
                  </w14:solidFill>
                </w14:textFill>
              </w:rPr>
              <w:t>表</w:t>
            </w:r>
            <w:r>
              <w:rPr>
                <w:rStyle w:val="352"/>
                <w:rFonts w:cs="Times New Roman"/>
                <w:color w:val="000000" w:themeColor="text1"/>
                <w14:textFill>
                  <w14:solidFill>
                    <w14:schemeClr w14:val="tx1"/>
                  </w14:solidFill>
                </w14:textFill>
              </w:rPr>
              <w:fldChar w:fldCharType="begin"/>
            </w:r>
            <w:r>
              <w:rPr>
                <w:rStyle w:val="352"/>
                <w:rFonts w:cs="Times New Roman"/>
                <w:color w:val="000000" w:themeColor="text1"/>
                <w14:textFill>
                  <w14:solidFill>
                    <w14:schemeClr w14:val="tx1"/>
                  </w14:solidFill>
                </w14:textFill>
              </w:rPr>
              <w:instrText xml:space="preserve"> STYLEREF 2 \s </w:instrText>
            </w:r>
            <w:r>
              <w:rPr>
                <w:rStyle w:val="352"/>
                <w:rFonts w:cs="Times New Roman"/>
                <w:color w:val="000000" w:themeColor="text1"/>
                <w14:textFill>
                  <w14:solidFill>
                    <w14:schemeClr w14:val="tx1"/>
                  </w14:solidFill>
                </w14:textFill>
              </w:rPr>
              <w:fldChar w:fldCharType="separate"/>
            </w:r>
            <w:r>
              <w:rPr>
                <w:rStyle w:val="352"/>
                <w:rFonts w:cs="Times New Roman"/>
                <w:color w:val="000000" w:themeColor="text1"/>
                <w14:textFill>
                  <w14:solidFill>
                    <w14:schemeClr w14:val="tx1"/>
                  </w14:solidFill>
                </w14:textFill>
              </w:rPr>
              <w:t>1.6</w:t>
            </w:r>
            <w:r>
              <w:rPr>
                <w:rStyle w:val="352"/>
                <w:rFonts w:cs="Times New Roman"/>
                <w:color w:val="000000" w:themeColor="text1"/>
                <w14:textFill>
                  <w14:solidFill>
                    <w14:schemeClr w14:val="tx1"/>
                  </w14:solidFill>
                </w14:textFill>
              </w:rPr>
              <w:fldChar w:fldCharType="end"/>
            </w:r>
            <w:r>
              <w:rPr>
                <w:rStyle w:val="352"/>
                <w:rFonts w:cs="Times New Roman"/>
                <w:color w:val="000000" w:themeColor="text1"/>
                <w14:textFill>
                  <w14:solidFill>
                    <w14:schemeClr w14:val="tx1"/>
                  </w14:solidFill>
                </w14:textFill>
              </w:rPr>
              <w:t>-</w:t>
            </w:r>
            <w:r>
              <w:rPr>
                <w:rStyle w:val="352"/>
                <w:rFonts w:cs="Times New Roman"/>
                <w:color w:val="000000" w:themeColor="text1"/>
                <w14:textFill>
                  <w14:solidFill>
                    <w14:schemeClr w14:val="tx1"/>
                  </w14:solidFill>
                </w14:textFill>
              </w:rPr>
              <w:fldChar w:fldCharType="begin"/>
            </w:r>
            <w:r>
              <w:rPr>
                <w:rStyle w:val="352"/>
                <w:rFonts w:cs="Times New Roman"/>
                <w:color w:val="000000" w:themeColor="text1"/>
                <w14:textFill>
                  <w14:solidFill>
                    <w14:schemeClr w14:val="tx1"/>
                  </w14:solidFill>
                </w14:textFill>
              </w:rPr>
              <w:instrText xml:space="preserve"> SEQ 表 \* ARABIC \s 2 </w:instrText>
            </w:r>
            <w:r>
              <w:rPr>
                <w:rStyle w:val="352"/>
                <w:rFonts w:cs="Times New Roman"/>
                <w:color w:val="000000" w:themeColor="text1"/>
                <w14:textFill>
                  <w14:solidFill>
                    <w14:schemeClr w14:val="tx1"/>
                  </w14:solidFill>
                </w14:textFill>
              </w:rPr>
              <w:fldChar w:fldCharType="separate"/>
            </w:r>
            <w:r>
              <w:rPr>
                <w:rStyle w:val="352"/>
                <w:rFonts w:cs="Times New Roman"/>
                <w:color w:val="000000" w:themeColor="text1"/>
                <w14:textFill>
                  <w14:solidFill>
                    <w14:schemeClr w14:val="tx1"/>
                  </w14:solidFill>
                </w14:textFill>
              </w:rPr>
              <w:t>1</w:t>
            </w:r>
            <w:r>
              <w:rPr>
                <w:rStyle w:val="352"/>
                <w:rFonts w:cs="Times New Roman"/>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与生态环境分区管控要求的符合性分析</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5284"/>
              <w:gridCol w:w="817"/>
            </w:tblGrid>
            <w:tr w14:paraId="79FB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dxa"/>
                  <w:shd w:val="clear" w:color="auto" w:fill="auto"/>
                  <w:vAlign w:val="center"/>
                </w:tcPr>
                <w:p w14:paraId="59D24A5B">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内容</w:t>
                  </w:r>
                </w:p>
              </w:tc>
              <w:tc>
                <w:tcPr>
                  <w:tcW w:w="6132" w:type="dxa"/>
                  <w:shd w:val="clear" w:color="auto" w:fill="auto"/>
                  <w:vAlign w:val="center"/>
                </w:tcPr>
                <w:p w14:paraId="7CD12CC1">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项目分析</w:t>
                  </w:r>
                </w:p>
              </w:tc>
              <w:tc>
                <w:tcPr>
                  <w:tcW w:w="914" w:type="dxa"/>
                  <w:shd w:val="clear" w:color="auto" w:fill="auto"/>
                  <w:vAlign w:val="center"/>
                </w:tcPr>
                <w:p w14:paraId="6A93289D">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符合性分析</w:t>
                  </w:r>
                </w:p>
              </w:tc>
            </w:tr>
            <w:tr w14:paraId="68F8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dxa"/>
                  <w:shd w:val="clear" w:color="auto" w:fill="auto"/>
                  <w:vAlign w:val="center"/>
                </w:tcPr>
                <w:p w14:paraId="17837A42">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生态保护红线</w:t>
                  </w:r>
                </w:p>
              </w:tc>
              <w:tc>
                <w:tcPr>
                  <w:tcW w:w="6132" w:type="dxa"/>
                  <w:shd w:val="clear" w:color="auto" w:fill="auto"/>
                  <w:vAlign w:val="center"/>
                </w:tcPr>
                <w:p w14:paraId="336A8936">
                  <w:pPr>
                    <w:pStyle w:val="13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经查询福建省生态环境分区管控数据应用平台，拟建项目位于罗源金港工业区，不涉及生态保护红线。因此，项目建设符合生态红线控制要求。</w:t>
                  </w:r>
                </w:p>
              </w:tc>
              <w:tc>
                <w:tcPr>
                  <w:tcW w:w="914" w:type="dxa"/>
                  <w:shd w:val="clear" w:color="auto" w:fill="auto"/>
                  <w:vAlign w:val="center"/>
                </w:tcPr>
                <w:p w14:paraId="0CF92081">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DE2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 w:type="dxa"/>
                  <w:shd w:val="clear" w:color="auto" w:fill="auto"/>
                  <w:vAlign w:val="center"/>
                </w:tcPr>
                <w:p w14:paraId="2AD29337">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环境质量底线</w:t>
                  </w:r>
                </w:p>
              </w:tc>
              <w:tc>
                <w:tcPr>
                  <w:tcW w:w="6132" w:type="dxa"/>
                  <w:shd w:val="clear" w:color="auto" w:fill="auto"/>
                  <w:vAlign w:val="center"/>
                </w:tcPr>
                <w:p w14:paraId="6027148A">
                  <w:pPr>
                    <w:pStyle w:val="138"/>
                    <w:numPr>
                      <w:ilvl w:val="0"/>
                      <w:numId w:val="5"/>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水环境：水环境质量底线目标为：到2025年，国省控断面水质优良（达到或优于Ⅲ类）比例总体达97.2%以上；县级以上集中式饮用水水源水质达标率达100%。到2035年，国省控断面水质优良（达到或优于Ⅲ类）比例总体达到100%；生态系统实现良性循环。项目附近地表水体大樟溪能满足《地表水环境质量标准》(GB3838-2002)中Ⅲ类水质标准。</w:t>
                  </w:r>
                </w:p>
                <w:p w14:paraId="327F9DEB">
                  <w:pPr>
                    <w:pStyle w:val="13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拟建项目生产废水和经生活污水企业中央废水处理站处理后全部回用，不外排，对区域水环境质量影响较小，项目建设不会突破区域水环境质量底线。</w:t>
                  </w:r>
                </w:p>
                <w:p w14:paraId="4F02640A">
                  <w:pPr>
                    <w:pStyle w:val="138"/>
                    <w:numPr>
                      <w:ilvl w:val="0"/>
                      <w:numId w:val="5"/>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大气环境：大气环境质量底线目标为：到2025年，环境空气质量持续改善，细颗粒物（PM2.5）年均浓度降至18.6</w:t>
                  </w:r>
                  <w:r>
                    <w:rPr>
                      <w:color w:val="000000" w:themeColor="text1"/>
                      <w14:textFill>
                        <w14:solidFill>
                          <w14:schemeClr w14:val="tx1"/>
                        </w14:solidFill>
                      </w14:textFill>
                    </w:rPr>
                    <w:t>μ</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。到2035年，县级城市细颗粒物（PM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）年均浓度小于15</w:t>
                  </w:r>
                  <w:r>
                    <w:rPr>
                      <w:color w:val="000000" w:themeColor="text1"/>
                      <w14:textFill>
                        <w14:solidFill>
                          <w14:schemeClr w14:val="tx1"/>
                        </w14:solidFill>
                      </w14:textFill>
                    </w:rPr>
                    <w:t>μ</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，最终指标值以省下达指标为准。根据大气环境质量现状可知，项目区域大气环境达到《环境空气质量标准》(GB3095-2026)中二级标准，区域大气环境具有一定的容量。</w:t>
                  </w:r>
                </w:p>
                <w:p w14:paraId="7D64EDDE">
                  <w:pPr>
                    <w:pStyle w:val="13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拟建项目废气经采取有效的治理措施后达标排放，对区域大气环境质量影响较小，项目的建设不会突破区域大气环境质量底线。</w:t>
                  </w:r>
                </w:p>
                <w:p w14:paraId="26925A10">
                  <w:pPr>
                    <w:pStyle w:val="138"/>
                    <w:numPr>
                      <w:ilvl w:val="0"/>
                      <w:numId w:val="5"/>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土壤环境风险防控底线为：到2025年，受污染耕地安全利用率达到95%（含）以上，重点建设用地安全利用率得到有效保障，重点行业企业用地优先管控名录地块风险管控率达到95%（含）以上，开垦耕地土壤污染调查覆盖率达90%以上，畜禽粪污综合利用率预期达95%（含）以上。到2035年，全市土壤环境质量稳中向好，农用地和建设用地土壤环境得到有效保障，土壤环境风险得到全面管控。</w:t>
                  </w:r>
                </w:p>
                <w:p w14:paraId="0561AF52">
                  <w:pPr>
                    <w:pStyle w:val="13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拟建项目周边土壤环境相对不敏感，采取有效的防渗措施后，对土壤环境影响很小，基本不存在土壤环境污染途径；</w:t>
                  </w:r>
                  <w:r>
                    <w:rPr>
                      <w:rFonts w:cs="Times New Roman"/>
                      <w:color w:val="000000" w:themeColor="text1"/>
                      <w14:textFill>
                        <w14:solidFill>
                          <w14:schemeClr w14:val="tx1"/>
                        </w14:solidFill>
                      </w14:textFill>
                    </w:rPr>
                    <w:t>建设单位每年定期开展土壤污染</w:t>
                  </w:r>
                  <w:r>
                    <w:rPr>
                      <w:rFonts w:hint="eastAsia" w:cs="Times New Roman"/>
                      <w:color w:val="000000" w:themeColor="text1"/>
                      <w14:textFill>
                        <w14:solidFill>
                          <w14:schemeClr w14:val="tx1"/>
                        </w14:solidFill>
                      </w14:textFill>
                    </w:rPr>
                    <w:t>隐患排查和跟踪监测</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通过工程和管理措施防控</w:t>
                  </w:r>
                  <w:r>
                    <w:rPr>
                      <w:rFonts w:cs="Times New Roman"/>
                      <w:color w:val="000000" w:themeColor="text1"/>
                      <w14:textFill>
                        <w14:solidFill>
                          <w14:schemeClr w14:val="tx1"/>
                        </w14:solidFill>
                      </w14:textFill>
                    </w:rPr>
                    <w:t>企业</w:t>
                  </w:r>
                  <w:r>
                    <w:rPr>
                      <w:rFonts w:hint="eastAsia" w:cs="Times New Roman"/>
                      <w:color w:val="000000" w:themeColor="text1"/>
                      <w14:textFill>
                        <w14:solidFill>
                          <w14:schemeClr w14:val="tx1"/>
                        </w14:solidFill>
                      </w14:textFill>
                    </w:rPr>
                    <w:t>可能的</w:t>
                  </w:r>
                  <w:r>
                    <w:rPr>
                      <w:rFonts w:cs="Times New Roman"/>
                      <w:color w:val="000000" w:themeColor="text1"/>
                      <w14:textFill>
                        <w14:solidFill>
                          <w14:schemeClr w14:val="tx1"/>
                        </w14:solidFill>
                      </w14:textFill>
                    </w:rPr>
                    <w:t>土壤污染影响，有效保障企业土壤环境安全，土壤环境风险总体得到管控</w:t>
                  </w:r>
                  <w:r>
                    <w:rPr>
                      <w:rFonts w:hint="eastAsia"/>
                      <w:color w:val="000000" w:themeColor="text1"/>
                      <w14:textFill>
                        <w14:solidFill>
                          <w14:schemeClr w14:val="tx1"/>
                        </w14:solidFill>
                      </w14:textFill>
                    </w:rPr>
                    <w:t>。</w:t>
                  </w:r>
                </w:p>
              </w:tc>
              <w:tc>
                <w:tcPr>
                  <w:tcW w:w="914" w:type="dxa"/>
                  <w:shd w:val="clear" w:color="auto" w:fill="auto"/>
                  <w:vAlign w:val="center"/>
                </w:tcPr>
                <w:p w14:paraId="4118CC13">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1EF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dxa"/>
                  <w:shd w:val="clear" w:color="auto" w:fill="auto"/>
                  <w:vAlign w:val="center"/>
                </w:tcPr>
                <w:p w14:paraId="2244023E">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资源利用上线</w:t>
                  </w:r>
                </w:p>
              </w:tc>
              <w:tc>
                <w:tcPr>
                  <w:tcW w:w="6132" w:type="dxa"/>
                  <w:shd w:val="clear" w:color="auto" w:fill="auto"/>
                  <w:vAlign w:val="center"/>
                </w:tcPr>
                <w:p w14:paraId="770C1C50">
                  <w:pPr>
                    <w:pStyle w:val="13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拟建项目属于企业配套的余气、余热回收利用工程，属节能环保与资源综合利用；拟建项目用水、用电为区域集中供应，项目运行过程通过内部管理、废物回收利用、污染治理等多方面采取合理可行的防治措施，以“节能、降耗、减污”为目标，有效的控制污染。项目的水、电等资源利用不会突破区域的资源利用上线。</w:t>
                  </w:r>
                </w:p>
                <w:p w14:paraId="0CA15007">
                  <w:pPr>
                    <w:pStyle w:val="13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（2）拟建项目位于企业现有工业用地范围，未新增占地，符合土地资源利用上线管控要求。</w:t>
                  </w:r>
                </w:p>
              </w:tc>
              <w:tc>
                <w:tcPr>
                  <w:tcW w:w="914" w:type="dxa"/>
                  <w:shd w:val="clear" w:color="auto" w:fill="auto"/>
                  <w:vAlign w:val="center"/>
                </w:tcPr>
                <w:p w14:paraId="1B71CA5C">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C30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6" w:type="dxa"/>
                  <w:shd w:val="clear" w:color="auto" w:fill="auto"/>
                  <w:vAlign w:val="center"/>
                </w:tcPr>
                <w:p w14:paraId="73724F62">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环境准</w:t>
                  </w:r>
                </w:p>
                <w:p w14:paraId="40E55DE8">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入清单</w:t>
                  </w:r>
                </w:p>
              </w:tc>
              <w:tc>
                <w:tcPr>
                  <w:tcW w:w="6132" w:type="dxa"/>
                  <w:shd w:val="clear" w:color="auto" w:fill="auto"/>
                  <w:vAlign w:val="center"/>
                </w:tcPr>
                <w:p w14:paraId="444C2BBE">
                  <w:pPr>
                    <w:pStyle w:val="13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经查询福建省生态环境分区管控数据应用平台，本项目所在分区管控单元为“金港工业区”，管控单元分类为“重点管控单元”，环境管控单元编码为ZH35012320007。管控要求符合性分析见表1.7-1。查询报告见附件18。</w:t>
                  </w:r>
                </w:p>
              </w:tc>
              <w:tc>
                <w:tcPr>
                  <w:tcW w:w="914" w:type="dxa"/>
                  <w:shd w:val="clear" w:color="auto" w:fill="auto"/>
                  <w:vAlign w:val="center"/>
                </w:tcPr>
                <w:p w14:paraId="401F4548">
                  <w:pPr>
                    <w:pStyle w:val="13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2D88B058">
            <w:pPr>
              <w:pStyle w:val="86"/>
              <w:rPr>
                <w:rFonts w:ascii="Times New Roman" w:hAnsi="Times New Roman" w:cs="Times New Roman"/>
                <w:color w:val="000000" w:themeColor="text1"/>
                <w14:textFill>
                  <w14:solidFill>
                    <w14:schemeClr w14:val="tx1"/>
                  </w14:solidFill>
                </w14:textFill>
              </w:rPr>
            </w:pPr>
          </w:p>
        </w:tc>
      </w:tr>
    </w:tbl>
    <w:p w14:paraId="41510F89">
      <w:pPr>
        <w:ind w:firstLine="480"/>
        <w:rPr>
          <w:rFonts w:cs="Times New Roman"/>
          <w:color w:val="000000" w:themeColor="text1"/>
          <w14:textFill>
            <w14:solidFill>
              <w14:schemeClr w14:val="tx1"/>
            </w14:solidFill>
          </w14:textFill>
        </w:rPr>
        <w:sectPr>
          <w:pgSz w:w="11907" w:h="16840"/>
          <w:pgMar w:top="1701" w:right="1531" w:bottom="2127" w:left="1531" w:header="851" w:footer="851" w:gutter="0"/>
          <w:cols w:space="720" w:num="1"/>
          <w:docGrid w:linePitch="312" w:charSpace="0"/>
        </w:sectPr>
      </w:pPr>
    </w:p>
    <w:p w14:paraId="5C058396">
      <w:pPr>
        <w:ind w:firstLine="480"/>
        <w:rPr>
          <w:rFonts w:cs="Times New Roman"/>
          <w:color w:val="000000" w:themeColor="text1"/>
          <w14:textFill>
            <w14:solidFill>
              <w14:schemeClr w14:val="tx1"/>
            </w14:solidFill>
          </w14:textFill>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11225"/>
      </w:tblGrid>
      <w:tr w14:paraId="0451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6" w:hRule="atLeast"/>
        </w:trPr>
        <w:tc>
          <w:tcPr>
            <w:tcW w:w="1666" w:type="dxa"/>
            <w:vAlign w:val="center"/>
          </w:tcPr>
          <w:p w14:paraId="10DFD185">
            <w:pPr>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其他符合性分析</w:t>
            </w:r>
          </w:p>
        </w:tc>
        <w:tc>
          <w:tcPr>
            <w:tcW w:w="7169" w:type="dxa"/>
          </w:tcPr>
          <w:p w14:paraId="58FB7AC9">
            <w:pPr>
              <w:spacing w:before="120" w:beforeLines="50"/>
              <w:ind w:firstLine="482"/>
              <w:jc w:val="center"/>
              <w:rPr>
                <w:rFonts w:cs="Times New Roman"/>
                <w:b/>
                <w:color w:val="000000" w:themeColor="text1"/>
                <w14:textFill>
                  <w14:solidFill>
                    <w14:schemeClr w14:val="tx1"/>
                  </w14:solidFill>
                </w14:textFill>
              </w:rPr>
            </w:pPr>
            <w:r>
              <w:rPr>
                <w:rStyle w:val="352"/>
                <w:rFonts w:cs="Times New Roman"/>
                <w:color w:val="000000" w:themeColor="text1"/>
                <w14:textFill>
                  <w14:solidFill>
                    <w14:schemeClr w14:val="tx1"/>
                  </w14:solidFill>
                </w14:textFill>
              </w:rPr>
              <w:t>表</w:t>
            </w:r>
            <w:r>
              <w:rPr>
                <w:rStyle w:val="352"/>
                <w:rFonts w:cs="Times New Roman"/>
                <w:color w:val="000000" w:themeColor="text1"/>
                <w14:textFill>
                  <w14:solidFill>
                    <w14:schemeClr w14:val="tx1"/>
                  </w14:solidFill>
                </w14:textFill>
              </w:rPr>
              <w:fldChar w:fldCharType="begin"/>
            </w:r>
            <w:r>
              <w:rPr>
                <w:rStyle w:val="352"/>
                <w:rFonts w:cs="Times New Roman"/>
                <w:color w:val="000000" w:themeColor="text1"/>
                <w14:textFill>
                  <w14:solidFill>
                    <w14:schemeClr w14:val="tx1"/>
                  </w14:solidFill>
                </w14:textFill>
              </w:rPr>
              <w:instrText xml:space="preserve"> STYLEREF 2 \s </w:instrText>
            </w:r>
            <w:r>
              <w:rPr>
                <w:rStyle w:val="352"/>
                <w:rFonts w:cs="Times New Roman"/>
                <w:color w:val="000000" w:themeColor="text1"/>
                <w14:textFill>
                  <w14:solidFill>
                    <w14:schemeClr w14:val="tx1"/>
                  </w14:solidFill>
                </w14:textFill>
              </w:rPr>
              <w:fldChar w:fldCharType="separate"/>
            </w:r>
            <w:r>
              <w:rPr>
                <w:rStyle w:val="352"/>
                <w:rFonts w:cs="Times New Roman"/>
                <w:color w:val="000000" w:themeColor="text1"/>
                <w14:textFill>
                  <w14:solidFill>
                    <w14:schemeClr w14:val="tx1"/>
                  </w14:solidFill>
                </w14:textFill>
              </w:rPr>
              <w:t>1.6</w:t>
            </w:r>
            <w:r>
              <w:rPr>
                <w:rStyle w:val="352"/>
                <w:rFonts w:cs="Times New Roman"/>
                <w:color w:val="000000" w:themeColor="text1"/>
                <w14:textFill>
                  <w14:solidFill>
                    <w14:schemeClr w14:val="tx1"/>
                  </w14:solidFill>
                </w14:textFill>
              </w:rPr>
              <w:fldChar w:fldCharType="end"/>
            </w:r>
            <w:r>
              <w:rPr>
                <w:rStyle w:val="352"/>
                <w:rFonts w:cs="Times New Roman"/>
                <w:color w:val="000000" w:themeColor="text1"/>
                <w14:textFill>
                  <w14:solidFill>
                    <w14:schemeClr w14:val="tx1"/>
                  </w14:solidFill>
                </w14:textFill>
              </w:rPr>
              <w:t>-</w:t>
            </w:r>
            <w:r>
              <w:rPr>
                <w:rStyle w:val="352"/>
                <w:rFonts w:cs="Times New Roman"/>
                <w:color w:val="000000" w:themeColor="text1"/>
                <w14:textFill>
                  <w14:solidFill>
                    <w14:schemeClr w14:val="tx1"/>
                  </w14:solidFill>
                </w14:textFill>
              </w:rPr>
              <w:fldChar w:fldCharType="begin"/>
            </w:r>
            <w:r>
              <w:rPr>
                <w:rStyle w:val="352"/>
                <w:rFonts w:cs="Times New Roman"/>
                <w:color w:val="000000" w:themeColor="text1"/>
                <w14:textFill>
                  <w14:solidFill>
                    <w14:schemeClr w14:val="tx1"/>
                  </w14:solidFill>
                </w14:textFill>
              </w:rPr>
              <w:instrText xml:space="preserve"> SEQ 表 \* ARABIC \s 2 </w:instrText>
            </w:r>
            <w:r>
              <w:rPr>
                <w:rStyle w:val="352"/>
                <w:rFonts w:cs="Times New Roman"/>
                <w:color w:val="000000" w:themeColor="text1"/>
                <w14:textFill>
                  <w14:solidFill>
                    <w14:schemeClr w14:val="tx1"/>
                  </w14:solidFill>
                </w14:textFill>
              </w:rPr>
              <w:fldChar w:fldCharType="separate"/>
            </w:r>
            <w:r>
              <w:rPr>
                <w:rStyle w:val="352"/>
                <w:rFonts w:cs="Times New Roman"/>
                <w:color w:val="000000" w:themeColor="text1"/>
                <w14:textFill>
                  <w14:solidFill>
                    <w14:schemeClr w14:val="tx1"/>
                  </w14:solidFill>
                </w14:textFill>
              </w:rPr>
              <w:t>3</w:t>
            </w:r>
            <w:r>
              <w:rPr>
                <w:rStyle w:val="352"/>
                <w:rFonts w:cs="Times New Roman"/>
                <w:color w:val="000000" w:themeColor="text1"/>
                <w14:textFill>
                  <w14:solidFill>
                    <w14:schemeClr w14:val="tx1"/>
                  </w14:solidFill>
                </w14:textFill>
              </w:rPr>
              <w:fldChar w:fldCharType="end"/>
            </w:r>
            <w:r>
              <w:rPr>
                <w:rStyle w:val="352"/>
                <w:rFonts w:cs="Times New Roman"/>
                <w:color w:val="000000" w:themeColor="text1"/>
                <w14:textFill>
                  <w14:solidFill>
                    <w14:schemeClr w14:val="tx1"/>
                  </w14:solidFill>
                </w14:textFill>
              </w:rPr>
              <w:t xml:space="preserve"> 与福</w:t>
            </w:r>
            <w:r>
              <w:rPr>
                <w:rFonts w:cs="Times New Roman"/>
                <w:b/>
                <w:color w:val="000000" w:themeColor="text1"/>
                <w14:textFill>
                  <w14:solidFill>
                    <w14:schemeClr w14:val="tx1"/>
                  </w14:solidFill>
                </w14:textFill>
              </w:rPr>
              <w:t>州市生态环境总体准入要求的符合性分析</w:t>
            </w:r>
          </w:p>
          <w:tbl>
            <w:tblPr>
              <w:tblStyle w:val="46"/>
              <w:tblpPr w:leftFromText="180" w:rightFromText="180" w:vertAnchor="text" w:tblpXSpec="center" w:tblpY="1"/>
              <w:tblOverlap w:val="never"/>
              <w:tblW w:w="1099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754"/>
              <w:gridCol w:w="611"/>
              <w:gridCol w:w="5953"/>
              <w:gridCol w:w="2929"/>
              <w:gridCol w:w="752"/>
            </w:tblGrid>
            <w:tr w14:paraId="1CD6AC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blHeader/>
              </w:trPr>
              <w:tc>
                <w:tcPr>
                  <w:tcW w:w="754" w:type="dxa"/>
                  <w:tcBorders>
                    <w:tl2br w:val="nil"/>
                    <w:tr2bl w:val="nil"/>
                  </w:tcBorders>
                  <w:vAlign w:val="center"/>
                </w:tcPr>
                <w:p w14:paraId="704A420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适用范围</w:t>
                  </w:r>
                </w:p>
              </w:tc>
              <w:tc>
                <w:tcPr>
                  <w:tcW w:w="6564" w:type="dxa"/>
                  <w:gridSpan w:val="2"/>
                  <w:tcBorders>
                    <w:tl2br w:val="nil"/>
                    <w:tr2bl w:val="nil"/>
                  </w:tcBorders>
                  <w:vAlign w:val="center"/>
                </w:tcPr>
                <w:p w14:paraId="3B7C6CB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准入要求</w:t>
                  </w:r>
                </w:p>
              </w:tc>
              <w:tc>
                <w:tcPr>
                  <w:tcW w:w="2929" w:type="dxa"/>
                  <w:tcBorders>
                    <w:tl2br w:val="nil"/>
                    <w:tr2bl w:val="nil"/>
                  </w:tcBorders>
                  <w:vAlign w:val="center"/>
                </w:tcPr>
                <w:p w14:paraId="232AAA4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项目情况</w:t>
                  </w:r>
                </w:p>
              </w:tc>
              <w:tc>
                <w:tcPr>
                  <w:tcW w:w="752" w:type="dxa"/>
                  <w:tcBorders>
                    <w:tl2br w:val="nil"/>
                    <w:tr2bl w:val="nil"/>
                  </w:tcBorders>
                  <w:vAlign w:val="center"/>
                </w:tcPr>
                <w:p w14:paraId="05978BB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符合性</w:t>
                  </w:r>
                </w:p>
              </w:tc>
            </w:tr>
            <w:tr w14:paraId="0913A9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c>
                <w:tcPr>
                  <w:tcW w:w="754" w:type="dxa"/>
                  <w:vMerge w:val="restart"/>
                  <w:tcBorders>
                    <w:tl2br w:val="nil"/>
                    <w:tr2bl w:val="nil"/>
                  </w:tcBorders>
                  <w:vAlign w:val="center"/>
                </w:tcPr>
                <w:p w14:paraId="1BA76AA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福州市陆域</w:t>
                  </w:r>
                </w:p>
              </w:tc>
              <w:tc>
                <w:tcPr>
                  <w:tcW w:w="611" w:type="dxa"/>
                  <w:vMerge w:val="restart"/>
                  <w:tcBorders>
                    <w:tl2br w:val="nil"/>
                    <w:tr2bl w:val="nil"/>
                  </w:tcBorders>
                  <w:vAlign w:val="center"/>
                </w:tcPr>
                <w:p w14:paraId="4658712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空间布局约束</w:t>
                  </w:r>
                </w:p>
              </w:tc>
              <w:tc>
                <w:tcPr>
                  <w:tcW w:w="5953" w:type="dxa"/>
                  <w:tcBorders>
                    <w:tl2br w:val="nil"/>
                    <w:tr2bl w:val="nil"/>
                  </w:tcBorders>
                  <w:vAlign w:val="center"/>
                </w:tcPr>
                <w:p w14:paraId="59B3A2E9">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一、优先保护单元中的生态保护红线</w:t>
                  </w:r>
                </w:p>
                <w:p w14:paraId="4255E852">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1.根据《关于在国土空间规划中统筹划定落实三条控制线的指导意见》《自然资源部 生态环境部 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1CCC3ED0">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（1）管护巡护、保护执法、科学研究、调查监测、测绘导航、防灾减灾救灾、军事国防、疫情防控等活动及相关的必要设施修缮。</w:t>
                  </w:r>
                </w:p>
                <w:p w14:paraId="494CCCB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F842634">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（3）经依法批准的考古调查发掘、古生物化石调查发掘、标本采集和文物保护活动。</w:t>
                  </w:r>
                </w:p>
                <w:p w14:paraId="5214870E">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（4）按规定对人工商品林进行抚育采伐，或以提升森林质量、优化栖息地、建设生物防火隔离带等为目的的树种更新，依法开展的竹林采伐经营。</w:t>
                  </w:r>
                </w:p>
                <w:p w14:paraId="032EE9DA">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（5）不破坏生态功能的适度参观旅游、科普宣教及符合相关规划的配套性服务设施和相关的必要公共设施建设及维护。</w:t>
                  </w:r>
                </w:p>
                <w:p w14:paraId="1F181419">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（6）必须且无法避让、符合县级以上国土空间规划的线性基础设施、通讯和防洪、供水设施建设和船舶航行、航道疏浚清淤等活动；已有的合法水利、交通运输等设施运行维护改造。</w:t>
                  </w:r>
                </w:p>
                <w:p w14:paraId="78B32B74">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3FFB5A08">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（8）依据县级以上国土空间规划和生态保护修复专项规划开展的生态修复。</w:t>
                  </w:r>
                </w:p>
                <w:p w14:paraId="1AD6FAFD">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（9）法律法规规定允许的其他人为活动。</w:t>
                  </w:r>
                </w:p>
                <w:p w14:paraId="57DF6866">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2.依据《福建省自然资源厅 福建省生态环境厅 福建省林业局关于进一步加强生态保护红线监管的通知（试行）》（闽自然资发〔2023〕56号），允许占用生态保护红线的重大项目范围：</w:t>
                  </w:r>
                </w:p>
                <w:p w14:paraId="0B3179B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（1）党中央、国务院发布文件或批准规划中明确具体名称的项目和国务院批准的项目。</w:t>
                  </w:r>
                </w:p>
                <w:p w14:paraId="1F50AA98">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（2）中央军委及其有关部门批准的军事国防项目。</w:t>
                  </w:r>
                </w:p>
                <w:p w14:paraId="5674D7A0">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（3）国家级规划（指国务院及其有关部门正式颁布）明确的交通、水利项目。</w:t>
                  </w:r>
                </w:p>
                <w:p w14:paraId="6CBE9D8B">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（4）国家级规划明确的电网项目，国家级规划明确的且符合国家产业政策的能源矿产勘查开采、油气管线、水电、核电项目。</w:t>
                  </w:r>
                </w:p>
                <w:p w14:paraId="030FC818">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（5）为贯彻落实党中央、国务院重大决策部署，国务院投资主管部门或国务院投资主管部门会同有关部门确认的交通、能源、水利等基础设施项目。</w:t>
                  </w:r>
                </w:p>
                <w:p w14:paraId="7421490F">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（6）按照国家重大项目用地保障工作机制要求，国家发展改革委会同有关部门确认的需中央加大建设用地保障力度，确实难以避让的国家重大项目。</w:t>
                  </w:r>
                </w:p>
              </w:tc>
              <w:tc>
                <w:tcPr>
                  <w:tcW w:w="2929" w:type="dxa"/>
                  <w:tcBorders>
                    <w:tl2br w:val="nil"/>
                    <w:tr2bl w:val="nil"/>
                  </w:tcBorders>
                  <w:vAlign w:val="center"/>
                </w:tcPr>
                <w:p w14:paraId="3BFECD3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拟建项目位于罗源金港工业区宝钢德盛现有厂区内，不涉及优先保护单元中的生态保护红线</w:t>
                  </w:r>
                </w:p>
              </w:tc>
              <w:tc>
                <w:tcPr>
                  <w:tcW w:w="752" w:type="dxa"/>
                  <w:tcBorders>
                    <w:tl2br w:val="nil"/>
                    <w:tr2bl w:val="nil"/>
                  </w:tcBorders>
                  <w:vAlign w:val="center"/>
                </w:tcPr>
                <w:p w14:paraId="5ABE702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157824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c>
                <w:tcPr>
                  <w:tcW w:w="754" w:type="dxa"/>
                  <w:vMerge w:val="continue"/>
                  <w:tcBorders>
                    <w:tl2br w:val="nil"/>
                    <w:tr2bl w:val="nil"/>
                  </w:tcBorders>
                  <w:vAlign w:val="center"/>
                </w:tcPr>
                <w:p w14:paraId="66801E51">
                  <w:pPr>
                    <w:pStyle w:val="138"/>
                    <w:rPr>
                      <w:rFonts w:cs="Times New Roman"/>
                      <w:color w:val="000000" w:themeColor="text1"/>
                      <w14:textFill>
                        <w14:solidFill>
                          <w14:schemeClr w14:val="tx1"/>
                        </w14:solidFill>
                      </w14:textFill>
                    </w:rPr>
                  </w:pPr>
                </w:p>
              </w:tc>
              <w:tc>
                <w:tcPr>
                  <w:tcW w:w="611" w:type="dxa"/>
                  <w:vMerge w:val="continue"/>
                  <w:tcBorders>
                    <w:tl2br w:val="nil"/>
                    <w:tr2bl w:val="nil"/>
                  </w:tcBorders>
                  <w:vAlign w:val="center"/>
                </w:tcPr>
                <w:p w14:paraId="5F6E1B48">
                  <w:pPr>
                    <w:pStyle w:val="138"/>
                    <w:rPr>
                      <w:rFonts w:cs="Times New Roman"/>
                      <w:color w:val="000000" w:themeColor="text1"/>
                      <w14:textFill>
                        <w14:solidFill>
                          <w14:schemeClr w14:val="tx1"/>
                        </w14:solidFill>
                      </w14:textFill>
                    </w:rPr>
                  </w:pPr>
                </w:p>
              </w:tc>
              <w:tc>
                <w:tcPr>
                  <w:tcW w:w="5953" w:type="dxa"/>
                  <w:tcBorders>
                    <w:tl2br w:val="nil"/>
                    <w:tr2bl w:val="nil"/>
                  </w:tcBorders>
                  <w:vAlign w:val="center"/>
                </w:tcPr>
                <w:p w14:paraId="7A8B66D4">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二、优先保护单元中的一般生态空间</w:t>
                  </w:r>
                </w:p>
                <w:p w14:paraId="362CE7BB">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1.一般生态空间以保护和修复生态环境、提供生态产品和服务为首要任务，因地制宜地发展不影响主体功能定位的适宜产业。</w:t>
                  </w:r>
                </w:p>
                <w:p w14:paraId="52BFAD6C">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2.一般生态空间内未纳入生态保护红线的饮用水水源保护区等各类法定保护地，其管控要求依照相关法律法规执行。</w:t>
                  </w:r>
                </w:p>
                <w:p w14:paraId="0ECEF4C8">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3.一般生态空间内现有合法的水泥厂、矿山开发等生产性设施及生活垃圾处置等民生工程予以保留，应按照法律法规要求落实污染防治和生态保护措施，避免对生态功能造成破坏。</w:t>
                  </w:r>
                </w:p>
              </w:tc>
              <w:tc>
                <w:tcPr>
                  <w:tcW w:w="2929" w:type="dxa"/>
                  <w:tcBorders>
                    <w:tl2br w:val="nil"/>
                    <w:tr2bl w:val="nil"/>
                  </w:tcBorders>
                  <w:vAlign w:val="center"/>
                </w:tcPr>
                <w:p w14:paraId="1BC5037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拟建项目位于罗源金港工业区宝钢德盛现有厂区内，不涉及优先保护单元中的一般生态空间。</w:t>
                  </w:r>
                </w:p>
              </w:tc>
              <w:tc>
                <w:tcPr>
                  <w:tcW w:w="752" w:type="dxa"/>
                  <w:tcBorders>
                    <w:tl2br w:val="nil"/>
                    <w:tr2bl w:val="nil"/>
                  </w:tcBorders>
                  <w:vAlign w:val="center"/>
                </w:tcPr>
                <w:p w14:paraId="697C4BE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46D054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c>
                <w:tcPr>
                  <w:tcW w:w="754" w:type="dxa"/>
                  <w:vMerge w:val="continue"/>
                  <w:tcBorders>
                    <w:tl2br w:val="nil"/>
                    <w:tr2bl w:val="nil"/>
                  </w:tcBorders>
                  <w:vAlign w:val="center"/>
                </w:tcPr>
                <w:p w14:paraId="71095C5C">
                  <w:pPr>
                    <w:pStyle w:val="138"/>
                    <w:rPr>
                      <w:rFonts w:cs="Times New Roman"/>
                      <w:color w:val="000000" w:themeColor="text1"/>
                      <w14:textFill>
                        <w14:solidFill>
                          <w14:schemeClr w14:val="tx1"/>
                        </w14:solidFill>
                      </w14:textFill>
                    </w:rPr>
                  </w:pPr>
                </w:p>
              </w:tc>
              <w:tc>
                <w:tcPr>
                  <w:tcW w:w="611" w:type="dxa"/>
                  <w:vMerge w:val="continue"/>
                  <w:tcBorders>
                    <w:tl2br w:val="nil"/>
                    <w:tr2bl w:val="nil"/>
                  </w:tcBorders>
                  <w:vAlign w:val="center"/>
                </w:tcPr>
                <w:p w14:paraId="49BA3B14">
                  <w:pPr>
                    <w:pStyle w:val="138"/>
                    <w:rPr>
                      <w:rFonts w:cs="Times New Roman"/>
                      <w:color w:val="000000" w:themeColor="text1"/>
                      <w14:textFill>
                        <w14:solidFill>
                          <w14:schemeClr w14:val="tx1"/>
                        </w14:solidFill>
                      </w14:textFill>
                    </w:rPr>
                  </w:pPr>
                </w:p>
              </w:tc>
              <w:tc>
                <w:tcPr>
                  <w:tcW w:w="5953" w:type="dxa"/>
                  <w:tcBorders>
                    <w:tl2br w:val="nil"/>
                    <w:tr2bl w:val="nil"/>
                  </w:tcBorders>
                  <w:vAlign w:val="center"/>
                </w:tcPr>
                <w:p w14:paraId="42D46BEF">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三、其它要求</w:t>
                  </w:r>
                </w:p>
                <w:p w14:paraId="70521F6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1.福州市石化中上游项目重点在福州江阴港城经济区、可门港经济区化工新材料产业园布局。</w:t>
                  </w:r>
                </w:p>
                <w:p w14:paraId="7F682308">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2.禁止在闽江马尾罗星塔以上流域范围新、扩建制革项目，严控新（扩）建植物制浆、印染、合成革及人造革、电镀项目。</w:t>
                  </w:r>
                </w:p>
                <w:p w14:paraId="70E4E419">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3.禁止在通风廊道和主导风向的上风向布局大气重污染企业，推进建成区大气重污染企业搬迁或升级改造、环境风险企业搬迁或关闭退出。</w:t>
                  </w:r>
                </w:p>
                <w:p w14:paraId="50675E22">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4.禁止新、改、扩建生产高VOCs含量有机溶剂型涂料、油墨和胶黏剂的项目。</w:t>
                  </w:r>
                </w:p>
                <w:p w14:paraId="2E21ECBA">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5.持续加强闽清等地建陶产业的环境综合治理，充分衔接国土空间规划和生态环境分区管控，并对照产业政策、城市总体发展规划等要求，进一步明确发展定位，优化产业布局和规模。</w:t>
                  </w:r>
                </w:p>
                <w:p w14:paraId="309623EA">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1B10F5D9">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7.禁止在流域上游新建、扩建重污染企业和项目。</w:t>
                  </w:r>
                </w:p>
                <w:p w14:paraId="4A53A46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8.重要敏感水体及富营养化湖库生态缓冲带除相关政府部门批准的科学研究活动外，禁止其它可能对保护区构成危害或不良影响的大规模生产、建设活动。</w:t>
                  </w:r>
                </w:p>
                <w:p w14:paraId="1C802782">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9.新、改、扩建煤电、钢铁、建材、石化、化工等“两高”项目，严格落实国家、省、市产业规划、产业政策、“三线一单”、规划环评，以及产能置换、煤炭消费减量替代、区域污染削减等相关要求。</w:t>
                  </w:r>
                </w:p>
                <w:p w14:paraId="557CA922">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10.单元内涉及永久基本农田的，应按照《福建省基本农田保护条例》（2010年修正本）、《国土资源部关于全面实行永久基本农田特殊保护的通知》（国土资规〔2018〕1号）、《中共中央 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929" w:type="dxa"/>
                  <w:tcBorders>
                    <w:tl2br w:val="nil"/>
                    <w:tr2bl w:val="nil"/>
                  </w:tcBorders>
                  <w:vAlign w:val="center"/>
                </w:tcPr>
                <w:p w14:paraId="080F2CE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拟建项目位于罗源金港工业区宝钢德盛现有厂区内，属于企业配套的余气、余热回收利用工程，不属于禁止建设类项目。</w:t>
                  </w:r>
                </w:p>
              </w:tc>
              <w:tc>
                <w:tcPr>
                  <w:tcW w:w="752" w:type="dxa"/>
                  <w:tcBorders>
                    <w:tl2br w:val="nil"/>
                    <w:tr2bl w:val="nil"/>
                  </w:tcBorders>
                  <w:vAlign w:val="center"/>
                </w:tcPr>
                <w:p w14:paraId="76B9553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3B9791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c>
                <w:tcPr>
                  <w:tcW w:w="754" w:type="dxa"/>
                  <w:vMerge w:val="continue"/>
                  <w:tcBorders>
                    <w:tl2br w:val="nil"/>
                    <w:tr2bl w:val="nil"/>
                  </w:tcBorders>
                  <w:vAlign w:val="center"/>
                </w:tcPr>
                <w:p w14:paraId="2F8F45DB">
                  <w:pPr>
                    <w:pStyle w:val="138"/>
                    <w:rPr>
                      <w:rFonts w:cs="Times New Roman"/>
                      <w:color w:val="000000" w:themeColor="text1"/>
                      <w14:textFill>
                        <w14:solidFill>
                          <w14:schemeClr w14:val="tx1"/>
                        </w14:solidFill>
                      </w14:textFill>
                    </w:rPr>
                  </w:pPr>
                </w:p>
              </w:tc>
              <w:tc>
                <w:tcPr>
                  <w:tcW w:w="611" w:type="dxa"/>
                  <w:tcBorders>
                    <w:tl2br w:val="nil"/>
                    <w:tr2bl w:val="nil"/>
                  </w:tcBorders>
                  <w:vAlign w:val="center"/>
                </w:tcPr>
                <w:p w14:paraId="2FFA62B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污染物排放管控</w:t>
                  </w:r>
                </w:p>
              </w:tc>
              <w:tc>
                <w:tcPr>
                  <w:tcW w:w="5953" w:type="dxa"/>
                  <w:tcBorders>
                    <w:tl2br w:val="nil"/>
                    <w:tr2bl w:val="nil"/>
                  </w:tcBorders>
                  <w:vAlign w:val="center"/>
                </w:tcPr>
                <w:p w14:paraId="7C182EBC">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15F04118">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2.新、改、扩建涉VOCs排放项目污染物排放量应满足《福州市“十四五”空气质量持续改善计划》（榕环保综〔2023〕40号），应从源头加强控制，使用低（无）VOCs含量的原辅材料。 </w:t>
                  </w:r>
                </w:p>
                <w:p w14:paraId="62ACF8C7">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238F38CD">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4.氟化工、印染、电镀等行业企业实行水污染物特别排放限值。</w:t>
                  </w:r>
                </w:p>
                <w:p w14:paraId="2DC19C05">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5.新、改、扩建重点行业［2］建设项目要遵循重点重金属污染物排放“等量替代”原则，总量来源原则上应是同一重点行业内的削减量，当同一重点行业无法满足时可从其他重点行业调剂。</w:t>
                  </w:r>
                </w:p>
                <w:p w14:paraId="4B326E70">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6.每小时35（含）—65蒸吨燃煤锅炉和位于县级及以上城市建成区内保留的燃煤、燃油、燃生物质锅炉，原则上2024年底前必须全面实现超低排放。</w:t>
                  </w:r>
                </w:p>
                <w:p w14:paraId="17567604">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7.水泥行业新改扩建项目严格对照超低排放、能效标杆水平建设实施；现有项目超低排放改造应按文件（闽环规〔2023〕2号）的时限要求分步推进，2025年底前全面完成［3］［4］。</w:t>
                  </w:r>
                </w:p>
                <w:p w14:paraId="3ACA095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929" w:type="dxa"/>
                  <w:tcBorders>
                    <w:tl2br w:val="nil"/>
                    <w:tr2bl w:val="nil"/>
                  </w:tcBorders>
                  <w:vAlign w:val="center"/>
                </w:tcPr>
                <w:p w14:paraId="44444748">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1、拟建项目废气污染物二氧化硫、氮氧化物、颗粒物执行《关于推进实施钢铁行业超低排放的意见》（环大气[2019]35号）超低排放要求和《火电厂大气污染物排放标准》（GB13223—2011）；</w:t>
                  </w:r>
                </w:p>
                <w:p w14:paraId="0CF828CA">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宝钢德盛实施超低排放改造排污总量全面削减，拟建项目为余能利用项目，建成后全厂排污符合规划环评中钢铁产业污染物排放总量未突破的要求；</w:t>
                  </w:r>
                </w:p>
                <w:p w14:paraId="46E1E95A">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2、项目生产废水全部回用，不外排。</w:t>
                  </w:r>
                </w:p>
              </w:tc>
              <w:tc>
                <w:tcPr>
                  <w:tcW w:w="752" w:type="dxa"/>
                  <w:tcBorders>
                    <w:tl2br w:val="nil"/>
                    <w:tr2bl w:val="nil"/>
                  </w:tcBorders>
                  <w:vAlign w:val="center"/>
                </w:tcPr>
                <w:p w14:paraId="78EAD6A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5B37E7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c>
                <w:tcPr>
                  <w:tcW w:w="754" w:type="dxa"/>
                  <w:vMerge w:val="continue"/>
                  <w:tcBorders>
                    <w:tl2br w:val="nil"/>
                    <w:tr2bl w:val="nil"/>
                  </w:tcBorders>
                  <w:vAlign w:val="center"/>
                </w:tcPr>
                <w:p w14:paraId="16555DF6">
                  <w:pPr>
                    <w:pStyle w:val="138"/>
                    <w:rPr>
                      <w:rFonts w:cs="Times New Roman"/>
                      <w:color w:val="000000" w:themeColor="text1"/>
                      <w14:textFill>
                        <w14:solidFill>
                          <w14:schemeClr w14:val="tx1"/>
                        </w14:solidFill>
                      </w14:textFill>
                    </w:rPr>
                  </w:pPr>
                </w:p>
              </w:tc>
              <w:tc>
                <w:tcPr>
                  <w:tcW w:w="611" w:type="dxa"/>
                  <w:tcBorders>
                    <w:tl2br w:val="nil"/>
                    <w:tr2bl w:val="nil"/>
                  </w:tcBorders>
                  <w:vAlign w:val="center"/>
                </w:tcPr>
                <w:p w14:paraId="79B90AC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资源开发效率要求</w:t>
                  </w:r>
                </w:p>
              </w:tc>
              <w:tc>
                <w:tcPr>
                  <w:tcW w:w="5953" w:type="dxa"/>
                  <w:tcBorders>
                    <w:tl2br w:val="nil"/>
                    <w:tr2bl w:val="nil"/>
                  </w:tcBorders>
                  <w:vAlign w:val="center"/>
                </w:tcPr>
                <w:p w14:paraId="673F14CA">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1EEA58EB">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2.按照“提气、转电、控煤”的发展思路，推动陶瓷行业进一步优化用能结构，实现能源消费清洁低碳化。</w:t>
                  </w:r>
                </w:p>
              </w:tc>
              <w:tc>
                <w:tcPr>
                  <w:tcW w:w="2929" w:type="dxa"/>
                  <w:tcBorders>
                    <w:tl2br w:val="nil"/>
                    <w:tr2bl w:val="nil"/>
                  </w:tcBorders>
                  <w:vAlign w:val="center"/>
                </w:tcPr>
                <w:p w14:paraId="31E51A1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拟建项目新增170t/h燃气锅炉，不属于禁止建设类项目。</w:t>
                  </w:r>
                </w:p>
              </w:tc>
              <w:tc>
                <w:tcPr>
                  <w:tcW w:w="752" w:type="dxa"/>
                  <w:tcBorders>
                    <w:tl2br w:val="nil"/>
                    <w:tr2bl w:val="nil"/>
                  </w:tcBorders>
                  <w:vAlign w:val="center"/>
                </w:tcPr>
                <w:p w14:paraId="1A88D50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2C6990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c>
                <w:tcPr>
                  <w:tcW w:w="754" w:type="dxa"/>
                  <w:tcBorders>
                    <w:tl2br w:val="nil"/>
                    <w:tr2bl w:val="nil"/>
                  </w:tcBorders>
                  <w:vAlign w:val="center"/>
                </w:tcPr>
                <w:p w14:paraId="4C9798E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备注栏</w:t>
                  </w:r>
                </w:p>
              </w:tc>
              <w:tc>
                <w:tcPr>
                  <w:tcW w:w="611" w:type="dxa"/>
                  <w:tcBorders>
                    <w:tl2br w:val="nil"/>
                    <w:tr2bl w:val="nil"/>
                  </w:tcBorders>
                  <w:vAlign w:val="center"/>
                </w:tcPr>
                <w:p w14:paraId="5682DEF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名词解释</w:t>
                  </w:r>
                </w:p>
              </w:tc>
              <w:tc>
                <w:tcPr>
                  <w:tcW w:w="9634" w:type="dxa"/>
                  <w:gridSpan w:val="3"/>
                  <w:tcBorders>
                    <w:tl2br w:val="nil"/>
                    <w:tr2bl w:val="nil"/>
                  </w:tcBorders>
                  <w:vAlign w:val="center"/>
                </w:tcPr>
                <w:p w14:paraId="1A6E3F6D">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［1］重点重金属污染物：包括铅、汞、镉、铬、砷、铊和锑，对其中铅、汞、镉、铬和砷五种重点重金属污染物排放量实施总量控制。</w:t>
                  </w:r>
                </w:p>
                <w:p w14:paraId="0F2255D5">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w:t>
                  </w:r>
                </w:p>
                <w:p w14:paraId="65117BF5">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［3］水泥行业超低排放实施范围：包括水泥熟料生产企业和独立水泥粉磨站（含生产特种水泥、协同处置固废的水泥企业）。</w:t>
                  </w:r>
                </w:p>
                <w:p w14:paraId="12957022">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［4］水泥企业超低排放：是指所有生产环节（破碎、粉磨、配料、熟料煅烧、烘干、协同处置等，以及原料、燃料和产品储存运输）的大气污染物有组织、无组织排放及运输过程达到超低排放要求。</w:t>
                  </w:r>
                </w:p>
                <w:p w14:paraId="00EC669B">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［1］、［2］摘自《福建省进一步加强重金属污染防控实施方案》（闽环保固体〔2022〕17号）。</w:t>
                  </w:r>
                </w:p>
                <w:p w14:paraId="247E933F">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［3］、［4］摘自《关于全面实施水泥行业超低排放改造的意见》（闽环规〔2023〕2号）。</w:t>
                  </w:r>
                </w:p>
              </w:tc>
            </w:tr>
          </w:tbl>
          <w:p w14:paraId="6412397C">
            <w:pPr>
              <w:ind w:firstLine="480"/>
              <w:rPr>
                <w:rFonts w:cs="Times New Roman"/>
                <w:color w:val="000000" w:themeColor="text1"/>
                <w14:textFill>
                  <w14:solidFill>
                    <w14:schemeClr w14:val="tx1"/>
                  </w14:solidFill>
                </w14:textFill>
              </w:rPr>
            </w:pPr>
          </w:p>
        </w:tc>
      </w:tr>
    </w:tbl>
    <w:p w14:paraId="10EC4507">
      <w:pPr>
        <w:ind w:firstLine="480"/>
        <w:rPr>
          <w:rFonts w:cs="Times New Roman"/>
          <w:color w:val="000000" w:themeColor="text1"/>
          <w14:textFill>
            <w14:solidFill>
              <w14:schemeClr w14:val="tx1"/>
            </w14:solidFill>
          </w14:textFill>
        </w:rPr>
        <w:sectPr>
          <w:footerReference r:id="rId13" w:type="default"/>
          <w:pgSz w:w="16840" w:h="11907" w:orient="landscape"/>
          <w:pgMar w:top="1531" w:right="1701" w:bottom="1531" w:left="2127" w:header="851" w:footer="851" w:gutter="0"/>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7169"/>
      </w:tblGrid>
      <w:tr w14:paraId="49CC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dxa"/>
            <w:vAlign w:val="center"/>
          </w:tcPr>
          <w:p w14:paraId="61D9FBF0">
            <w:pPr>
              <w:ind w:firstLine="0" w:firstLineChars="0"/>
              <w:jc w:val="center"/>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其他符合性分析</w:t>
            </w:r>
          </w:p>
        </w:tc>
        <w:tc>
          <w:tcPr>
            <w:tcW w:w="7169" w:type="dxa"/>
          </w:tcPr>
          <w:p w14:paraId="07F0A071">
            <w:pPr>
              <w:pStyle w:val="3"/>
              <w:numPr>
                <w:ilvl w:val="1"/>
                <w:numId w:val="0"/>
              </w:numPr>
              <w:rPr>
                <w:rFonts w:cs="Times New Roman"/>
                <w:color w:val="000000" w:themeColor="text1"/>
                <w14:textFill>
                  <w14:solidFill>
                    <w14:schemeClr w14:val="tx1"/>
                  </w14:solidFill>
                </w14:textFill>
              </w:rPr>
            </w:pPr>
            <w:bookmarkStart w:id="59" w:name="_Toc2558"/>
            <w:bookmarkStart w:id="60" w:name="_Toc230448014"/>
            <w:bookmarkStart w:id="61" w:name="_Toc32217"/>
            <w:r>
              <w:rPr>
                <w:rFonts w:cs="Times New Roman"/>
                <w:bCs w:val="0"/>
                <w:color w:val="000000" w:themeColor="text1"/>
                <w14:textFill>
                  <w14:solidFill>
                    <w14:schemeClr w14:val="tx1"/>
                  </w14:solidFill>
                </w14:textFill>
                <w14:scene3d w14:prst="orthographicFront">
                  <w14:lightRig w14:rig="threePt" w14:dir="t">
                    <w14:rot w14:lat="0" w14:lon="0" w14:rev="0"/>
                  </w14:lightRig>
                </w14:scene3d>
              </w:rPr>
              <w:t>1.7.</w:t>
            </w:r>
            <w:r>
              <w:rPr>
                <w:rFonts w:cs="Times New Roman"/>
                <w:color w:val="000000" w:themeColor="text1"/>
                <w14:textFill>
                  <w14:solidFill>
                    <w14:schemeClr w14:val="tx1"/>
                  </w14:solidFill>
                </w14:textFill>
              </w:rPr>
              <w:t>与生态环境准入要求符合性分析</w:t>
            </w:r>
            <w:bookmarkEnd w:id="59"/>
            <w:bookmarkEnd w:id="60"/>
            <w:bookmarkEnd w:id="61"/>
          </w:p>
          <w:p w14:paraId="7A0D01F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拟建项目与生态环境准入要求符合性分析见下表，管控单元查询截图见附件。</w:t>
            </w:r>
          </w:p>
          <w:p w14:paraId="2A617AB1">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与生态环境管控单元准入要求符合性分析</w:t>
            </w:r>
          </w:p>
          <w:tbl>
            <w:tblPr>
              <w:tblStyle w:val="46"/>
              <w:tblW w:w="6925" w:type="dxa"/>
              <w:tblInd w:w="1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9"/>
              <w:gridCol w:w="831"/>
              <w:gridCol w:w="945"/>
              <w:gridCol w:w="2508"/>
              <w:gridCol w:w="1485"/>
              <w:gridCol w:w="427"/>
            </w:tblGrid>
            <w:tr w14:paraId="47AB0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tcBorders>
                    <w:top w:val="single" w:color="auto" w:sz="6" w:space="0"/>
                    <w:left w:val="single" w:color="auto" w:sz="0" w:space="0"/>
                    <w:bottom w:val="single" w:color="auto" w:sz="6" w:space="0"/>
                    <w:right w:val="single" w:color="auto" w:sz="6" w:space="0"/>
                  </w:tcBorders>
                  <w:vAlign w:val="center"/>
                </w:tcPr>
                <w:p w14:paraId="4F76D63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环境管控单元编码</w:t>
                  </w:r>
                </w:p>
              </w:tc>
              <w:tc>
                <w:tcPr>
                  <w:tcW w:w="600" w:type="pct"/>
                  <w:tcBorders>
                    <w:top w:val="single" w:color="auto" w:sz="6" w:space="0"/>
                    <w:left w:val="single" w:color="auto" w:sz="6" w:space="0"/>
                    <w:bottom w:val="single" w:color="auto" w:sz="6" w:space="0"/>
                    <w:right w:val="single" w:color="auto" w:sz="6" w:space="0"/>
                  </w:tcBorders>
                  <w:vAlign w:val="center"/>
                </w:tcPr>
                <w:p w14:paraId="19CD3D3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环境管控单元名称</w:t>
                  </w:r>
                </w:p>
              </w:tc>
              <w:tc>
                <w:tcPr>
                  <w:tcW w:w="2492" w:type="pct"/>
                  <w:gridSpan w:val="2"/>
                  <w:tcBorders>
                    <w:top w:val="single" w:color="auto" w:sz="6" w:space="0"/>
                    <w:left w:val="single" w:color="auto" w:sz="6" w:space="0"/>
                    <w:bottom w:val="single" w:color="auto" w:sz="6" w:space="0"/>
                    <w:right w:val="single" w:color="auto" w:sz="6" w:space="0"/>
                  </w:tcBorders>
                  <w:vAlign w:val="center"/>
                </w:tcPr>
                <w:p w14:paraId="17D7D89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管控要求</w:t>
                  </w:r>
                </w:p>
              </w:tc>
              <w:tc>
                <w:tcPr>
                  <w:tcW w:w="1072" w:type="pct"/>
                  <w:tcBorders>
                    <w:top w:val="single" w:color="auto" w:sz="6" w:space="0"/>
                    <w:left w:val="single" w:color="auto" w:sz="6" w:space="0"/>
                    <w:bottom w:val="single" w:color="auto" w:sz="6" w:space="0"/>
                    <w:right w:val="single" w:color="auto" w:sz="6" w:space="0"/>
                  </w:tcBorders>
                  <w:vAlign w:val="center"/>
                </w:tcPr>
                <w:p w14:paraId="67AA4A0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w:t>
                  </w:r>
                </w:p>
              </w:tc>
              <w:tc>
                <w:tcPr>
                  <w:tcW w:w="308" w:type="pct"/>
                  <w:tcBorders>
                    <w:top w:val="single" w:color="auto" w:sz="6" w:space="0"/>
                    <w:left w:val="single" w:color="auto" w:sz="6" w:space="0"/>
                    <w:bottom w:val="single" w:color="auto" w:sz="6" w:space="0"/>
                    <w:right w:val="single" w:color="auto" w:sz="6" w:space="0"/>
                  </w:tcBorders>
                  <w:vAlign w:val="center"/>
                </w:tcPr>
                <w:p w14:paraId="1830FEA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符合性分析</w:t>
                  </w:r>
                </w:p>
              </w:tc>
            </w:tr>
            <w:tr w14:paraId="1C92B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526" w:type="pct"/>
                  <w:vMerge w:val="restart"/>
                  <w:tcBorders>
                    <w:top w:val="single" w:color="auto" w:sz="6" w:space="0"/>
                    <w:left w:val="single" w:color="auto" w:sz="4" w:space="0"/>
                    <w:bottom w:val="single" w:color="auto" w:sz="6" w:space="0"/>
                    <w:right w:val="single" w:color="auto" w:sz="6" w:space="0"/>
                  </w:tcBorders>
                  <w:vAlign w:val="center"/>
                </w:tcPr>
                <w:p w14:paraId="3DC48F9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ZH35012320007</w:t>
                  </w:r>
                </w:p>
              </w:tc>
              <w:tc>
                <w:tcPr>
                  <w:tcW w:w="600" w:type="pct"/>
                  <w:vMerge w:val="restart"/>
                  <w:tcBorders>
                    <w:top w:val="single" w:color="auto" w:sz="6" w:space="0"/>
                    <w:left w:val="single" w:color="auto" w:sz="6" w:space="0"/>
                    <w:bottom w:val="single" w:color="auto" w:sz="6" w:space="0"/>
                    <w:right w:val="single" w:color="auto" w:sz="6" w:space="0"/>
                  </w:tcBorders>
                  <w:vAlign w:val="center"/>
                </w:tcPr>
                <w:p w14:paraId="1F12713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罗源县重点管控单元</w:t>
                  </w:r>
                </w:p>
              </w:tc>
              <w:tc>
                <w:tcPr>
                  <w:tcW w:w="682" w:type="pct"/>
                  <w:tcBorders>
                    <w:top w:val="single" w:color="auto" w:sz="6" w:space="0"/>
                    <w:left w:val="single" w:color="auto" w:sz="6" w:space="0"/>
                    <w:bottom w:val="single" w:color="auto" w:sz="6" w:space="0"/>
                    <w:right w:val="single" w:color="auto" w:sz="6" w:space="0"/>
                  </w:tcBorders>
                  <w:vAlign w:val="center"/>
                </w:tcPr>
                <w:p w14:paraId="31BE29F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空间约束</w:t>
                  </w:r>
                </w:p>
              </w:tc>
              <w:tc>
                <w:tcPr>
                  <w:tcW w:w="1810" w:type="pct"/>
                  <w:tcBorders>
                    <w:top w:val="single" w:color="auto" w:sz="6" w:space="0"/>
                    <w:left w:val="single" w:color="auto" w:sz="6" w:space="0"/>
                    <w:bottom w:val="single" w:color="auto" w:sz="6" w:space="0"/>
                    <w:right w:val="single" w:color="auto" w:sz="6" w:space="0"/>
                  </w:tcBorders>
                  <w:vAlign w:val="center"/>
                </w:tcPr>
                <w:p w14:paraId="488C289B">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1.推进园区内钢铁企业产能置换，要求做到增产不增污。</w:t>
                  </w:r>
                </w:p>
                <w:p w14:paraId="342789D6">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2.禁止新建焦化生产线。</w:t>
                  </w:r>
                </w:p>
              </w:tc>
              <w:tc>
                <w:tcPr>
                  <w:tcW w:w="1072" w:type="pct"/>
                  <w:tcBorders>
                    <w:top w:val="single" w:color="auto" w:sz="6" w:space="0"/>
                    <w:left w:val="single" w:color="auto" w:sz="6" w:space="0"/>
                    <w:bottom w:val="single" w:color="auto" w:sz="6" w:space="0"/>
                    <w:right w:val="single" w:color="auto" w:sz="6" w:space="0"/>
                  </w:tcBorders>
                  <w:vAlign w:val="center"/>
                </w:tcPr>
                <w:p w14:paraId="37A9C51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本项目不涉及钢铁产能</w:t>
                  </w:r>
                </w:p>
              </w:tc>
              <w:tc>
                <w:tcPr>
                  <w:tcW w:w="308" w:type="pct"/>
                  <w:tcBorders>
                    <w:top w:val="single" w:color="auto" w:sz="6" w:space="0"/>
                    <w:left w:val="single" w:color="auto" w:sz="6" w:space="0"/>
                    <w:bottom w:val="single" w:color="auto" w:sz="6" w:space="0"/>
                    <w:right w:val="single" w:color="auto" w:sz="6" w:space="0"/>
                  </w:tcBorders>
                  <w:vAlign w:val="center"/>
                </w:tcPr>
                <w:p w14:paraId="7BB5BB7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41301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526" w:type="pct"/>
                  <w:vMerge w:val="continue"/>
                  <w:tcBorders>
                    <w:top w:val="single" w:color="auto" w:sz="6" w:space="0"/>
                    <w:left w:val="single" w:color="auto" w:sz="4" w:space="0"/>
                    <w:bottom w:val="single" w:color="auto" w:sz="6" w:space="0"/>
                    <w:right w:val="single" w:color="auto" w:sz="6" w:space="0"/>
                  </w:tcBorders>
                </w:tcPr>
                <w:p w14:paraId="7F138476">
                  <w:pPr>
                    <w:pStyle w:val="138"/>
                    <w:rPr>
                      <w:rFonts w:cs="Times New Roman"/>
                      <w:color w:val="000000" w:themeColor="text1"/>
                      <w14:textFill>
                        <w14:solidFill>
                          <w14:schemeClr w14:val="tx1"/>
                        </w14:solidFill>
                      </w14:textFill>
                    </w:rPr>
                  </w:pPr>
                </w:p>
              </w:tc>
              <w:tc>
                <w:tcPr>
                  <w:tcW w:w="600" w:type="pct"/>
                  <w:vMerge w:val="continue"/>
                  <w:tcBorders>
                    <w:top w:val="single" w:color="auto" w:sz="6" w:space="0"/>
                    <w:left w:val="single" w:color="auto" w:sz="6" w:space="0"/>
                    <w:bottom w:val="single" w:color="auto" w:sz="6" w:space="0"/>
                    <w:right w:val="single" w:color="auto" w:sz="6" w:space="0"/>
                  </w:tcBorders>
                  <w:vAlign w:val="center"/>
                </w:tcPr>
                <w:p w14:paraId="0BD77FC7">
                  <w:pPr>
                    <w:pStyle w:val="138"/>
                    <w:rPr>
                      <w:rFonts w:cs="Times New Roman"/>
                      <w:color w:val="000000" w:themeColor="text1"/>
                      <w14:textFill>
                        <w14:solidFill>
                          <w14:schemeClr w14:val="tx1"/>
                        </w14:solidFill>
                      </w14:textFill>
                    </w:rPr>
                  </w:pPr>
                </w:p>
              </w:tc>
              <w:tc>
                <w:tcPr>
                  <w:tcW w:w="682" w:type="pct"/>
                  <w:tcBorders>
                    <w:top w:val="single" w:color="auto" w:sz="6" w:space="0"/>
                    <w:left w:val="single" w:color="auto" w:sz="6" w:space="0"/>
                    <w:bottom w:val="single" w:color="auto" w:sz="6" w:space="0"/>
                    <w:right w:val="single" w:color="auto" w:sz="6" w:space="0"/>
                  </w:tcBorders>
                  <w:vAlign w:val="center"/>
                </w:tcPr>
                <w:p w14:paraId="2B052A0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污染物排放管控</w:t>
                  </w:r>
                </w:p>
              </w:tc>
              <w:tc>
                <w:tcPr>
                  <w:tcW w:w="1810" w:type="pct"/>
                  <w:tcBorders>
                    <w:top w:val="single" w:color="auto" w:sz="6" w:space="0"/>
                    <w:left w:val="single" w:color="auto" w:sz="6" w:space="0"/>
                    <w:bottom w:val="single" w:color="auto" w:sz="6" w:space="0"/>
                    <w:right w:val="single" w:color="auto" w:sz="6" w:space="0"/>
                  </w:tcBorders>
                  <w:vAlign w:val="center"/>
                </w:tcPr>
                <w:p w14:paraId="4B0929C9">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1.区内所有钢铁和焦化企业全部实施颗粒物、二氧化硫、氮氧化物超低排放提标改造。</w:t>
                  </w:r>
                </w:p>
                <w:p w14:paraId="24C06C51">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2.完善建设污水收集管网，确保园区内所有生活污水纳入污水处理厂处理并达标排放。</w:t>
                  </w:r>
                </w:p>
              </w:tc>
              <w:tc>
                <w:tcPr>
                  <w:tcW w:w="1072" w:type="pct"/>
                  <w:tcBorders>
                    <w:top w:val="single" w:color="auto" w:sz="6" w:space="0"/>
                    <w:left w:val="single" w:color="auto" w:sz="6" w:space="0"/>
                    <w:bottom w:val="single" w:color="auto" w:sz="6" w:space="0"/>
                    <w:right w:val="single" w:color="auto" w:sz="6" w:space="0"/>
                  </w:tcBorders>
                  <w:vAlign w:val="center"/>
                </w:tcPr>
                <w:p w14:paraId="691FCD7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本项目废气超低排放；生活污水纳入中央污水站处理后回用。</w:t>
                  </w:r>
                </w:p>
              </w:tc>
              <w:tc>
                <w:tcPr>
                  <w:tcW w:w="308" w:type="pct"/>
                  <w:tcBorders>
                    <w:top w:val="single" w:color="auto" w:sz="6" w:space="0"/>
                    <w:left w:val="single" w:color="auto" w:sz="6" w:space="0"/>
                    <w:bottom w:val="single" w:color="auto" w:sz="6" w:space="0"/>
                    <w:right w:val="single" w:color="auto" w:sz="6" w:space="0"/>
                  </w:tcBorders>
                  <w:vAlign w:val="center"/>
                </w:tcPr>
                <w:p w14:paraId="69FC36E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16A19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Merge w:val="continue"/>
                  <w:tcBorders>
                    <w:top w:val="single" w:color="auto" w:sz="6" w:space="0"/>
                    <w:left w:val="single" w:color="auto" w:sz="4" w:space="0"/>
                    <w:bottom w:val="single" w:color="auto" w:sz="6" w:space="0"/>
                    <w:right w:val="single" w:color="auto" w:sz="6" w:space="0"/>
                  </w:tcBorders>
                </w:tcPr>
                <w:p w14:paraId="557F6057">
                  <w:pPr>
                    <w:pStyle w:val="138"/>
                    <w:rPr>
                      <w:rFonts w:cs="Times New Roman"/>
                      <w:color w:val="000000" w:themeColor="text1"/>
                      <w14:textFill>
                        <w14:solidFill>
                          <w14:schemeClr w14:val="tx1"/>
                        </w14:solidFill>
                      </w14:textFill>
                    </w:rPr>
                  </w:pPr>
                </w:p>
              </w:tc>
              <w:tc>
                <w:tcPr>
                  <w:tcW w:w="600" w:type="pct"/>
                  <w:vMerge w:val="continue"/>
                  <w:tcBorders>
                    <w:top w:val="single" w:color="auto" w:sz="6" w:space="0"/>
                    <w:left w:val="single" w:color="auto" w:sz="6" w:space="0"/>
                    <w:bottom w:val="single" w:color="auto" w:sz="6" w:space="0"/>
                    <w:right w:val="single" w:color="auto" w:sz="6" w:space="0"/>
                  </w:tcBorders>
                  <w:vAlign w:val="center"/>
                </w:tcPr>
                <w:p w14:paraId="36981F52">
                  <w:pPr>
                    <w:pStyle w:val="138"/>
                    <w:rPr>
                      <w:rFonts w:cs="Times New Roman"/>
                      <w:color w:val="000000" w:themeColor="text1"/>
                      <w14:textFill>
                        <w14:solidFill>
                          <w14:schemeClr w14:val="tx1"/>
                        </w14:solidFill>
                      </w14:textFill>
                    </w:rPr>
                  </w:pPr>
                </w:p>
              </w:tc>
              <w:tc>
                <w:tcPr>
                  <w:tcW w:w="682" w:type="pct"/>
                  <w:tcBorders>
                    <w:top w:val="single" w:color="auto" w:sz="6" w:space="0"/>
                    <w:left w:val="single" w:color="auto" w:sz="6" w:space="0"/>
                    <w:bottom w:val="single" w:color="auto" w:sz="6" w:space="0"/>
                    <w:right w:val="single" w:color="auto" w:sz="6" w:space="0"/>
                  </w:tcBorders>
                  <w:vAlign w:val="center"/>
                </w:tcPr>
                <w:p w14:paraId="72E77A0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环境风险防控</w:t>
                  </w:r>
                </w:p>
              </w:tc>
              <w:tc>
                <w:tcPr>
                  <w:tcW w:w="1810" w:type="pct"/>
                  <w:tcBorders>
                    <w:top w:val="single" w:color="auto" w:sz="6" w:space="0"/>
                    <w:left w:val="single" w:color="auto" w:sz="6" w:space="0"/>
                    <w:bottom w:val="single" w:color="auto" w:sz="6" w:space="0"/>
                    <w:right w:val="single" w:color="auto" w:sz="6" w:space="0"/>
                  </w:tcBorders>
                  <w:vAlign w:val="center"/>
                </w:tcPr>
                <w:p w14:paraId="06C913D9">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1.建立健全环境风险防控体系，制定环境风险应急预案，建设事故应急池，成立应急组织机构，防止在处理安全生产事故过程中产生的可能严重污染水体的消防废水、废液直接排入水体。</w:t>
                  </w:r>
                </w:p>
                <w:p w14:paraId="3CF8C4E4">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2.应采取有效措施防止园区建设对区域地下水、土壤造成污染。</w:t>
                  </w:r>
                </w:p>
              </w:tc>
              <w:tc>
                <w:tcPr>
                  <w:tcW w:w="1072" w:type="pct"/>
                  <w:tcBorders>
                    <w:top w:val="single" w:color="auto" w:sz="6" w:space="0"/>
                    <w:left w:val="single" w:color="auto" w:sz="6" w:space="0"/>
                    <w:bottom w:val="single" w:color="auto" w:sz="6" w:space="0"/>
                    <w:right w:val="single" w:color="auto" w:sz="6" w:space="0"/>
                  </w:tcBorders>
                  <w:vAlign w:val="center"/>
                </w:tcPr>
                <w:p w14:paraId="459217A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宝钢德盛已建立环境风险防控体系，本项目依托现有事故应急池；本项目设置分区防控措施。</w:t>
                  </w:r>
                </w:p>
              </w:tc>
              <w:tc>
                <w:tcPr>
                  <w:tcW w:w="308" w:type="pct"/>
                  <w:tcBorders>
                    <w:top w:val="single" w:color="auto" w:sz="6" w:space="0"/>
                    <w:left w:val="single" w:color="auto" w:sz="6" w:space="0"/>
                    <w:bottom w:val="single" w:color="auto" w:sz="6" w:space="0"/>
                    <w:right w:val="single" w:color="auto" w:sz="6" w:space="0"/>
                  </w:tcBorders>
                  <w:vAlign w:val="center"/>
                </w:tcPr>
                <w:p w14:paraId="2C1F6A1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72E8C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6" w:type="pct"/>
                  <w:vMerge w:val="continue"/>
                  <w:tcBorders>
                    <w:top w:val="single" w:color="auto" w:sz="6" w:space="0"/>
                    <w:left w:val="single" w:color="auto" w:sz="4" w:space="0"/>
                    <w:bottom w:val="single" w:color="auto" w:sz="6" w:space="0"/>
                    <w:right w:val="single" w:color="auto" w:sz="6" w:space="0"/>
                  </w:tcBorders>
                </w:tcPr>
                <w:p w14:paraId="6AB283FA">
                  <w:pPr>
                    <w:pStyle w:val="138"/>
                    <w:rPr>
                      <w:rFonts w:cs="Times New Roman"/>
                      <w:color w:val="000000" w:themeColor="text1"/>
                      <w14:textFill>
                        <w14:solidFill>
                          <w14:schemeClr w14:val="tx1"/>
                        </w14:solidFill>
                      </w14:textFill>
                    </w:rPr>
                  </w:pPr>
                </w:p>
              </w:tc>
              <w:tc>
                <w:tcPr>
                  <w:tcW w:w="600" w:type="pct"/>
                  <w:vMerge w:val="continue"/>
                  <w:tcBorders>
                    <w:top w:val="single" w:color="auto" w:sz="6" w:space="0"/>
                    <w:left w:val="single" w:color="auto" w:sz="6" w:space="0"/>
                    <w:bottom w:val="single" w:color="auto" w:sz="6" w:space="0"/>
                    <w:right w:val="single" w:color="auto" w:sz="6" w:space="0"/>
                  </w:tcBorders>
                  <w:vAlign w:val="center"/>
                </w:tcPr>
                <w:p w14:paraId="2430C167">
                  <w:pPr>
                    <w:pStyle w:val="138"/>
                    <w:rPr>
                      <w:rFonts w:cs="Times New Roman"/>
                      <w:color w:val="000000" w:themeColor="text1"/>
                      <w14:textFill>
                        <w14:solidFill>
                          <w14:schemeClr w14:val="tx1"/>
                        </w14:solidFill>
                      </w14:textFill>
                    </w:rPr>
                  </w:pPr>
                </w:p>
              </w:tc>
              <w:tc>
                <w:tcPr>
                  <w:tcW w:w="682" w:type="pct"/>
                  <w:tcBorders>
                    <w:top w:val="single" w:color="auto" w:sz="6" w:space="0"/>
                    <w:left w:val="single" w:color="auto" w:sz="6" w:space="0"/>
                    <w:bottom w:val="single" w:color="auto" w:sz="6" w:space="0"/>
                    <w:right w:val="single" w:color="auto" w:sz="6" w:space="0"/>
                  </w:tcBorders>
                  <w:vAlign w:val="center"/>
                </w:tcPr>
                <w:p w14:paraId="08A2401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资源开发效率要求</w:t>
                  </w:r>
                </w:p>
              </w:tc>
              <w:tc>
                <w:tcPr>
                  <w:tcW w:w="1810" w:type="pct"/>
                  <w:tcBorders>
                    <w:top w:val="single" w:color="auto" w:sz="6" w:space="0"/>
                    <w:left w:val="single" w:color="auto" w:sz="6" w:space="0"/>
                    <w:bottom w:val="single" w:color="auto" w:sz="6" w:space="0"/>
                    <w:right w:val="single" w:color="auto" w:sz="6" w:space="0"/>
                  </w:tcBorders>
                  <w:vAlign w:val="center"/>
                </w:tcPr>
                <w:p w14:paraId="6628BF2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w:t>
                  </w:r>
                </w:p>
              </w:tc>
              <w:tc>
                <w:tcPr>
                  <w:tcW w:w="1072" w:type="pct"/>
                  <w:tcBorders>
                    <w:top w:val="single" w:color="auto" w:sz="6" w:space="0"/>
                    <w:left w:val="single" w:color="auto" w:sz="6" w:space="0"/>
                    <w:bottom w:val="single" w:color="auto" w:sz="6" w:space="0"/>
                    <w:right w:val="single" w:color="auto" w:sz="6" w:space="0"/>
                  </w:tcBorders>
                  <w:vAlign w:val="center"/>
                </w:tcPr>
                <w:p w14:paraId="3C9FFEA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308" w:type="pct"/>
                  <w:tcBorders>
                    <w:top w:val="single" w:color="auto" w:sz="6" w:space="0"/>
                    <w:left w:val="single" w:color="auto" w:sz="6" w:space="0"/>
                    <w:bottom w:val="single" w:color="auto" w:sz="6" w:space="0"/>
                    <w:right w:val="single" w:color="auto" w:sz="6" w:space="0"/>
                  </w:tcBorders>
                  <w:vAlign w:val="center"/>
                </w:tcPr>
                <w:p w14:paraId="388354E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740CBEC5">
            <w:pPr>
              <w:pStyle w:val="3"/>
              <w:numPr>
                <w:ilvl w:val="1"/>
                <w:numId w:val="0"/>
              </w:numPr>
              <w:rPr>
                <w:rFonts w:cs="Times New Roman"/>
                <w:color w:val="000000" w:themeColor="text1"/>
                <w14:textFill>
                  <w14:solidFill>
                    <w14:schemeClr w14:val="tx1"/>
                  </w14:solidFill>
                </w14:textFill>
              </w:rPr>
            </w:pPr>
            <w:bookmarkStart w:id="62" w:name="_Toc230448015"/>
            <w:bookmarkStart w:id="63" w:name="_Toc15887"/>
            <w:bookmarkStart w:id="64" w:name="_Toc16698"/>
            <w:r>
              <w:rPr>
                <w:rFonts w:cs="Times New Roman"/>
                <w:bCs w:val="0"/>
                <w:color w:val="000000" w:themeColor="text1"/>
                <w14:textFill>
                  <w14:solidFill>
                    <w14:schemeClr w14:val="tx1"/>
                  </w14:solidFill>
                </w14:textFill>
                <w14:scene3d w14:prst="orthographicFront">
                  <w14:lightRig w14:rig="threePt" w14:dir="t">
                    <w14:rot w14:lat="0" w14:lon="0" w14:rev="0"/>
                  </w14:lightRig>
                </w14:scene3d>
              </w:rPr>
              <w:t>1.8.</w:t>
            </w:r>
            <w:r>
              <w:rPr>
                <w:rFonts w:cs="Times New Roman"/>
                <w:color w:val="000000" w:themeColor="text1"/>
                <w14:textFill>
                  <w14:solidFill>
                    <w14:schemeClr w14:val="tx1"/>
                  </w14:solidFill>
                </w14:textFill>
              </w:rPr>
              <w:t>产业政策符合性分析</w:t>
            </w:r>
            <w:bookmarkEnd w:id="62"/>
            <w:bookmarkEnd w:id="63"/>
            <w:bookmarkEnd w:id="64"/>
          </w:p>
          <w:p w14:paraId="46EEE869">
            <w:pPr>
              <w:ind w:firstLine="492"/>
              <w:rPr>
                <w:rFonts w:cs="Times New Roman"/>
                <w:color w:val="000000" w:themeColor="text1"/>
                <w14:textFill>
                  <w14:solidFill>
                    <w14:schemeClr w14:val="tx1"/>
                  </w14:solidFill>
                </w14:textFill>
              </w:rPr>
            </w:pPr>
            <w:r>
              <w:rPr>
                <w:rFonts w:cs="Times New Roman"/>
                <w:color w:val="000000" w:themeColor="text1"/>
                <w:spacing w:val="3"/>
                <w14:textFill>
                  <w14:solidFill>
                    <w14:schemeClr w14:val="tx1"/>
                  </w14:solidFill>
                </w14:textFill>
              </w:rPr>
              <w:t>本项目属于</w:t>
            </w:r>
            <w:r>
              <w:rPr>
                <w:rFonts w:cs="Times New Roman"/>
                <w:color w:val="000000" w:themeColor="text1"/>
                <w14:textFill>
                  <w14:solidFill>
                    <w14:schemeClr w14:val="tx1"/>
                  </w14:solidFill>
                </w14:textFill>
              </w:rPr>
              <w:t>余气和余热发电的项目</w:t>
            </w:r>
            <w:r>
              <w:rPr>
                <w:rFonts w:cs="Times New Roman"/>
                <w:color w:val="000000" w:themeColor="text1"/>
                <w:spacing w:val="2"/>
                <w14:textFill>
                  <w14:solidFill>
                    <w14:schemeClr w14:val="tx1"/>
                  </w14:solidFill>
                </w14:textFill>
              </w:rPr>
              <w:t>，不涉及炼铁、炼钢以及轧钢工序。通过</w:t>
            </w:r>
            <w:r>
              <w:rPr>
                <w:rFonts w:cs="Times New Roman"/>
                <w:color w:val="000000" w:themeColor="text1"/>
                <w14:textFill>
                  <w14:solidFill>
                    <w14:schemeClr w14:val="tx1"/>
                  </w14:solidFill>
                </w14:textFill>
              </w:rPr>
              <w:t>能源发电工程，将富余的煤气和余热转化成电力从而降低全厂的能源成本</w:t>
            </w:r>
            <w:r>
              <w:rPr>
                <w:rFonts w:cs="Times New Roman"/>
                <w:color w:val="000000" w:themeColor="text1"/>
                <w:kern w:val="72"/>
                <w14:textFill>
                  <w14:solidFill>
                    <w14:schemeClr w14:val="tx1"/>
                  </w14:solidFill>
                </w14:textFill>
              </w:rPr>
              <w:t>。根据</w:t>
            </w:r>
            <w:r>
              <w:rPr>
                <w:rFonts w:cs="Times New Roman"/>
                <w:color w:val="000000" w:themeColor="text1"/>
                <w14:textFill>
                  <w14:solidFill>
                    <w14:schemeClr w14:val="tx1"/>
                  </w14:solidFill>
                </w14:textFill>
              </w:rPr>
              <w:t>《产业结构调整指导目录（2024</w:t>
            </w:r>
            <w:r>
              <w:rPr>
                <w:rFonts w:cs="Times New Roman"/>
                <w:color w:val="000000" w:themeColor="text1"/>
                <w:spacing w:val="2"/>
                <w14:textFill>
                  <w14:solidFill>
                    <w14:schemeClr w14:val="tx1"/>
                  </w14:solidFill>
                </w14:textFill>
              </w:rPr>
              <w:t>年本）》，本项目属于“鼓励类：八、钢铁中‘5.钢铁、焦化、铁合金行业超低排放技术，以及</w:t>
            </w:r>
            <w:r>
              <w:rPr>
                <w:rFonts w:cs="Times New Roman"/>
                <w:b/>
                <w:bCs/>
                <w:color w:val="000000" w:themeColor="text1"/>
                <w:spacing w:val="2"/>
                <w14:textFill>
                  <w14:solidFill>
                    <w14:schemeClr w14:val="tx1"/>
                  </w14:solidFill>
                </w14:textFill>
              </w:rPr>
              <w:t>副产物资源化、再利用化</w:t>
            </w:r>
            <w:r>
              <w:rPr>
                <w:rFonts w:cs="Times New Roman"/>
                <w:color w:val="000000" w:themeColor="text1"/>
                <w:spacing w:val="2"/>
                <w14:textFill>
                  <w14:solidFill>
                    <w14:schemeClr w14:val="tx1"/>
                  </w14:solidFill>
                </w14:textFill>
              </w:rPr>
              <w:t>’”；</w:t>
            </w:r>
            <w:r>
              <w:rPr>
                <w:rStyle w:val="51"/>
                <w:b w:val="0"/>
                <w:bCs w:val="0"/>
                <w:color w:val="000000" w:themeColor="text1"/>
                <w14:textFill>
                  <w14:solidFill>
                    <w14:schemeClr w14:val="tx1"/>
                  </w14:solidFill>
                </w14:textFill>
              </w:rPr>
              <w:t>项目不属于</w:t>
            </w:r>
            <w:r>
              <w:rPr>
                <w:rFonts w:cs="Times New Roman"/>
                <w:color w:val="000000" w:themeColor="text1"/>
                <w:spacing w:val="2"/>
                <w14:textFill>
                  <w14:solidFill>
                    <w14:schemeClr w14:val="tx1"/>
                  </w14:solidFill>
                </w14:textFill>
              </w:rPr>
              <w:t>《市场准入负面清单（2025年版）》中任何禁止准入事项，已取得福建省发展和改革委员会核准批复。</w:t>
            </w:r>
          </w:p>
          <w:p w14:paraId="59DA610F">
            <w:pPr>
              <w:pStyle w:val="3"/>
              <w:numPr>
                <w:ilvl w:val="1"/>
                <w:numId w:val="0"/>
              </w:numPr>
              <w:rPr>
                <w:rFonts w:cs="Times New Roman"/>
                <w:color w:val="000000" w:themeColor="text1"/>
                <w14:textFill>
                  <w14:solidFill>
                    <w14:schemeClr w14:val="tx1"/>
                  </w14:solidFill>
                </w14:textFill>
              </w:rPr>
            </w:pPr>
            <w:bookmarkStart w:id="65" w:name="_Toc19482"/>
            <w:bookmarkStart w:id="66" w:name="_Toc3643"/>
            <w:bookmarkStart w:id="67" w:name="_Toc230448016"/>
            <w:r>
              <w:rPr>
                <w:rFonts w:cs="Times New Roman"/>
                <w:bCs w:val="0"/>
                <w:color w:val="000000" w:themeColor="text1"/>
                <w14:textFill>
                  <w14:solidFill>
                    <w14:schemeClr w14:val="tx1"/>
                  </w14:solidFill>
                </w14:textFill>
                <w14:scene3d w14:prst="orthographicFront">
                  <w14:lightRig w14:rig="threePt" w14:dir="t">
                    <w14:rot w14:lat="0" w14:lon="0" w14:rev="0"/>
                  </w14:lightRig>
                </w14:scene3d>
              </w:rPr>
              <w:t>1.9.</w:t>
            </w:r>
            <w:r>
              <w:rPr>
                <w:rFonts w:cs="Times New Roman"/>
                <w:color w:val="000000" w:themeColor="text1"/>
                <w14:textFill>
                  <w14:solidFill>
                    <w14:schemeClr w14:val="tx1"/>
                  </w14:solidFill>
                </w14:textFill>
              </w:rPr>
              <w:t>与《关于全面推进锅炉污染整治促进清洁低碳转型的意见的函》符合性分析</w:t>
            </w:r>
            <w:bookmarkEnd w:id="65"/>
            <w:bookmarkEnd w:id="66"/>
            <w:bookmarkEnd w:id="67"/>
          </w:p>
          <w:p w14:paraId="2AB92F9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函件中提及“释放集中供热潜力”：依托火电等大型工业企业开展供热示范，加快热力管网建设，扩大集中供热范围，最大程度释放热电联产、</w:t>
            </w:r>
            <w:r>
              <w:rPr>
                <w:rFonts w:cs="Times New Roman"/>
                <w:b/>
                <w:bCs/>
                <w:color w:val="000000" w:themeColor="text1"/>
                <w14:textFill>
                  <w14:solidFill>
                    <w14:schemeClr w14:val="tx1"/>
                  </w14:solidFill>
                </w14:textFill>
              </w:rPr>
              <w:t>工业余热</w:t>
            </w:r>
            <w:r>
              <w:rPr>
                <w:rFonts w:cs="Times New Roman"/>
                <w:color w:val="000000" w:themeColor="text1"/>
                <w14:textFill>
                  <w14:solidFill>
                    <w14:schemeClr w14:val="tx1"/>
                  </w14:solidFill>
                </w14:textFill>
              </w:rPr>
              <w:t>等供热能力......</w:t>
            </w:r>
          </w:p>
          <w:p w14:paraId="6ADAFC7F">
            <w:pPr>
              <w:ind w:firstLine="492"/>
              <w:rPr>
                <w:rFonts w:cs="Times New Roman"/>
                <w:color w:val="000000" w:themeColor="text1"/>
                <w14:textFill>
                  <w14:solidFill>
                    <w14:schemeClr w14:val="tx1"/>
                  </w14:solidFill>
                </w14:textFill>
              </w:rPr>
            </w:pPr>
            <w:r>
              <w:rPr>
                <w:rFonts w:cs="Times New Roman"/>
                <w:color w:val="000000" w:themeColor="text1"/>
                <w:spacing w:val="3"/>
                <w14:textFill>
                  <w14:solidFill>
                    <w14:schemeClr w14:val="tx1"/>
                  </w14:solidFill>
                </w14:textFill>
              </w:rPr>
              <w:t>本项目为利用</w:t>
            </w:r>
            <w:r>
              <w:rPr>
                <w:rFonts w:cs="Times New Roman"/>
                <w:color w:val="000000" w:themeColor="text1"/>
                <w14:textFill>
                  <w14:solidFill>
                    <w14:schemeClr w14:val="tx1"/>
                  </w14:solidFill>
                </w14:textFill>
              </w:rPr>
              <w:t>余气和余热发电的项目，综合利用企业余能，符合《关于全面推进锅炉污染整治促进清洁低碳转型的意见的函》释放企业潜能的意见。</w:t>
            </w:r>
          </w:p>
          <w:p w14:paraId="49FB3ACE">
            <w:pPr>
              <w:ind w:firstLine="480"/>
              <w:rPr>
                <w:rFonts w:cs="Times New Roman"/>
                <w:color w:val="000000" w:themeColor="text1"/>
                <w14:textFill>
                  <w14:solidFill>
                    <w14:schemeClr w14:val="tx1"/>
                  </w14:solidFill>
                </w14:textFill>
              </w:rPr>
            </w:pPr>
          </w:p>
        </w:tc>
      </w:tr>
    </w:tbl>
    <w:p w14:paraId="77E9A4C3">
      <w:pPr>
        <w:ind w:left="420" w:firstLine="0" w:firstLineChars="0"/>
        <w:rPr>
          <w:rFonts w:cs="Times New Roman"/>
          <w:color w:val="000000" w:themeColor="text1"/>
          <w14:textFill>
            <w14:solidFill>
              <w14:schemeClr w14:val="tx1"/>
            </w14:solidFill>
          </w14:textFill>
        </w:rPr>
      </w:pPr>
    </w:p>
    <w:p w14:paraId="3AC774EF">
      <w:pPr>
        <w:ind w:left="420" w:firstLine="0" w:firstLineChars="0"/>
        <w:rPr>
          <w:rFonts w:cs="Times New Roman"/>
          <w:color w:val="000000" w:themeColor="text1"/>
          <w14:textFill>
            <w14:solidFill>
              <w14:schemeClr w14:val="tx1"/>
            </w14:solidFill>
          </w14:textFill>
        </w:rPr>
        <w:sectPr>
          <w:pgSz w:w="11906" w:h="16838"/>
          <w:pgMar w:top="1701" w:right="1531" w:bottom="1701" w:left="1531" w:header="851" w:footer="1077" w:gutter="0"/>
          <w:cols w:space="720" w:num="1"/>
          <w:docGrid w:linePitch="312" w:charSpace="0"/>
        </w:sectPr>
      </w:pPr>
    </w:p>
    <w:p w14:paraId="3194C3CB">
      <w:pPr>
        <w:pStyle w:val="2"/>
        <w:rPr>
          <w:rFonts w:cs="Times New Roman"/>
          <w:color w:val="000000" w:themeColor="text1"/>
          <w14:textFill>
            <w14:solidFill>
              <w14:schemeClr w14:val="tx1"/>
            </w14:solidFill>
          </w14:textFill>
        </w:rPr>
      </w:pPr>
      <w:bookmarkStart w:id="68" w:name="_Toc539080564"/>
      <w:bookmarkStart w:id="69" w:name="_Toc230448017"/>
      <w:r>
        <w:rPr>
          <w:rFonts w:cs="Times New Roman"/>
          <w:color w:val="000000" w:themeColor="text1"/>
          <w14:textFill>
            <w14:solidFill>
              <w14:schemeClr w14:val="tx1"/>
            </w14:solidFill>
          </w14:textFill>
        </w:rPr>
        <w:t>（二）建设项目工程分析</w:t>
      </w:r>
      <w:bookmarkEnd w:id="68"/>
      <w:bookmarkEnd w:id="69"/>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085"/>
      </w:tblGrid>
      <w:tr w14:paraId="5A93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50" w:type="dxa"/>
            <w:vAlign w:val="center"/>
          </w:tcPr>
          <w:p w14:paraId="755FBEA8">
            <w:pPr>
              <w:ind w:firstLine="0" w:firstLineChars="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建</w:t>
            </w:r>
          </w:p>
          <w:p w14:paraId="2FA9FFC1">
            <w:pPr>
              <w:ind w:firstLine="0" w:firstLineChars="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设</w:t>
            </w:r>
          </w:p>
          <w:p w14:paraId="36A727C9">
            <w:pPr>
              <w:ind w:firstLine="0" w:firstLineChars="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内</w:t>
            </w:r>
          </w:p>
          <w:p w14:paraId="2F72D861">
            <w:pPr>
              <w:ind w:firstLine="0" w:firstLineChars="0"/>
              <w:rPr>
                <w:rFonts w:cs="Times New Roman"/>
                <w:color w:val="000000" w:themeColor="text1"/>
                <w14:textFill>
                  <w14:solidFill>
                    <w14:schemeClr w14:val="tx1"/>
                  </w14:solidFill>
                </w14:textFill>
              </w:rPr>
            </w:pPr>
            <w:r>
              <w:rPr>
                <w:rFonts w:cs="Times New Roman"/>
                <w:color w:val="000000" w:themeColor="text1"/>
                <w:szCs w:val="20"/>
                <w14:textFill>
                  <w14:solidFill>
                    <w14:schemeClr w14:val="tx1"/>
                  </w14:solidFill>
                </w14:textFill>
              </w:rPr>
              <w:t>容</w:t>
            </w:r>
          </w:p>
        </w:tc>
        <w:tc>
          <w:tcPr>
            <w:tcW w:w="8085" w:type="dxa"/>
          </w:tcPr>
          <w:p w14:paraId="2F09C539">
            <w:pPr>
              <w:pStyle w:val="3"/>
              <w:rPr>
                <w:rFonts w:cs="Times New Roman"/>
                <w:color w:val="000000" w:themeColor="text1"/>
                <w14:textFill>
                  <w14:solidFill>
                    <w14:schemeClr w14:val="tx1"/>
                  </w14:solidFill>
                </w14:textFill>
              </w:rPr>
            </w:pPr>
            <w:bookmarkStart w:id="70" w:name="_Toc230448018"/>
            <w:r>
              <w:rPr>
                <w:rFonts w:cs="Times New Roman"/>
                <w:color w:val="000000" w:themeColor="text1"/>
                <w14:textFill>
                  <w14:solidFill>
                    <w14:schemeClr w14:val="tx1"/>
                  </w14:solidFill>
                </w14:textFill>
              </w:rPr>
              <w:t>工程概况</w:t>
            </w:r>
            <w:bookmarkEnd w:id="70"/>
          </w:p>
          <w:p w14:paraId="5F5C509C">
            <w:pPr>
              <w:spacing w:before="120" w:after="12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近年来，宝钢德盛因燃气结构优化、两台高炉煤气发电机组用气量下降以及外部用户用量减少等原因，高炉煤气富余量逐年增加，具体情况如下：一是外部用气单位南珊公司需求减少，高炉煤气消耗量减少约3.2万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/h；二是现有煤气发电工程65MW发电机组因汽轮设计存在缺陷，燃气锅炉和发电机组无法达到设计运行工况（不涉及设备改造），高炉煤气消耗量减少约2.5万Nm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/h；三是现有煤气发电工程50MW高炉煤气发电机组调试较好，热效率、补汽量均高于设计值，节约高炉煤气约1.9万Nm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/h；四是通过节能改造、调整燃气结构以及优化转炉煤气回收等方式，产生富余高炉煤气约1.2万Nm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/h、转炉煤气约1.6万Nm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/h。以上合计富余高炉煤气约8.8万Nm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/h、转炉煤气约1.6万Nm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/h，将转炉煤气折算为高炉煤气后，高炉煤气富余量约11.3万Nm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/h。为充分节约能源，拟新建煤气发电工程，将富余的煤气转化成电力，</w:t>
            </w:r>
            <w:r>
              <w:rPr>
                <w:rFonts w:cs="Times New Roman"/>
                <w:color w:val="000000" w:themeColor="text1"/>
                <w:kern w:val="72"/>
                <w14:textFill>
                  <w14:solidFill>
                    <w14:schemeClr w14:val="tx1"/>
                  </w14:solidFill>
                </w14:textFill>
              </w:rPr>
              <w:t>并</w:t>
            </w:r>
            <w:r>
              <w:rPr>
                <w:rFonts w:cs="Times New Roman"/>
                <w:color w:val="000000" w:themeColor="text1"/>
                <w14:textFill>
                  <w14:solidFill>
                    <w14:schemeClr w14:val="tx1"/>
                  </w14:solidFill>
                </w14:textFill>
              </w:rPr>
              <w:t>新建</w:t>
            </w:r>
            <w:r>
              <w:rPr>
                <w:rFonts w:cs="Times New Roman"/>
                <w:color w:val="000000" w:themeColor="text1"/>
                <w:kern w:val="72"/>
                <w14:textFill>
                  <w14:solidFill>
                    <w14:schemeClr w14:val="tx1"/>
                  </w14:solidFill>
                </w14:textFill>
              </w:rPr>
              <w:t>烧结环冷机余热锅炉和</w:t>
            </w:r>
            <w:r>
              <w:rPr>
                <w:rFonts w:cs="Times New Roman"/>
                <w:snapToGrid w:val="0"/>
                <w:color w:val="000000" w:themeColor="text1"/>
                <w14:textFill>
                  <w14:solidFill>
                    <w14:schemeClr w14:val="tx1"/>
                  </w14:solidFill>
                </w14:textFill>
              </w:rPr>
              <w:t>烧结大烟道余热锅炉</w:t>
            </w:r>
            <w:r>
              <w:rPr>
                <w:rFonts w:cs="Times New Roman"/>
                <w:color w:val="000000" w:themeColor="text1"/>
                <w:kern w:val="72"/>
                <w14:textFill>
                  <w14:solidFill>
                    <w14:schemeClr w14:val="tx1"/>
                  </w14:solidFill>
                </w14:textFill>
              </w:rPr>
              <w:t>利用</w:t>
            </w:r>
            <w:r>
              <w:rPr>
                <w:rFonts w:cs="Times New Roman"/>
                <w:color w:val="000000" w:themeColor="text1"/>
                <w14:textFill>
                  <w14:solidFill>
                    <w14:schemeClr w14:val="tx1"/>
                  </w14:solidFill>
                </w14:textFill>
              </w:rPr>
              <w:t>126m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烧结环冷机与大烟道余热、360m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烧结大烟道余热和炼钢工序富余</w:t>
            </w:r>
            <w:r>
              <w:rPr>
                <w:rFonts w:cs="Times New Roman"/>
                <w:color w:val="000000" w:themeColor="text1"/>
                <w:kern w:val="72"/>
                <w14:textFill>
                  <w14:solidFill>
                    <w14:schemeClr w14:val="tx1"/>
                  </w14:solidFill>
                </w14:textFill>
              </w:rPr>
              <w:t>蒸汽发电，</w:t>
            </w:r>
            <w:r>
              <w:rPr>
                <w:rFonts w:cs="Times New Roman"/>
                <w:color w:val="000000" w:themeColor="text1"/>
                <w14:textFill>
                  <w14:solidFill>
                    <w14:schemeClr w14:val="tx1"/>
                  </w14:solidFill>
                </w14:textFill>
              </w:rPr>
              <w:t>以上合计蒸汽流量135.5t/h</w:t>
            </w:r>
            <w:r>
              <w:rPr>
                <w:rFonts w:cs="Times New Roman"/>
                <w:color w:val="000000" w:themeColor="text1"/>
                <w:kern w:val="72"/>
                <w14:textFill>
                  <w14:solidFill>
                    <w14:schemeClr w14:val="tx1"/>
                  </w14:solidFill>
                </w14:textFill>
              </w:rPr>
              <w:t>；本项目采用“并网不上网、电量自发自用”方式</w:t>
            </w:r>
            <w:r>
              <w:rPr>
                <w:rFonts w:cs="Times New Roman"/>
                <w:color w:val="000000" w:themeColor="text1"/>
                <w14:textFill>
                  <w14:solidFill>
                    <w14:schemeClr w14:val="tx1"/>
                  </w14:solidFill>
                </w14:textFill>
              </w:rPr>
              <w:t>降低企业能耗和生产成本。</w:t>
            </w:r>
          </w:p>
          <w:p w14:paraId="579A826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建设项目环境保护管理条例》（国令第682号，2017年修订）、《建设项目环境影响评价分类管理名录（2021年版）》（生态环境部令第16号）等有关法律法规的规定，该项目属于《建设项目环境影响评价分类管理名录（2021年版）》中“四十一、电力、热力生产和供应业87”-“火力发电 4411；热电联产 4412（4411和4412均含掺烧生活垃圾发电、掺烧污泥发电）中单纯利用余气（含煤矿瓦斯）发电”，应编制环境影响报告表，见下表。因此，建设单位委托我司编制该环境影响报告表（委托书见附件1）。我司接受委托后，立即派技术人员踏勘现场，经资料收集与调研后，按照《建设项目环境影响报告表编制技术指南（污染影响类）（试行）》有关要求，编制了该项目环境影响报告表，供建设单位上报生态环境主管部门审批。</w:t>
            </w:r>
          </w:p>
          <w:p w14:paraId="1844EE5B">
            <w:pPr>
              <w:pStyle w:val="353"/>
              <w:rPr>
                <w:rFonts w:cs="Times New Roman"/>
                <w:bCs/>
                <w:color w:val="000000" w:themeColor="text1"/>
                <w:sz w:val="32"/>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w:t>
            </w:r>
            <w:r>
              <w:rPr>
                <w:rFonts w:cs="Times New Roman"/>
                <w:bCs/>
                <w:color w:val="000000" w:themeColor="text1"/>
                <w14:textFill>
                  <w14:solidFill>
                    <w14:schemeClr w14:val="tx1"/>
                  </w14:solidFill>
                </w14:textFill>
              </w:rPr>
              <w:t xml:space="preserve">  建设项目环境影响评价分类管理名录</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2043"/>
              <w:gridCol w:w="2317"/>
              <w:gridCol w:w="2210"/>
              <w:gridCol w:w="797"/>
            </w:tblGrid>
            <w:tr w14:paraId="751D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3" w:type="pct"/>
                  <w:gridSpan w:val="2"/>
                  <w:tcBorders>
                    <w:tl2br w:val="single" w:color="auto" w:sz="4" w:space="0"/>
                  </w:tcBorders>
                  <w:shd w:val="clear" w:color="auto" w:fill="auto"/>
                  <w:vAlign w:val="center"/>
                </w:tcPr>
                <w:p w14:paraId="5D64748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环评类别</w:t>
                  </w:r>
                </w:p>
                <w:p w14:paraId="3EF8E71D">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项目类别</w:t>
                  </w:r>
                </w:p>
              </w:tc>
              <w:tc>
                <w:tcPr>
                  <w:tcW w:w="1474" w:type="pct"/>
                  <w:shd w:val="clear" w:color="auto" w:fill="auto"/>
                  <w:vAlign w:val="center"/>
                </w:tcPr>
                <w:p w14:paraId="5290CA3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报告书</w:t>
                  </w:r>
                </w:p>
              </w:tc>
              <w:tc>
                <w:tcPr>
                  <w:tcW w:w="1406" w:type="pct"/>
                  <w:shd w:val="clear" w:color="auto" w:fill="auto"/>
                  <w:vAlign w:val="center"/>
                </w:tcPr>
                <w:p w14:paraId="1CFBF2B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报告表</w:t>
                  </w:r>
                </w:p>
              </w:tc>
              <w:tc>
                <w:tcPr>
                  <w:tcW w:w="505" w:type="pct"/>
                  <w:shd w:val="clear" w:color="auto" w:fill="auto"/>
                  <w:vAlign w:val="center"/>
                </w:tcPr>
                <w:p w14:paraId="31C9C2F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登记表</w:t>
                  </w:r>
                </w:p>
              </w:tc>
            </w:tr>
            <w:tr w14:paraId="644F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shd w:val="clear" w:color="auto" w:fill="auto"/>
                  <w:vAlign w:val="center"/>
                </w:tcPr>
                <w:p w14:paraId="4F6C4269">
                  <w:pPr>
                    <w:pStyle w:val="138"/>
                    <w:jc w:val="both"/>
                    <w:rPr>
                      <w:rFonts w:cs="Times New Roman"/>
                      <w:color w:val="000000" w:themeColor="text1"/>
                      <w14:textFill>
                        <w14:solidFill>
                          <w14:schemeClr w14:val="tx1"/>
                        </w14:solidFill>
                      </w14:textFill>
                    </w:rPr>
                  </w:pPr>
                  <w:r>
                    <w:rPr>
                      <w:rFonts w:cs="Times New Roman"/>
                      <w:color w:val="000000" w:themeColor="text1"/>
                      <w:sz w:val="24"/>
                      <w14:textFill>
                        <w14:solidFill>
                          <w14:schemeClr w14:val="tx1"/>
                        </w14:solidFill>
                      </w14:textFill>
                    </w:rPr>
                    <w:t>四十一</w:t>
                  </w:r>
                  <w:r>
                    <w:rPr>
                      <w:rFonts w:cs="Times New Roman"/>
                      <w:color w:val="000000" w:themeColor="text1"/>
                      <w14:textFill>
                        <w14:solidFill>
                          <w14:schemeClr w14:val="tx1"/>
                        </w14:solidFill>
                      </w14:textFill>
                    </w:rPr>
                    <w:t>、</w:t>
                  </w:r>
                  <w:r>
                    <w:rPr>
                      <w:rFonts w:cs="Times New Roman"/>
                      <w:color w:val="000000" w:themeColor="text1"/>
                      <w:sz w:val="24"/>
                      <w14:textFill>
                        <w14:solidFill>
                          <w14:schemeClr w14:val="tx1"/>
                        </w14:solidFill>
                      </w14:textFill>
                    </w:rPr>
                    <w:t>电力、热力生产和供应业</w:t>
                  </w:r>
                </w:p>
              </w:tc>
            </w:tr>
            <w:tr w14:paraId="493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shd w:val="clear" w:color="auto" w:fill="auto"/>
                  <w:vAlign w:val="center"/>
                </w:tcPr>
                <w:p w14:paraId="11656A6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87</w:t>
                  </w:r>
                </w:p>
              </w:tc>
              <w:tc>
                <w:tcPr>
                  <w:tcW w:w="1300" w:type="pct"/>
                  <w:shd w:val="clear" w:color="auto" w:fill="auto"/>
                  <w:vAlign w:val="center"/>
                </w:tcPr>
                <w:p w14:paraId="4B75FB4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火力发电 4411；热电联产 4412（4411和4412均含掺烧生活垃圾发电、掺烧污泥发电）：</w:t>
                  </w:r>
                </w:p>
              </w:tc>
              <w:tc>
                <w:tcPr>
                  <w:tcW w:w="1474" w:type="pct"/>
                  <w:shd w:val="clear" w:color="auto" w:fill="auto"/>
                  <w:vAlign w:val="center"/>
                </w:tcPr>
                <w:p w14:paraId="2AF70A3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火力发电和热电联产（发电机组节能改造的除外；燃气发电除外；单纯利用余热、余压、余气（含煤矿瓦斯）发电的除外）</w:t>
                  </w:r>
                </w:p>
              </w:tc>
              <w:tc>
                <w:tcPr>
                  <w:tcW w:w="1406" w:type="pct"/>
                  <w:shd w:val="clear" w:color="auto" w:fill="auto"/>
                  <w:vAlign w:val="center"/>
                </w:tcPr>
                <w:p w14:paraId="733C3FCB">
                  <w:pPr>
                    <w:ind w:firstLine="0" w:firstLineChars="0"/>
                    <w:rPr>
                      <w:rFonts w:cs="Times New Roman"/>
                      <w:color w:val="000000" w:themeColor="text1"/>
                      <w14:textFill>
                        <w14:solidFill>
                          <w14:schemeClr w14:val="tx1"/>
                        </w14:solidFill>
                      </w14:textFill>
                    </w:rPr>
                  </w:pPr>
                  <w:r>
                    <w:rPr>
                      <w:rFonts w:cs="Times New Roman"/>
                      <w:color w:val="000000" w:themeColor="text1"/>
                      <w:sz w:val="21"/>
                      <w14:textFill>
                        <w14:solidFill>
                          <w14:schemeClr w14:val="tx1"/>
                        </w14:solidFill>
                      </w14:textFill>
                    </w:rPr>
                    <w:t>燃气发电；</w:t>
                  </w:r>
                  <w:r>
                    <w:rPr>
                      <w:rFonts w:cs="Times New Roman"/>
                      <w:b/>
                      <w:bCs/>
                      <w:color w:val="000000" w:themeColor="text1"/>
                      <w:sz w:val="21"/>
                      <w14:textFill>
                        <w14:solidFill>
                          <w14:schemeClr w14:val="tx1"/>
                        </w14:solidFill>
                      </w14:textFill>
                    </w:rPr>
                    <w:t>单纯利用余气（含煤矿瓦斯）发电</w:t>
                  </w:r>
                </w:p>
              </w:tc>
              <w:tc>
                <w:tcPr>
                  <w:tcW w:w="505" w:type="pct"/>
                  <w:shd w:val="clear" w:color="auto" w:fill="auto"/>
                  <w:vAlign w:val="center"/>
                </w:tcPr>
                <w:p w14:paraId="143FDE2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3D3EE198">
            <w:pPr>
              <w:pStyle w:val="3"/>
              <w:ind w:left="240"/>
              <w:rPr>
                <w:rFonts w:cs="Times New Roman"/>
                <w:color w:val="000000" w:themeColor="text1"/>
                <w14:textFill>
                  <w14:solidFill>
                    <w14:schemeClr w14:val="tx1"/>
                  </w14:solidFill>
                </w14:textFill>
              </w:rPr>
            </w:pPr>
            <w:bookmarkStart w:id="71" w:name="_Toc230448019"/>
            <w:r>
              <w:rPr>
                <w:rFonts w:cs="Times New Roman"/>
                <w:color w:val="000000" w:themeColor="text1"/>
                <w14:textFill>
                  <w14:solidFill>
                    <w14:schemeClr w14:val="tx1"/>
                  </w14:solidFill>
                </w14:textFill>
              </w:rPr>
              <w:t>基本情况</w:t>
            </w:r>
            <w:bookmarkEnd w:id="71"/>
          </w:p>
          <w:p w14:paraId="7B5D557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工程名称：50MW余气及25MW余热发电项目；</w:t>
            </w:r>
          </w:p>
          <w:p w14:paraId="3F8DAAD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建设单位：宝钢德盛不锈钢有限公司；</w:t>
            </w:r>
          </w:p>
          <w:p w14:paraId="4D40689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工程性质：改扩建；</w:t>
            </w:r>
          </w:p>
          <w:p w14:paraId="07DB71A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工程位置：福建省福州市罗源湾开发区金港工业区宝钢德盛不锈钢有限公司厂区内，位于产能置换项目炼铁车间西北侧空地；</w:t>
            </w:r>
          </w:p>
          <w:p w14:paraId="7BCA7DE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建设规模：本项目拟新建</w:t>
            </w:r>
            <w:r>
              <w:rPr>
                <w:rFonts w:cs="Times New Roman"/>
                <w:snapToGrid w:val="0"/>
                <w:color w:val="000000" w:themeColor="text1"/>
                <w14:textFill>
                  <w14:solidFill>
                    <w14:schemeClr w14:val="tx1"/>
                  </w14:solidFill>
                </w14:textFill>
              </w:rPr>
              <w:t>1台170t/h 超高温超高压煤气锅炉、1座50MW 中间一次再热、补汽、凝汽式汽轮机、1座50MW 煤气发电机，新建1台带冷烧结配套的50t/h余热锅炉、3台126m</w:t>
            </w:r>
            <w:r>
              <w:rPr>
                <w:rFonts w:cs="Times New Roman"/>
                <w:snapToGrid w:val="0"/>
                <w:color w:val="000000" w:themeColor="text1"/>
                <w:vertAlign w:val="superscript"/>
                <w14:textFill>
                  <w14:solidFill>
                    <w14:schemeClr w14:val="tx1"/>
                  </w14:solidFill>
                </w14:textFill>
              </w:rPr>
              <w:t>2</w:t>
            </w:r>
            <w:r>
              <w:rPr>
                <w:rFonts w:cs="Times New Roman"/>
                <w:snapToGrid w:val="0"/>
                <w:color w:val="000000" w:themeColor="text1"/>
                <w14:textFill>
                  <w14:solidFill>
                    <w14:schemeClr w14:val="tx1"/>
                  </w14:solidFill>
                </w14:textFill>
              </w:rPr>
              <w:t>烧结大烟道配套的4t/h余热锅炉和1台360m</w:t>
            </w:r>
            <w:r>
              <w:rPr>
                <w:rFonts w:cs="Times New Roman"/>
                <w:snapToGrid w:val="0"/>
                <w:color w:val="000000" w:themeColor="text1"/>
                <w:vertAlign w:val="superscript"/>
                <w14:textFill>
                  <w14:solidFill>
                    <w14:schemeClr w14:val="tx1"/>
                  </w14:solidFill>
                </w14:textFill>
              </w:rPr>
              <w:t>2</w:t>
            </w:r>
            <w:r>
              <w:rPr>
                <w:rFonts w:cs="Times New Roman"/>
                <w:snapToGrid w:val="0"/>
                <w:color w:val="000000" w:themeColor="text1"/>
                <w14:textFill>
                  <w14:solidFill>
                    <w14:schemeClr w14:val="tx1"/>
                  </w14:solidFill>
                </w14:textFill>
              </w:rPr>
              <w:t>烧结大烟道配套的18t/h余热锅炉、1座25MW余热发电机组，</w:t>
            </w:r>
            <w:r>
              <w:rPr>
                <w:rFonts w:cs="Times New Roman"/>
                <w:color w:val="000000" w:themeColor="text1"/>
                <w14:textFill>
                  <w14:solidFill>
                    <w14:schemeClr w14:val="tx1"/>
                  </w14:solidFill>
                </w14:textFill>
              </w:rPr>
              <w:t>并配套新建化水系统(包括锅炉补给水系统、加药系统、取样系统、检化验设施等)、循环冷却水系统(含循环水泵站、机械通风冷却塔、工业水系统、生活水系统、消防水系统及排水系统)、35kV并网线路及通道、烟气脱硫脱硝除尘系统、加药间、控制系统、供配电系统等辅助设备等。新建煤气管道（混合煤气和焦炉煤气）从厂区德盛九路公共管廊DG45号固定支架取点，沿空压站和炼铁布袋除尘系统之间的道路架空敷设至本项目界区；新建主汽管道和补汽管道从德盛九路西路公共管廊架空敷设至本项目界区。现有煤气发电工程</w:t>
            </w:r>
            <w:r>
              <w:rPr>
                <w:rFonts w:cs="Times New Roman"/>
                <w:snapToGrid w:val="0"/>
                <w:color w:val="000000" w:themeColor="text1"/>
                <w14:textFill>
                  <w14:solidFill>
                    <w14:schemeClr w14:val="tx1"/>
                  </w14:solidFill>
                </w14:textFill>
              </w:rPr>
              <w:t>200t/h 超高温超高压煤气锅炉设施无变化，仅高炉煤气消耗量减少，</w:t>
            </w:r>
            <w:r>
              <w:rPr>
                <w:rFonts w:cs="Times New Roman"/>
                <w:color w:val="000000" w:themeColor="text1"/>
                <w14:textFill>
                  <w14:solidFill>
                    <w14:schemeClr w14:val="tx1"/>
                  </w14:solidFill>
                </w14:textFill>
              </w:rPr>
              <w:t>65MW超高温超高压煤气发电机组出力调减为58MW，机组设备无变化。</w:t>
            </w:r>
          </w:p>
          <w:p w14:paraId="2766DF8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拟建项目总发电量为5.3亿kWh/a，项目总投资30416.5万元，环保投资2438.66万元，约占工程总投资的8.02%。</w:t>
            </w:r>
          </w:p>
        </w:tc>
      </w:tr>
    </w:tbl>
    <w:p w14:paraId="0F3514D8">
      <w:pPr>
        <w:ind w:firstLine="480"/>
        <w:rPr>
          <w:rFonts w:cs="Times New Roman"/>
          <w:color w:val="000000" w:themeColor="text1"/>
          <w14:textFill>
            <w14:solidFill>
              <w14:schemeClr w14:val="tx1"/>
            </w14:solidFill>
          </w14:textFill>
        </w:rPr>
        <w:sectPr>
          <w:type w:val="continuous"/>
          <w:pgSz w:w="11907" w:h="16840"/>
          <w:pgMar w:top="1701" w:right="1531" w:bottom="2127" w:left="1531" w:header="851" w:footer="851" w:gutter="0"/>
          <w:cols w:space="720" w:num="1"/>
          <w:docGrid w:linePitch="312" w:charSpace="0"/>
        </w:sectPr>
      </w:pPr>
    </w:p>
    <w:p w14:paraId="3EA39398">
      <w:pPr>
        <w:ind w:firstLine="480"/>
        <w:rPr>
          <w:rFonts w:cs="Times New Roman"/>
          <w:color w:val="000000" w:themeColor="text1"/>
          <w14:textFill>
            <w14:solidFill>
              <w14:schemeClr w14:val="tx1"/>
            </w14:solidFill>
          </w14:textFill>
        </w:rPr>
        <w:sectPr>
          <w:footerReference r:id="rId14" w:type="default"/>
          <w:type w:val="continuous"/>
          <w:pgSz w:w="11907" w:h="16840"/>
          <w:pgMar w:top="1701" w:right="1531" w:bottom="2127" w:left="1531" w:header="851" w:footer="851" w:gutter="0"/>
          <w:cols w:space="720" w:num="1"/>
          <w:docGrid w:linePitch="312" w:charSpace="0"/>
        </w:sectPr>
      </w:pPr>
    </w:p>
    <w:p w14:paraId="0564CD92">
      <w:pPr>
        <w:ind w:firstLine="480"/>
        <w:rPr>
          <w:rFonts w:cs="Times New Roman"/>
          <w:color w:val="000000" w:themeColor="text1"/>
          <w14:textFill>
            <w14:solidFill>
              <w14:schemeClr w14:val="tx1"/>
            </w14:solidFill>
          </w14:textFill>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2064"/>
      </w:tblGrid>
      <w:tr w14:paraId="14CD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14:paraId="2C917966">
            <w:pPr>
              <w:pStyle w:val="138"/>
              <w:rPr>
                <w:rFonts w:cs="Times New Roman"/>
                <w:color w:val="000000" w:themeColor="text1"/>
                <w:sz w:val="24"/>
                <w:szCs w:val="32"/>
                <w14:textFill>
                  <w14:solidFill>
                    <w14:schemeClr w14:val="tx1"/>
                  </w14:solidFill>
                </w14:textFill>
              </w:rPr>
            </w:pPr>
            <w:r>
              <w:rPr>
                <w:rFonts w:cs="Times New Roman"/>
                <w:color w:val="000000" w:themeColor="text1"/>
                <w:sz w:val="24"/>
                <w:szCs w:val="32"/>
                <w14:textFill>
                  <w14:solidFill>
                    <w14:schemeClr w14:val="tx1"/>
                  </w14:solidFill>
                </w14:textFill>
              </w:rPr>
              <w:t>建</w:t>
            </w:r>
          </w:p>
          <w:p w14:paraId="0827C1A7">
            <w:pPr>
              <w:pStyle w:val="138"/>
              <w:rPr>
                <w:rFonts w:cs="Times New Roman"/>
                <w:color w:val="000000" w:themeColor="text1"/>
                <w:sz w:val="24"/>
                <w:szCs w:val="32"/>
                <w14:textFill>
                  <w14:solidFill>
                    <w14:schemeClr w14:val="tx1"/>
                  </w14:solidFill>
                </w14:textFill>
              </w:rPr>
            </w:pPr>
            <w:r>
              <w:rPr>
                <w:rFonts w:cs="Times New Roman"/>
                <w:color w:val="000000" w:themeColor="text1"/>
                <w:sz w:val="24"/>
                <w:szCs w:val="32"/>
                <w14:textFill>
                  <w14:solidFill>
                    <w14:schemeClr w14:val="tx1"/>
                  </w14:solidFill>
                </w14:textFill>
              </w:rPr>
              <w:t>设</w:t>
            </w:r>
          </w:p>
          <w:p w14:paraId="3468F859">
            <w:pPr>
              <w:pStyle w:val="138"/>
              <w:rPr>
                <w:rFonts w:cs="Times New Roman"/>
                <w:color w:val="000000" w:themeColor="text1"/>
                <w:sz w:val="24"/>
                <w:szCs w:val="32"/>
                <w14:textFill>
                  <w14:solidFill>
                    <w14:schemeClr w14:val="tx1"/>
                  </w14:solidFill>
                </w14:textFill>
              </w:rPr>
            </w:pPr>
            <w:r>
              <w:rPr>
                <w:rFonts w:cs="Times New Roman"/>
                <w:color w:val="000000" w:themeColor="text1"/>
                <w:sz w:val="24"/>
                <w:szCs w:val="32"/>
                <w14:textFill>
                  <w14:solidFill>
                    <w14:schemeClr w14:val="tx1"/>
                  </w14:solidFill>
                </w14:textFill>
              </w:rPr>
              <w:t>内</w:t>
            </w:r>
          </w:p>
          <w:p w14:paraId="3104E7A8">
            <w:pPr>
              <w:pStyle w:val="138"/>
              <w:rPr>
                <w:rFonts w:cs="Times New Roman"/>
                <w:color w:val="000000" w:themeColor="text1"/>
                <w14:textFill>
                  <w14:solidFill>
                    <w14:schemeClr w14:val="tx1"/>
                  </w14:solidFill>
                </w14:textFill>
              </w:rPr>
            </w:pPr>
            <w:r>
              <w:rPr>
                <w:rFonts w:cs="Times New Roman"/>
                <w:color w:val="000000" w:themeColor="text1"/>
                <w:sz w:val="24"/>
                <w:szCs w:val="32"/>
                <w14:textFill>
                  <w14:solidFill>
                    <w14:schemeClr w14:val="tx1"/>
                  </w14:solidFill>
                </w14:textFill>
              </w:rPr>
              <w:t>容</w:t>
            </w:r>
          </w:p>
        </w:tc>
        <w:tc>
          <w:tcPr>
            <w:tcW w:w="12064" w:type="dxa"/>
          </w:tcPr>
          <w:p w14:paraId="65B6A0CD">
            <w:pPr>
              <w:pStyle w:val="3"/>
              <w:rPr>
                <w:rFonts w:cs="Times New Roman"/>
                <w:color w:val="000000" w:themeColor="text1"/>
                <w14:textFill>
                  <w14:solidFill>
                    <w14:schemeClr w14:val="tx1"/>
                  </w14:solidFill>
                </w14:textFill>
              </w:rPr>
            </w:pPr>
            <w:bookmarkStart w:id="72" w:name="_Toc230448020"/>
            <w:r>
              <w:rPr>
                <w:rFonts w:cs="Times New Roman"/>
                <w:color w:val="000000" w:themeColor="text1"/>
                <w14:textFill>
                  <w14:solidFill>
                    <w14:schemeClr w14:val="tx1"/>
                  </w14:solidFill>
                </w14:textFill>
              </w:rPr>
              <w:t>建设项目组成</w:t>
            </w:r>
            <w:bookmarkEnd w:id="72"/>
          </w:p>
          <w:p w14:paraId="7B6BB948">
            <w:pPr>
              <w:spacing w:before="120" w:after="12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建设项目组成见下表。</w:t>
            </w:r>
          </w:p>
          <w:p w14:paraId="3A954ECF">
            <w:pPr>
              <w:pStyle w:val="97"/>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2.3</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建设项目组成一览表</w:t>
            </w: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6"/>
              <w:gridCol w:w="1094"/>
              <w:gridCol w:w="739"/>
              <w:gridCol w:w="2145"/>
              <w:gridCol w:w="5377"/>
              <w:gridCol w:w="1205"/>
            </w:tblGrid>
            <w:tr w14:paraId="1F17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blHeader/>
                <w:jc w:val="center"/>
              </w:trPr>
              <w:tc>
                <w:tcPr>
                  <w:tcW w:w="539" w:type="pct"/>
                  <w:vMerge w:val="restart"/>
                  <w:vAlign w:val="center"/>
                </w:tcPr>
                <w:p w14:paraId="26209965">
                  <w:pPr>
                    <w:pStyle w:val="90"/>
                    <w:rPr>
                      <w:color w:val="000000" w:themeColor="text1"/>
                      <w14:textFill>
                        <w14:solidFill>
                          <w14:schemeClr w14:val="tx1"/>
                        </w14:solidFill>
                      </w14:textFill>
                    </w:rPr>
                  </w:pPr>
                  <w:r>
                    <w:rPr>
                      <w:color w:val="000000" w:themeColor="text1"/>
                      <w14:textFill>
                        <w14:solidFill>
                          <w14:schemeClr w14:val="tx1"/>
                        </w14:solidFill>
                      </w14:textFill>
                    </w:rPr>
                    <w:t>项目组成</w:t>
                  </w:r>
                </w:p>
              </w:tc>
              <w:tc>
                <w:tcPr>
                  <w:tcW w:w="1680" w:type="pct"/>
                  <w:gridSpan w:val="3"/>
                  <w:vAlign w:val="center"/>
                </w:tcPr>
                <w:p w14:paraId="3712845B">
                  <w:pPr>
                    <w:pStyle w:val="90"/>
                    <w:rPr>
                      <w:color w:val="000000" w:themeColor="text1"/>
                      <w14:textFill>
                        <w14:solidFill>
                          <w14:schemeClr w14:val="tx1"/>
                        </w14:solidFill>
                      </w14:textFill>
                    </w:rPr>
                  </w:pPr>
                  <w:r>
                    <w:rPr>
                      <w:color w:val="000000" w:themeColor="text1"/>
                      <w14:textFill>
                        <w14:solidFill>
                          <w14:schemeClr w14:val="tx1"/>
                        </w14:solidFill>
                      </w14:textFill>
                    </w:rPr>
                    <w:t>拟建项目</w:t>
                  </w:r>
                </w:p>
              </w:tc>
              <w:tc>
                <w:tcPr>
                  <w:tcW w:w="2271" w:type="pct"/>
                  <w:vAlign w:val="center"/>
                </w:tcPr>
                <w:p w14:paraId="13906406">
                  <w:pPr>
                    <w:pStyle w:val="90"/>
                    <w:rPr>
                      <w:color w:val="000000" w:themeColor="text1"/>
                      <w14:textFill>
                        <w14:solidFill>
                          <w14:schemeClr w14:val="tx1"/>
                        </w14:solidFill>
                      </w14:textFill>
                    </w:rPr>
                  </w:pPr>
                  <w:r>
                    <w:rPr>
                      <w:color w:val="000000" w:themeColor="text1"/>
                      <w14:textFill>
                        <w14:solidFill>
                          <w14:schemeClr w14:val="tx1"/>
                        </w14:solidFill>
                      </w14:textFill>
                    </w:rPr>
                    <w:t>现有工程</w:t>
                  </w:r>
                </w:p>
              </w:tc>
              <w:tc>
                <w:tcPr>
                  <w:tcW w:w="509" w:type="pct"/>
                  <w:vMerge w:val="restart"/>
                  <w:vAlign w:val="center"/>
                </w:tcPr>
                <w:p w14:paraId="346E7D7F">
                  <w:pPr>
                    <w:pStyle w:val="90"/>
                    <w:rPr>
                      <w:color w:val="000000" w:themeColor="text1"/>
                      <w14:textFill>
                        <w14:solidFill>
                          <w14:schemeClr w14:val="tx1"/>
                        </w14:solidFill>
                      </w14:textFill>
                    </w:rPr>
                  </w:pPr>
                  <w:r>
                    <w:rPr>
                      <w:color w:val="000000" w:themeColor="text1"/>
                      <w14:textFill>
                        <w14:solidFill>
                          <w14:schemeClr w14:val="tx1"/>
                        </w14:solidFill>
                      </w14:textFill>
                    </w:rPr>
                    <w:t>依托关系</w:t>
                  </w:r>
                </w:p>
              </w:tc>
            </w:tr>
            <w:tr w14:paraId="199F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blHeader/>
                <w:jc w:val="center"/>
              </w:trPr>
              <w:tc>
                <w:tcPr>
                  <w:tcW w:w="539" w:type="pct"/>
                  <w:vMerge w:val="continue"/>
                  <w:vAlign w:val="center"/>
                </w:tcPr>
                <w:p w14:paraId="2E9A2B7F">
                  <w:pPr>
                    <w:pStyle w:val="90"/>
                    <w:rPr>
                      <w:color w:val="000000" w:themeColor="text1"/>
                      <w14:textFill>
                        <w14:solidFill>
                          <w14:schemeClr w14:val="tx1"/>
                        </w14:solidFill>
                      </w14:textFill>
                    </w:rPr>
                  </w:pPr>
                </w:p>
              </w:tc>
              <w:tc>
                <w:tcPr>
                  <w:tcW w:w="462" w:type="pct"/>
                  <w:vAlign w:val="center"/>
                </w:tcPr>
                <w:p w14:paraId="198D0EA2">
                  <w:pPr>
                    <w:pStyle w:val="90"/>
                    <w:rPr>
                      <w:color w:val="000000" w:themeColor="text1"/>
                      <w14:textFill>
                        <w14:solidFill>
                          <w14:schemeClr w14:val="tx1"/>
                        </w14:solidFill>
                      </w14:textFill>
                    </w:rPr>
                  </w:pPr>
                  <w:r>
                    <w:rPr>
                      <w:color w:val="000000" w:themeColor="text1"/>
                      <w14:textFill>
                        <w14:solidFill>
                          <w14:schemeClr w14:val="tx1"/>
                        </w14:solidFill>
                      </w14:textFill>
                    </w:rPr>
                    <w:t>建设内容</w:t>
                  </w:r>
                </w:p>
              </w:tc>
              <w:tc>
                <w:tcPr>
                  <w:tcW w:w="1218" w:type="pct"/>
                  <w:gridSpan w:val="2"/>
                  <w:vAlign w:val="center"/>
                </w:tcPr>
                <w:p w14:paraId="7DB731AE">
                  <w:pPr>
                    <w:pStyle w:val="90"/>
                    <w:rPr>
                      <w:color w:val="000000" w:themeColor="text1"/>
                      <w14:textFill>
                        <w14:solidFill>
                          <w14:schemeClr w14:val="tx1"/>
                        </w14:solidFill>
                      </w14:textFill>
                    </w:rPr>
                  </w:pPr>
                  <w:r>
                    <w:rPr>
                      <w:color w:val="000000" w:themeColor="text1"/>
                      <w14:textFill>
                        <w14:solidFill>
                          <w14:schemeClr w14:val="tx1"/>
                        </w14:solidFill>
                      </w14:textFill>
                    </w:rPr>
                    <w:t>建设规模</w:t>
                  </w:r>
                </w:p>
              </w:tc>
              <w:tc>
                <w:tcPr>
                  <w:tcW w:w="2271" w:type="pct"/>
                  <w:vAlign w:val="center"/>
                </w:tcPr>
                <w:p w14:paraId="55F89DB4">
                  <w:pPr>
                    <w:pStyle w:val="90"/>
                    <w:rPr>
                      <w:color w:val="000000" w:themeColor="text1"/>
                      <w14:textFill>
                        <w14:solidFill>
                          <w14:schemeClr w14:val="tx1"/>
                        </w14:solidFill>
                      </w14:textFill>
                    </w:rPr>
                  </w:pPr>
                  <w:r>
                    <w:rPr>
                      <w:color w:val="000000" w:themeColor="text1"/>
                      <w14:textFill>
                        <w14:solidFill>
                          <w14:schemeClr w14:val="tx1"/>
                        </w14:solidFill>
                      </w14:textFill>
                    </w:rPr>
                    <w:t>建设内容</w:t>
                  </w:r>
                </w:p>
              </w:tc>
              <w:tc>
                <w:tcPr>
                  <w:tcW w:w="509" w:type="pct"/>
                  <w:vMerge w:val="continue"/>
                  <w:vAlign w:val="center"/>
                </w:tcPr>
                <w:p w14:paraId="7A2C7E33">
                  <w:pPr>
                    <w:pStyle w:val="90"/>
                    <w:rPr>
                      <w:color w:val="000000" w:themeColor="text1"/>
                      <w14:textFill>
                        <w14:solidFill>
                          <w14:schemeClr w14:val="tx1"/>
                        </w14:solidFill>
                      </w14:textFill>
                    </w:rPr>
                  </w:pPr>
                </w:p>
              </w:tc>
            </w:tr>
            <w:tr w14:paraId="74CA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8" w:hRule="atLeast"/>
                <w:jc w:val="center"/>
              </w:trPr>
              <w:tc>
                <w:tcPr>
                  <w:tcW w:w="539" w:type="pct"/>
                  <w:vMerge w:val="restart"/>
                  <w:vAlign w:val="center"/>
                </w:tcPr>
                <w:p w14:paraId="0962A616">
                  <w:pPr>
                    <w:pStyle w:val="90"/>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462" w:type="pct"/>
                  <w:vMerge w:val="restart"/>
                  <w:vAlign w:val="center"/>
                </w:tcPr>
                <w:p w14:paraId="7680B38A">
                  <w:pPr>
                    <w:pStyle w:val="90"/>
                    <w:rPr>
                      <w:color w:val="000000" w:themeColor="text1"/>
                      <w14:textFill>
                        <w14:solidFill>
                          <w14:schemeClr w14:val="tx1"/>
                        </w14:solidFill>
                      </w14:textFill>
                    </w:rPr>
                  </w:pPr>
                  <w:r>
                    <w:rPr>
                      <w:color w:val="000000" w:themeColor="text1"/>
                      <w14:textFill>
                        <w14:solidFill>
                          <w14:schemeClr w14:val="tx1"/>
                        </w14:solidFill>
                      </w14:textFill>
                    </w:rPr>
                    <w:t>煤气发电工程</w:t>
                  </w:r>
                </w:p>
              </w:tc>
              <w:tc>
                <w:tcPr>
                  <w:tcW w:w="312" w:type="pct"/>
                  <w:vAlign w:val="center"/>
                </w:tcPr>
                <w:p w14:paraId="31B65124">
                  <w:pPr>
                    <w:pStyle w:val="90"/>
                    <w:rPr>
                      <w:color w:val="000000" w:themeColor="text1"/>
                      <w14:textFill>
                        <w14:solidFill>
                          <w14:schemeClr w14:val="tx1"/>
                        </w14:solidFill>
                      </w14:textFill>
                    </w:rPr>
                  </w:pPr>
                  <w:r>
                    <w:rPr>
                      <w:color w:val="000000" w:themeColor="text1"/>
                      <w14:textFill>
                        <w14:solidFill>
                          <w14:schemeClr w14:val="tx1"/>
                        </w14:solidFill>
                      </w14:textFill>
                    </w:rPr>
                    <w:t>锅炉</w:t>
                  </w:r>
                </w:p>
              </w:tc>
              <w:tc>
                <w:tcPr>
                  <w:tcW w:w="906" w:type="pct"/>
                  <w:vAlign w:val="center"/>
                </w:tcPr>
                <w:p w14:paraId="332123D3">
                  <w:pPr>
                    <w:pStyle w:val="90"/>
                    <w:rPr>
                      <w:color w:val="000000" w:themeColor="text1"/>
                      <w14:textFill>
                        <w14:solidFill>
                          <w14:schemeClr w14:val="tx1"/>
                        </w14:solidFill>
                      </w14:textFill>
                    </w:rPr>
                  </w:pPr>
                  <w:r>
                    <w:rPr>
                      <w:color w:val="000000" w:themeColor="text1"/>
                      <w14:textFill>
                        <w14:solidFill>
                          <w14:schemeClr w14:val="tx1"/>
                        </w14:solidFill>
                      </w14:textFill>
                    </w:rPr>
                    <w:t>1台170t/h超高温超高压燃气锅炉</w:t>
                  </w:r>
                </w:p>
              </w:tc>
              <w:tc>
                <w:tcPr>
                  <w:tcW w:w="2271" w:type="pct"/>
                  <w:vMerge w:val="restart"/>
                  <w:vAlign w:val="center"/>
                </w:tcPr>
                <w:p w14:paraId="6DB63AF7">
                  <w:pPr>
                    <w:pStyle w:val="138"/>
                    <w:jc w:val="left"/>
                    <w:rPr>
                      <w:rFonts w:cs="Times New Roman"/>
                      <w:color w:val="000000" w:themeColor="text1"/>
                      <w14:textFill>
                        <w14:solidFill>
                          <w14:schemeClr w14:val="tx1"/>
                        </w14:solidFill>
                      </w14:textFill>
                    </w:rPr>
                  </w:pPr>
                  <w:r>
                    <w:rPr>
                      <w:rFonts w:cs="Times New Roman"/>
                      <w:color w:val="000000" w:themeColor="text1"/>
                      <w:lang w:eastAsia="ja-JP"/>
                      <w14:textFill>
                        <w14:solidFill>
                          <w14:schemeClr w14:val="tx1"/>
                        </w14:solidFill>
                      </w14:textFill>
                    </w:rPr>
                    <w:t>①</w:t>
                  </w:r>
                  <w:r>
                    <w:rPr>
                      <w:rFonts w:cs="Times New Roman"/>
                      <w:color w:val="000000" w:themeColor="text1"/>
                      <w14:textFill>
                        <w14:solidFill>
                          <w14:schemeClr w14:val="tx1"/>
                        </w14:solidFill>
                      </w14:textFill>
                    </w:rPr>
                    <w:t>镍5合金生产线：3座126m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烧结机，3座600m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高炉、1座80t脱硅站、2×110t AOD炉、2座脱硅站、3×45t合金熔化炉、2×80t LF炉、2×600t混铁炉；1×110t AOD炉、1×120t AOD炉、1×120t预处理炉、3×90t合金熔化炉、2×120t LF炉、1×120t VOD炉。</w:t>
                  </w:r>
                </w:p>
                <w:p w14:paraId="154350BF">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②产能置换生产线：1台360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烧结机、1座2500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的高炉、1座KR铁水脱硫装置、1座150t转炉、1座150 t脱磷预处理炉、3座90t合金熔化炉、2座120t AOD炉、1座120 t和1座150t LF炉(双工位)、2座120t VOD(单工位)和1座150t RH炉(单工位)、3台1600mm不锈钢连铸机。</w:t>
                  </w:r>
                </w:p>
                <w:p w14:paraId="4D8CE67D">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③1150mm、固溶生产线：2座加热炉、1套精轧机组、1套粗轧机组以及2台卷取机；4座卧式连续退火炉，4座抛丸机、4套酸洗设备。</w:t>
                  </w:r>
                </w:p>
                <w:p w14:paraId="786F012B">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④冷轧生产线：4台十八辊冷连轧机、1座连续退火炉、1套连续酸洗机组和3台平整机、4台开卷机</w:t>
                  </w:r>
                </w:p>
                <w:p w14:paraId="3922F83A">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⑤黑卷轧制退火酸洗生产线：2台开卷机、1台破鳞机、5台抛丸机、1座退火炉和1套连续酸洗机组。</w:t>
                  </w:r>
                </w:p>
                <w:p w14:paraId="4C4463E8">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⑥1780mm热轧生产线：3座板坯加热炉、1架粗轧机+7架精轧机。</w:t>
                  </w:r>
                </w:p>
                <w:p w14:paraId="345743E6">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⑦1600mm酸洗生产线：1座退火炉、30座罩式炉、破鳞机及抛丸机、硫酸酸洗工段、混酸酸洗工段。</w:t>
                  </w:r>
                </w:p>
                <w:p w14:paraId="62C905DC">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⑧能源综合利用项目：1台200t/h燃气锅炉，1座65MW煤气发电机组、1台18 MW余压回收透平（TRT）发电装置、1套1.9MW低压蒸汽回收利用发电机组。</w:t>
                  </w:r>
                </w:p>
                <w:p w14:paraId="17558F95">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⑨高炉煤气发电项目：1台170t/h燃气锅炉，1座50MW煤气发电机组。</w:t>
                  </w:r>
                </w:p>
              </w:tc>
              <w:tc>
                <w:tcPr>
                  <w:tcW w:w="509" w:type="pct"/>
                  <w:vMerge w:val="restart"/>
                  <w:vAlign w:val="center"/>
                </w:tcPr>
                <w:p w14:paraId="7A886326">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①拟建项目利用厂内富余高炉煤气、转炉煤气和余热；</w:t>
                  </w:r>
                </w:p>
                <w:p w14:paraId="041F14A7">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②现有能源综合利用项目</w:t>
                  </w:r>
                  <w:r>
                    <w:rPr>
                      <w:snapToGrid w:val="0"/>
                      <w:color w:val="000000" w:themeColor="text1"/>
                      <w14:textFill>
                        <w14:solidFill>
                          <w14:schemeClr w14:val="tx1"/>
                        </w14:solidFill>
                      </w14:textFill>
                    </w:rPr>
                    <w:t>200t/h 超高温超高压煤气锅炉设施无变化，仅高炉煤气消耗量减少，富余煤气供给拟建项目使用，</w:t>
                  </w:r>
                  <w:r>
                    <w:rPr>
                      <w:color w:val="000000" w:themeColor="text1"/>
                      <w14:textFill>
                        <w14:solidFill>
                          <w14:schemeClr w14:val="tx1"/>
                        </w14:solidFill>
                      </w14:textFill>
                    </w:rPr>
                    <w:t>65MW超高温超高压煤气发电机组出力调减为58MW，机组设备无变化。</w:t>
                  </w:r>
                </w:p>
                <w:p w14:paraId="6C9C3625">
                  <w:pPr>
                    <w:pStyle w:val="90"/>
                    <w:jc w:val="left"/>
                    <w:rPr>
                      <w:color w:val="000000" w:themeColor="text1"/>
                      <w14:textFill>
                        <w14:solidFill>
                          <w14:schemeClr w14:val="tx1"/>
                        </w14:solidFill>
                      </w14:textFill>
                    </w:rPr>
                  </w:pPr>
                </w:p>
              </w:tc>
            </w:tr>
            <w:tr w14:paraId="5B11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1" w:hRule="atLeast"/>
                <w:jc w:val="center"/>
              </w:trPr>
              <w:tc>
                <w:tcPr>
                  <w:tcW w:w="539" w:type="pct"/>
                  <w:vMerge w:val="continue"/>
                  <w:vAlign w:val="center"/>
                </w:tcPr>
                <w:p w14:paraId="6CEEE68C">
                  <w:pPr>
                    <w:pStyle w:val="90"/>
                    <w:rPr>
                      <w:color w:val="000000" w:themeColor="text1"/>
                      <w14:textFill>
                        <w14:solidFill>
                          <w14:schemeClr w14:val="tx1"/>
                        </w14:solidFill>
                      </w14:textFill>
                    </w:rPr>
                  </w:pPr>
                </w:p>
              </w:tc>
              <w:tc>
                <w:tcPr>
                  <w:tcW w:w="462" w:type="pct"/>
                  <w:vMerge w:val="continue"/>
                  <w:vAlign w:val="center"/>
                </w:tcPr>
                <w:p w14:paraId="4ADFA6E9">
                  <w:pPr>
                    <w:pStyle w:val="90"/>
                    <w:rPr>
                      <w:color w:val="000000" w:themeColor="text1"/>
                      <w14:textFill>
                        <w14:solidFill>
                          <w14:schemeClr w14:val="tx1"/>
                        </w14:solidFill>
                      </w14:textFill>
                    </w:rPr>
                  </w:pPr>
                </w:p>
              </w:tc>
              <w:tc>
                <w:tcPr>
                  <w:tcW w:w="312" w:type="pct"/>
                  <w:vAlign w:val="center"/>
                </w:tcPr>
                <w:p w14:paraId="5CEA3992">
                  <w:pPr>
                    <w:pStyle w:val="90"/>
                    <w:rPr>
                      <w:color w:val="000000" w:themeColor="text1"/>
                      <w14:textFill>
                        <w14:solidFill>
                          <w14:schemeClr w14:val="tx1"/>
                        </w14:solidFill>
                      </w14:textFill>
                    </w:rPr>
                  </w:pPr>
                  <w:r>
                    <w:rPr>
                      <w:color w:val="000000" w:themeColor="text1"/>
                      <w14:textFill>
                        <w14:solidFill>
                          <w14:schemeClr w14:val="tx1"/>
                        </w14:solidFill>
                      </w14:textFill>
                    </w:rPr>
                    <w:t>发电机</w:t>
                  </w:r>
                </w:p>
              </w:tc>
              <w:tc>
                <w:tcPr>
                  <w:tcW w:w="906" w:type="pct"/>
                  <w:vAlign w:val="center"/>
                </w:tcPr>
                <w:p w14:paraId="0A9D3688">
                  <w:pPr>
                    <w:pStyle w:val="90"/>
                    <w:rPr>
                      <w:color w:val="000000" w:themeColor="text1"/>
                      <w14:textFill>
                        <w14:solidFill>
                          <w14:schemeClr w14:val="tx1"/>
                        </w14:solidFill>
                      </w14:textFill>
                    </w:rPr>
                  </w:pPr>
                  <w:r>
                    <w:rPr>
                      <w:color w:val="000000" w:themeColor="text1"/>
                      <w14:textFill>
                        <w14:solidFill>
                          <w14:schemeClr w14:val="tx1"/>
                        </w14:solidFill>
                      </w14:textFill>
                    </w:rPr>
                    <w:t>1座50MW超高温超高压煤气发电机组</w:t>
                  </w:r>
                </w:p>
              </w:tc>
              <w:tc>
                <w:tcPr>
                  <w:tcW w:w="2271" w:type="pct"/>
                  <w:vMerge w:val="continue"/>
                  <w:vAlign w:val="center"/>
                </w:tcPr>
                <w:p w14:paraId="66233B16">
                  <w:pPr>
                    <w:pStyle w:val="90"/>
                    <w:rPr>
                      <w:color w:val="000000" w:themeColor="text1"/>
                      <w14:textFill>
                        <w14:solidFill>
                          <w14:schemeClr w14:val="tx1"/>
                        </w14:solidFill>
                      </w14:textFill>
                    </w:rPr>
                  </w:pPr>
                </w:p>
              </w:tc>
              <w:tc>
                <w:tcPr>
                  <w:tcW w:w="509" w:type="pct"/>
                  <w:vMerge w:val="continue"/>
                  <w:vAlign w:val="center"/>
                </w:tcPr>
                <w:p w14:paraId="5A004FB2">
                  <w:pPr>
                    <w:pStyle w:val="90"/>
                    <w:rPr>
                      <w:color w:val="000000" w:themeColor="text1"/>
                      <w14:textFill>
                        <w14:solidFill>
                          <w14:schemeClr w14:val="tx1"/>
                        </w14:solidFill>
                      </w14:textFill>
                    </w:rPr>
                  </w:pPr>
                </w:p>
              </w:tc>
            </w:tr>
            <w:tr w14:paraId="6358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4" w:hRule="atLeast"/>
                <w:jc w:val="center"/>
              </w:trPr>
              <w:tc>
                <w:tcPr>
                  <w:tcW w:w="539" w:type="pct"/>
                  <w:vMerge w:val="continue"/>
                  <w:vAlign w:val="center"/>
                </w:tcPr>
                <w:p w14:paraId="149F194C">
                  <w:pPr>
                    <w:pStyle w:val="90"/>
                    <w:rPr>
                      <w:color w:val="000000" w:themeColor="text1"/>
                      <w14:textFill>
                        <w14:solidFill>
                          <w14:schemeClr w14:val="tx1"/>
                        </w14:solidFill>
                      </w14:textFill>
                    </w:rPr>
                  </w:pPr>
                </w:p>
              </w:tc>
              <w:tc>
                <w:tcPr>
                  <w:tcW w:w="462" w:type="pct"/>
                  <w:vMerge w:val="restart"/>
                  <w:vAlign w:val="center"/>
                </w:tcPr>
                <w:p w14:paraId="0FC6BF86">
                  <w:pPr>
                    <w:pStyle w:val="90"/>
                    <w:rPr>
                      <w:color w:val="000000" w:themeColor="text1"/>
                      <w14:textFill>
                        <w14:solidFill>
                          <w14:schemeClr w14:val="tx1"/>
                        </w14:solidFill>
                      </w14:textFill>
                    </w:rPr>
                  </w:pPr>
                  <w:r>
                    <w:rPr>
                      <w:color w:val="000000" w:themeColor="text1"/>
                      <w14:textFill>
                        <w14:solidFill>
                          <w14:schemeClr w14:val="tx1"/>
                        </w14:solidFill>
                      </w14:textFill>
                    </w:rPr>
                    <w:t>余热发电工程</w:t>
                  </w:r>
                </w:p>
              </w:tc>
              <w:tc>
                <w:tcPr>
                  <w:tcW w:w="312" w:type="pct"/>
                  <w:vAlign w:val="center"/>
                </w:tcPr>
                <w:p w14:paraId="1CFF22E3">
                  <w:pPr>
                    <w:pStyle w:val="90"/>
                    <w:rPr>
                      <w:color w:val="000000" w:themeColor="text1"/>
                      <w14:textFill>
                        <w14:solidFill>
                          <w14:schemeClr w14:val="tx1"/>
                        </w14:solidFill>
                      </w14:textFill>
                    </w:rPr>
                  </w:pPr>
                  <w:r>
                    <w:rPr>
                      <w:color w:val="000000" w:themeColor="text1"/>
                      <w14:textFill>
                        <w14:solidFill>
                          <w14:schemeClr w14:val="tx1"/>
                        </w14:solidFill>
                      </w14:textFill>
                    </w:rPr>
                    <w:t>锅炉</w:t>
                  </w:r>
                </w:p>
              </w:tc>
              <w:tc>
                <w:tcPr>
                  <w:tcW w:w="906" w:type="pct"/>
                  <w:vAlign w:val="center"/>
                </w:tcPr>
                <w:p w14:paraId="37C6E184">
                  <w:pPr>
                    <w:pStyle w:val="90"/>
                    <w:rPr>
                      <w:color w:val="000000" w:themeColor="text1"/>
                      <w14:textFill>
                        <w14:solidFill>
                          <w14:schemeClr w14:val="tx1"/>
                        </w14:solidFill>
                      </w14:textFill>
                    </w:rPr>
                  </w:pPr>
                  <w:r>
                    <w:rPr>
                      <w:color w:val="000000" w:themeColor="text1"/>
                      <w14:textFill>
                        <w14:solidFill>
                          <w14:schemeClr w14:val="tx1"/>
                        </w14:solidFill>
                      </w14:textFill>
                    </w:rPr>
                    <w:t>1台50t/h双压带冷机余热锅炉、3台4t/h大烟道余热锅炉、1台18t/h大烟道余热锅炉</w:t>
                  </w:r>
                </w:p>
              </w:tc>
              <w:tc>
                <w:tcPr>
                  <w:tcW w:w="2271" w:type="pct"/>
                  <w:vMerge w:val="continue"/>
                  <w:vAlign w:val="center"/>
                </w:tcPr>
                <w:p w14:paraId="0DDD8752">
                  <w:pPr>
                    <w:pStyle w:val="90"/>
                    <w:rPr>
                      <w:color w:val="000000" w:themeColor="text1"/>
                      <w14:textFill>
                        <w14:solidFill>
                          <w14:schemeClr w14:val="tx1"/>
                        </w14:solidFill>
                      </w14:textFill>
                    </w:rPr>
                  </w:pPr>
                </w:p>
              </w:tc>
              <w:tc>
                <w:tcPr>
                  <w:tcW w:w="509" w:type="pct"/>
                  <w:vMerge w:val="continue"/>
                  <w:vAlign w:val="center"/>
                </w:tcPr>
                <w:p w14:paraId="1F969683">
                  <w:pPr>
                    <w:pStyle w:val="90"/>
                    <w:rPr>
                      <w:color w:val="000000" w:themeColor="text1"/>
                      <w14:textFill>
                        <w14:solidFill>
                          <w14:schemeClr w14:val="tx1"/>
                        </w14:solidFill>
                      </w14:textFill>
                    </w:rPr>
                  </w:pPr>
                </w:p>
              </w:tc>
            </w:tr>
            <w:tr w14:paraId="6BBF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9" w:type="pct"/>
                  <w:vMerge w:val="continue"/>
                  <w:vAlign w:val="center"/>
                </w:tcPr>
                <w:p w14:paraId="5B5B5DB7">
                  <w:pPr>
                    <w:pStyle w:val="90"/>
                    <w:rPr>
                      <w:color w:val="000000" w:themeColor="text1"/>
                      <w14:textFill>
                        <w14:solidFill>
                          <w14:schemeClr w14:val="tx1"/>
                        </w14:solidFill>
                      </w14:textFill>
                    </w:rPr>
                  </w:pPr>
                </w:p>
              </w:tc>
              <w:tc>
                <w:tcPr>
                  <w:tcW w:w="462" w:type="pct"/>
                  <w:vMerge w:val="continue"/>
                  <w:vAlign w:val="center"/>
                </w:tcPr>
                <w:p w14:paraId="31CE7D69">
                  <w:pPr>
                    <w:pStyle w:val="90"/>
                    <w:rPr>
                      <w:color w:val="000000" w:themeColor="text1"/>
                      <w14:textFill>
                        <w14:solidFill>
                          <w14:schemeClr w14:val="tx1"/>
                        </w14:solidFill>
                      </w14:textFill>
                    </w:rPr>
                  </w:pPr>
                </w:p>
              </w:tc>
              <w:tc>
                <w:tcPr>
                  <w:tcW w:w="312" w:type="pct"/>
                  <w:vAlign w:val="center"/>
                </w:tcPr>
                <w:p w14:paraId="0C07D6CC">
                  <w:pPr>
                    <w:pStyle w:val="90"/>
                    <w:rPr>
                      <w:color w:val="000000" w:themeColor="text1"/>
                      <w14:textFill>
                        <w14:solidFill>
                          <w14:schemeClr w14:val="tx1"/>
                        </w14:solidFill>
                      </w14:textFill>
                    </w:rPr>
                  </w:pPr>
                  <w:r>
                    <w:rPr>
                      <w:color w:val="000000" w:themeColor="text1"/>
                      <w14:textFill>
                        <w14:solidFill>
                          <w14:schemeClr w14:val="tx1"/>
                        </w14:solidFill>
                      </w14:textFill>
                    </w:rPr>
                    <w:t>发电机</w:t>
                  </w:r>
                </w:p>
              </w:tc>
              <w:tc>
                <w:tcPr>
                  <w:tcW w:w="906" w:type="pct"/>
                  <w:vAlign w:val="center"/>
                </w:tcPr>
                <w:p w14:paraId="1AEEBA2E">
                  <w:pPr>
                    <w:pStyle w:val="90"/>
                    <w:rPr>
                      <w:color w:val="000000" w:themeColor="text1"/>
                      <w14:textFill>
                        <w14:solidFill>
                          <w14:schemeClr w14:val="tx1"/>
                        </w14:solidFill>
                      </w14:textFill>
                    </w:rPr>
                  </w:pPr>
                  <w:r>
                    <w:rPr>
                      <w:color w:val="000000" w:themeColor="text1"/>
                      <w14:textFill>
                        <w14:solidFill>
                          <w14:schemeClr w14:val="tx1"/>
                        </w14:solidFill>
                      </w14:textFill>
                    </w:rPr>
                    <w:t>1座25MW余热发电机组</w:t>
                  </w:r>
                </w:p>
              </w:tc>
              <w:tc>
                <w:tcPr>
                  <w:tcW w:w="2271" w:type="pct"/>
                  <w:vMerge w:val="continue"/>
                  <w:vAlign w:val="center"/>
                </w:tcPr>
                <w:p w14:paraId="60CE3868">
                  <w:pPr>
                    <w:pStyle w:val="90"/>
                    <w:rPr>
                      <w:color w:val="000000" w:themeColor="text1"/>
                      <w14:textFill>
                        <w14:solidFill>
                          <w14:schemeClr w14:val="tx1"/>
                        </w14:solidFill>
                      </w14:textFill>
                    </w:rPr>
                  </w:pPr>
                </w:p>
              </w:tc>
              <w:tc>
                <w:tcPr>
                  <w:tcW w:w="509" w:type="pct"/>
                  <w:vMerge w:val="continue"/>
                  <w:vAlign w:val="center"/>
                </w:tcPr>
                <w:p w14:paraId="7389AC11">
                  <w:pPr>
                    <w:pStyle w:val="90"/>
                    <w:rPr>
                      <w:color w:val="000000" w:themeColor="text1"/>
                      <w14:textFill>
                        <w14:solidFill>
                          <w14:schemeClr w14:val="tx1"/>
                        </w14:solidFill>
                      </w14:textFill>
                    </w:rPr>
                  </w:pPr>
                </w:p>
              </w:tc>
            </w:tr>
            <w:tr w14:paraId="429E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restart"/>
                  <w:vAlign w:val="center"/>
                </w:tcPr>
                <w:p w14:paraId="115FAE18">
                  <w:pPr>
                    <w:pStyle w:val="90"/>
                    <w:rPr>
                      <w:color w:val="000000" w:themeColor="text1"/>
                      <w14:textFill>
                        <w14:solidFill>
                          <w14:schemeClr w14:val="tx1"/>
                        </w14:solidFill>
                      </w14:textFill>
                    </w:rPr>
                  </w:pPr>
                  <w:r>
                    <w:rPr>
                      <w:color w:val="000000" w:themeColor="text1"/>
                      <w14:textFill>
                        <w14:solidFill>
                          <w14:schemeClr w14:val="tx1"/>
                        </w14:solidFill>
                      </w14:textFill>
                    </w:rPr>
                    <w:t>公用工程</w:t>
                  </w:r>
                </w:p>
              </w:tc>
              <w:tc>
                <w:tcPr>
                  <w:tcW w:w="462" w:type="pct"/>
                  <w:vAlign w:val="center"/>
                </w:tcPr>
                <w:p w14:paraId="28C326BF">
                  <w:pPr>
                    <w:pStyle w:val="90"/>
                    <w:rPr>
                      <w:color w:val="000000" w:themeColor="text1"/>
                      <w14:textFill>
                        <w14:solidFill>
                          <w14:schemeClr w14:val="tx1"/>
                        </w14:solidFill>
                      </w14:textFill>
                    </w:rPr>
                  </w:pPr>
                  <w:r>
                    <w:rPr>
                      <w:color w:val="000000" w:themeColor="text1"/>
                      <w14:textFill>
                        <w14:solidFill>
                          <w14:schemeClr w14:val="tx1"/>
                        </w14:solidFill>
                      </w14:textFill>
                    </w:rPr>
                    <w:t>发电机组配套设施</w:t>
                  </w:r>
                </w:p>
              </w:tc>
              <w:tc>
                <w:tcPr>
                  <w:tcW w:w="1218" w:type="pct"/>
                  <w:gridSpan w:val="2"/>
                  <w:vAlign w:val="center"/>
                </w:tcPr>
                <w:p w14:paraId="0FAE29EE">
                  <w:pPr>
                    <w:pStyle w:val="90"/>
                    <w:rPr>
                      <w:color w:val="000000" w:themeColor="text1"/>
                      <w14:textFill>
                        <w14:solidFill>
                          <w14:schemeClr w14:val="tx1"/>
                        </w14:solidFill>
                      </w14:textFill>
                    </w:rPr>
                  </w:pPr>
                  <w:r>
                    <w:rPr>
                      <w:color w:val="000000" w:themeColor="text1"/>
                      <w14:textFill>
                        <w14:solidFill>
                          <w14:schemeClr w14:val="tx1"/>
                        </w14:solidFill>
                      </w14:textFill>
                    </w:rPr>
                    <w:t>35kV开关站（一台38.5kV/10.5kV 90MVA双绕组变压器、一台38.5kV/10.5kV 31.5MVA双绕组变压器）</w:t>
                  </w:r>
                </w:p>
              </w:tc>
              <w:tc>
                <w:tcPr>
                  <w:tcW w:w="2271" w:type="pct"/>
                  <w:vAlign w:val="center"/>
                </w:tcPr>
                <w:p w14:paraId="4846A87F">
                  <w:pPr>
                    <w:pStyle w:val="90"/>
                    <w:rPr>
                      <w:color w:val="000000" w:themeColor="text1"/>
                      <w14:textFill>
                        <w14:solidFill>
                          <w14:schemeClr w14:val="tx1"/>
                        </w14:solidFill>
                      </w14:textFill>
                    </w:rPr>
                  </w:pPr>
                  <w:r>
                    <w:rPr>
                      <w:color w:val="000000" w:themeColor="text1"/>
                      <w14:textFill>
                        <w14:solidFill>
                          <w14:schemeClr w14:val="tx1"/>
                        </w14:solidFill>
                      </w14:textFill>
                    </w:rPr>
                    <w:t>一座110kV变电站、一座220kV变电站，以及烧结、炼铁、炼钢连铸工序等各自变电所和配电系统。</w:t>
                  </w:r>
                </w:p>
              </w:tc>
              <w:tc>
                <w:tcPr>
                  <w:tcW w:w="509" w:type="pct"/>
                  <w:vAlign w:val="center"/>
                </w:tcPr>
                <w:p w14:paraId="045D6BFC">
                  <w:pPr>
                    <w:pStyle w:val="90"/>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1D74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9" w:type="pct"/>
                  <w:vMerge w:val="continue"/>
                  <w:vAlign w:val="center"/>
                </w:tcPr>
                <w:p w14:paraId="7DF62B13">
                  <w:pPr>
                    <w:pStyle w:val="90"/>
                    <w:rPr>
                      <w:color w:val="000000" w:themeColor="text1"/>
                      <w14:textFill>
                        <w14:solidFill>
                          <w14:schemeClr w14:val="tx1"/>
                        </w14:solidFill>
                      </w14:textFill>
                    </w:rPr>
                  </w:pPr>
                </w:p>
              </w:tc>
              <w:tc>
                <w:tcPr>
                  <w:tcW w:w="462" w:type="pct"/>
                  <w:vAlign w:val="center"/>
                </w:tcPr>
                <w:p w14:paraId="6E831044">
                  <w:pPr>
                    <w:pStyle w:val="90"/>
                    <w:rPr>
                      <w:color w:val="000000" w:themeColor="text1"/>
                      <w14:textFill>
                        <w14:solidFill>
                          <w14:schemeClr w14:val="tx1"/>
                        </w14:solidFill>
                      </w14:textFill>
                    </w:rPr>
                  </w:pPr>
                  <w:r>
                    <w:rPr>
                      <w:color w:val="000000" w:themeColor="text1"/>
                      <w14:textFill>
                        <w14:solidFill>
                          <w14:schemeClr w14:val="tx1"/>
                        </w14:solidFill>
                      </w14:textFill>
                    </w:rPr>
                    <w:t>煤气管道、主汽管道、补汽管道</w:t>
                  </w:r>
                </w:p>
              </w:tc>
              <w:tc>
                <w:tcPr>
                  <w:tcW w:w="1218" w:type="pct"/>
                  <w:gridSpan w:val="2"/>
                  <w:vAlign w:val="center"/>
                </w:tcPr>
                <w:p w14:paraId="281CEE12">
                  <w:pPr>
                    <w:pStyle w:val="90"/>
                    <w:rPr>
                      <w:color w:val="000000" w:themeColor="text1"/>
                      <w14:textFill>
                        <w14:solidFill>
                          <w14:schemeClr w14:val="tx1"/>
                        </w14:solidFill>
                      </w14:textFill>
                    </w:rPr>
                  </w:pPr>
                  <w:r>
                    <w:rPr>
                      <w:color w:val="000000" w:themeColor="text1"/>
                      <w14:textFill>
                        <w14:solidFill>
                          <w14:schemeClr w14:val="tx1"/>
                        </w14:solidFill>
                      </w14:textFill>
                    </w:rPr>
                    <w:t>新建DN1800高炉煤气管90m，DN700转炉煤气管100m，DN600焦炉煤气管120m；新建主汽管道3700m（DN200 ~DN300）、补汽管道700m(DN250)</w:t>
                  </w:r>
                </w:p>
              </w:tc>
              <w:tc>
                <w:tcPr>
                  <w:tcW w:w="2271" w:type="pct"/>
                  <w:vAlign w:val="center"/>
                </w:tcPr>
                <w:p w14:paraId="7557841A">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全厂管廊煤气、热力管网</w:t>
                  </w:r>
                </w:p>
              </w:tc>
              <w:tc>
                <w:tcPr>
                  <w:tcW w:w="509" w:type="pct"/>
                  <w:vAlign w:val="center"/>
                </w:tcPr>
                <w:p w14:paraId="69FD38A0">
                  <w:pPr>
                    <w:pStyle w:val="90"/>
                    <w:rPr>
                      <w:color w:val="000000" w:themeColor="text1"/>
                      <w14:textFill>
                        <w14:solidFill>
                          <w14:schemeClr w14:val="tx1"/>
                        </w14:solidFill>
                      </w14:textFill>
                    </w:rPr>
                  </w:pPr>
                  <w:r>
                    <w:rPr>
                      <w:color w:val="000000" w:themeColor="text1"/>
                      <w14:textFill>
                        <w14:solidFill>
                          <w14:schemeClr w14:val="tx1"/>
                        </w14:solidFill>
                      </w14:textFill>
                    </w:rPr>
                    <w:t>新建部分，其余依托厂内既有管网连通至本项目界区</w:t>
                  </w:r>
                </w:p>
              </w:tc>
            </w:tr>
            <w:tr w14:paraId="34E2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continue"/>
                  <w:vAlign w:val="center"/>
                </w:tcPr>
                <w:p w14:paraId="53F3ACCD">
                  <w:pPr>
                    <w:pStyle w:val="90"/>
                    <w:rPr>
                      <w:color w:val="000000" w:themeColor="text1"/>
                      <w14:textFill>
                        <w14:solidFill>
                          <w14:schemeClr w14:val="tx1"/>
                        </w14:solidFill>
                      </w14:textFill>
                    </w:rPr>
                  </w:pPr>
                </w:p>
              </w:tc>
              <w:tc>
                <w:tcPr>
                  <w:tcW w:w="462" w:type="pct"/>
                  <w:vAlign w:val="center"/>
                </w:tcPr>
                <w:p w14:paraId="246438CE">
                  <w:pPr>
                    <w:pStyle w:val="90"/>
                    <w:rPr>
                      <w:color w:val="000000" w:themeColor="text1"/>
                      <w14:textFill>
                        <w14:solidFill>
                          <w14:schemeClr w14:val="tx1"/>
                        </w14:solidFill>
                      </w14:textFill>
                    </w:rPr>
                  </w:pPr>
                  <w:r>
                    <w:rPr>
                      <w:color w:val="000000" w:themeColor="text1"/>
                      <w14:textFill>
                        <w14:solidFill>
                          <w14:schemeClr w14:val="tx1"/>
                        </w14:solidFill>
                      </w14:textFill>
                    </w:rPr>
                    <w:t>给水系统</w:t>
                  </w:r>
                </w:p>
              </w:tc>
              <w:tc>
                <w:tcPr>
                  <w:tcW w:w="1218" w:type="pct"/>
                  <w:gridSpan w:val="2"/>
                  <w:vAlign w:val="center"/>
                </w:tcPr>
                <w:p w14:paraId="24E6344E">
                  <w:pPr>
                    <w:pStyle w:val="90"/>
                    <w:rPr>
                      <w:color w:val="000000" w:themeColor="text1"/>
                      <w14:textFill>
                        <w14:solidFill>
                          <w14:schemeClr w14:val="tx1"/>
                        </w14:solidFill>
                      </w14:textFill>
                    </w:rPr>
                  </w:pPr>
                  <w:r>
                    <w:rPr>
                      <w:color w:val="000000" w:themeColor="text1"/>
                      <w14:textFill>
                        <w14:solidFill>
                          <w14:schemeClr w14:val="tx1"/>
                        </w14:solidFill>
                      </w14:textFill>
                    </w:rPr>
                    <w:t>净循环冷却水系统、消防给水系统、生活给水系统等</w:t>
                  </w:r>
                </w:p>
              </w:tc>
              <w:tc>
                <w:tcPr>
                  <w:tcW w:w="2271" w:type="pct"/>
                  <w:vAlign w:val="center"/>
                </w:tcPr>
                <w:p w14:paraId="5B6115C9">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①工业水供应：来自滩内水厂；</w:t>
                  </w:r>
                </w:p>
                <w:p w14:paraId="3F5B4F98">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②生活用水供应：来自可湖水厂；</w:t>
                  </w:r>
                </w:p>
                <w:p w14:paraId="1B5E7259">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③消防水供应：消防集中供水系统，包括容纳四个小时生产新水量的事故安全水池，作为全厂工业水的事故安全水。</w:t>
                  </w:r>
                </w:p>
              </w:tc>
              <w:tc>
                <w:tcPr>
                  <w:tcW w:w="509" w:type="pct"/>
                  <w:vAlign w:val="center"/>
                </w:tcPr>
                <w:p w14:paraId="60548B06">
                  <w:pPr>
                    <w:pStyle w:val="90"/>
                    <w:rPr>
                      <w:color w:val="000000" w:themeColor="text1"/>
                      <w14:textFill>
                        <w14:solidFill>
                          <w14:schemeClr w14:val="tx1"/>
                        </w14:solidFill>
                      </w14:textFill>
                    </w:rPr>
                  </w:pPr>
                  <w:r>
                    <w:rPr>
                      <w:color w:val="000000" w:themeColor="text1"/>
                      <w14:textFill>
                        <w14:solidFill>
                          <w14:schemeClr w14:val="tx1"/>
                        </w14:solidFill>
                      </w14:textFill>
                    </w:rPr>
                    <w:t>供应工业和生活用水</w:t>
                  </w:r>
                </w:p>
              </w:tc>
            </w:tr>
            <w:tr w14:paraId="6D46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continue"/>
                  <w:vAlign w:val="center"/>
                </w:tcPr>
                <w:p w14:paraId="276C35B7">
                  <w:pPr>
                    <w:pStyle w:val="90"/>
                    <w:rPr>
                      <w:color w:val="000000" w:themeColor="text1"/>
                      <w14:textFill>
                        <w14:solidFill>
                          <w14:schemeClr w14:val="tx1"/>
                        </w14:solidFill>
                      </w14:textFill>
                    </w:rPr>
                  </w:pPr>
                </w:p>
              </w:tc>
              <w:tc>
                <w:tcPr>
                  <w:tcW w:w="462" w:type="pct"/>
                  <w:vAlign w:val="center"/>
                </w:tcPr>
                <w:p w14:paraId="0D85B299">
                  <w:pPr>
                    <w:pStyle w:val="90"/>
                    <w:rPr>
                      <w:color w:val="000000" w:themeColor="text1"/>
                      <w14:textFill>
                        <w14:solidFill>
                          <w14:schemeClr w14:val="tx1"/>
                        </w14:solidFill>
                      </w14:textFill>
                    </w:rPr>
                  </w:pPr>
                  <w:r>
                    <w:rPr>
                      <w:color w:val="000000" w:themeColor="text1"/>
                      <w14:textFill>
                        <w14:solidFill>
                          <w14:schemeClr w14:val="tx1"/>
                        </w14:solidFill>
                      </w14:textFill>
                    </w:rPr>
                    <w:t>道路及绿化</w:t>
                  </w:r>
                </w:p>
              </w:tc>
              <w:tc>
                <w:tcPr>
                  <w:tcW w:w="1218" w:type="pct"/>
                  <w:gridSpan w:val="2"/>
                  <w:vAlign w:val="center"/>
                </w:tcPr>
                <w:p w14:paraId="52D51F27">
                  <w:pPr>
                    <w:pStyle w:val="90"/>
                    <w:rPr>
                      <w:color w:val="000000" w:themeColor="text1"/>
                      <w14:textFill>
                        <w14:solidFill>
                          <w14:schemeClr w14:val="tx1"/>
                        </w14:solidFill>
                      </w14:textFill>
                    </w:rPr>
                  </w:pPr>
                  <w:r>
                    <w:rPr>
                      <w:color w:val="000000" w:themeColor="text1"/>
                      <w14:textFill>
                        <w14:solidFill>
                          <w14:schemeClr w14:val="tx1"/>
                        </w14:solidFill>
                      </w14:textFill>
                    </w:rPr>
                    <w:t>新铺道路面积约为1500m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，绿化面积约为1700m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，建成后本工程建设地块的绿化用地率约为15%</w:t>
                  </w:r>
                </w:p>
              </w:tc>
              <w:tc>
                <w:tcPr>
                  <w:tcW w:w="2271" w:type="pct"/>
                  <w:vAlign w:val="center"/>
                </w:tcPr>
                <w:p w14:paraId="0275CC92">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509" w:type="pct"/>
                  <w:vAlign w:val="center"/>
                </w:tcPr>
                <w:p w14:paraId="3237B8BB">
                  <w:pPr>
                    <w:pStyle w:val="90"/>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6567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restart"/>
                  <w:vAlign w:val="center"/>
                </w:tcPr>
                <w:p w14:paraId="6233499D">
                  <w:pPr>
                    <w:pStyle w:val="90"/>
                    <w:rPr>
                      <w:color w:val="000000" w:themeColor="text1"/>
                      <w14:textFill>
                        <w14:solidFill>
                          <w14:schemeClr w14:val="tx1"/>
                        </w14:solidFill>
                      </w14:textFill>
                    </w:rPr>
                  </w:pPr>
                  <w:r>
                    <w:rPr>
                      <w:color w:val="000000" w:themeColor="text1"/>
                      <w14:textFill>
                        <w14:solidFill>
                          <w14:schemeClr w14:val="tx1"/>
                        </w14:solidFill>
                      </w14:textFill>
                    </w:rPr>
                    <w:t>辅助工程</w:t>
                  </w:r>
                </w:p>
              </w:tc>
              <w:tc>
                <w:tcPr>
                  <w:tcW w:w="462" w:type="pct"/>
                  <w:vAlign w:val="center"/>
                </w:tcPr>
                <w:p w14:paraId="0BEA6549">
                  <w:pPr>
                    <w:pStyle w:val="90"/>
                    <w:rPr>
                      <w:color w:val="000000" w:themeColor="text1"/>
                      <w14:textFill>
                        <w14:solidFill>
                          <w14:schemeClr w14:val="tx1"/>
                        </w14:solidFill>
                      </w14:textFill>
                    </w:rPr>
                  </w:pPr>
                  <w:r>
                    <w:rPr>
                      <w:color w:val="000000" w:themeColor="text1"/>
                      <w14:textFill>
                        <w14:solidFill>
                          <w14:schemeClr w14:val="tx1"/>
                        </w14:solidFill>
                      </w14:textFill>
                    </w:rPr>
                    <w:t>除盐水制备系统</w:t>
                  </w:r>
                </w:p>
              </w:tc>
              <w:tc>
                <w:tcPr>
                  <w:tcW w:w="1218" w:type="pct"/>
                  <w:gridSpan w:val="2"/>
                  <w:vAlign w:val="center"/>
                </w:tcPr>
                <w:p w14:paraId="30A1C1D4">
                  <w:pPr>
                    <w:pStyle w:val="90"/>
                    <w:rPr>
                      <w:color w:val="000000" w:themeColor="text1"/>
                      <w14:textFill>
                        <w14:solidFill>
                          <w14:schemeClr w14:val="tx1"/>
                        </w14:solidFill>
                      </w14:textFill>
                    </w:rPr>
                  </w:pPr>
                  <w:r>
                    <w:rPr>
                      <w:color w:val="000000" w:themeColor="text1"/>
                      <w14:textFill>
                        <w14:solidFill>
                          <w14:schemeClr w14:val="tx1"/>
                        </w14:solidFill>
                      </w14:textFill>
                    </w:rPr>
                    <w:t>2套20m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/h的除盐水制备装置</w:t>
                  </w:r>
                </w:p>
              </w:tc>
              <w:tc>
                <w:tcPr>
                  <w:tcW w:w="2271" w:type="pct"/>
                  <w:vAlign w:val="center"/>
                </w:tcPr>
                <w:p w14:paraId="331FE2AC">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509" w:type="pct"/>
                  <w:vAlign w:val="center"/>
                </w:tcPr>
                <w:p w14:paraId="0D68E7EB">
                  <w:pPr>
                    <w:pStyle w:val="90"/>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68D4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continue"/>
                  <w:vAlign w:val="center"/>
                </w:tcPr>
                <w:p w14:paraId="6A44FEB4">
                  <w:pPr>
                    <w:pStyle w:val="90"/>
                    <w:rPr>
                      <w:color w:val="000000" w:themeColor="text1"/>
                      <w14:textFill>
                        <w14:solidFill>
                          <w14:schemeClr w14:val="tx1"/>
                        </w14:solidFill>
                      </w14:textFill>
                    </w:rPr>
                  </w:pPr>
                </w:p>
              </w:tc>
              <w:tc>
                <w:tcPr>
                  <w:tcW w:w="462" w:type="pct"/>
                  <w:vAlign w:val="center"/>
                </w:tcPr>
                <w:p w14:paraId="7F1D6748">
                  <w:pPr>
                    <w:pStyle w:val="90"/>
                    <w:rPr>
                      <w:color w:val="000000" w:themeColor="text1"/>
                      <w14:textFill>
                        <w14:solidFill>
                          <w14:schemeClr w14:val="tx1"/>
                        </w14:solidFill>
                      </w14:textFill>
                    </w:rPr>
                  </w:pPr>
                  <w:r>
                    <w:rPr>
                      <w:color w:val="000000" w:themeColor="text1"/>
                      <w14:textFill>
                        <w14:solidFill>
                          <w14:schemeClr w14:val="tx1"/>
                        </w14:solidFill>
                      </w14:textFill>
                    </w:rPr>
                    <w:t>锅炉排污、疏水系统</w:t>
                  </w:r>
                </w:p>
              </w:tc>
              <w:tc>
                <w:tcPr>
                  <w:tcW w:w="1218" w:type="pct"/>
                  <w:gridSpan w:val="2"/>
                  <w:vAlign w:val="center"/>
                </w:tcPr>
                <w:p w14:paraId="33013FE6">
                  <w:pPr>
                    <w:pStyle w:val="90"/>
                    <w:rPr>
                      <w:color w:val="000000" w:themeColor="text1"/>
                      <w14:textFill>
                        <w14:solidFill>
                          <w14:schemeClr w14:val="tx1"/>
                        </w14:solidFill>
                      </w14:textFill>
                    </w:rPr>
                  </w:pPr>
                  <w:r>
                    <w:rPr>
                      <w:color w:val="000000" w:themeColor="text1"/>
                      <w14:textFill>
                        <w14:solidFill>
                          <w14:schemeClr w14:val="tx1"/>
                        </w14:solidFill>
                      </w14:textFill>
                    </w:rPr>
                    <w:t>1台连续排污扩容器、1台定期排污扩容器和降温池</w:t>
                  </w:r>
                </w:p>
              </w:tc>
              <w:tc>
                <w:tcPr>
                  <w:tcW w:w="2271" w:type="pct"/>
                  <w:vAlign w:val="center"/>
                </w:tcPr>
                <w:p w14:paraId="4F29BC0D">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509" w:type="pct"/>
                  <w:vAlign w:val="center"/>
                </w:tcPr>
                <w:p w14:paraId="02E59D6E">
                  <w:pPr>
                    <w:pStyle w:val="90"/>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6DCE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39" w:type="pct"/>
                  <w:vMerge w:val="continue"/>
                  <w:vAlign w:val="center"/>
                </w:tcPr>
                <w:p w14:paraId="74F4E025">
                  <w:pPr>
                    <w:pStyle w:val="90"/>
                    <w:rPr>
                      <w:color w:val="000000" w:themeColor="text1"/>
                      <w14:textFill>
                        <w14:solidFill>
                          <w14:schemeClr w14:val="tx1"/>
                        </w14:solidFill>
                      </w14:textFill>
                    </w:rPr>
                  </w:pPr>
                </w:p>
              </w:tc>
              <w:tc>
                <w:tcPr>
                  <w:tcW w:w="462" w:type="pct"/>
                  <w:vAlign w:val="center"/>
                </w:tcPr>
                <w:p w14:paraId="6950EF38">
                  <w:pPr>
                    <w:pStyle w:val="90"/>
                    <w:rPr>
                      <w:color w:val="000000" w:themeColor="text1"/>
                      <w14:textFill>
                        <w14:solidFill>
                          <w14:schemeClr w14:val="tx1"/>
                        </w14:solidFill>
                      </w14:textFill>
                    </w:rPr>
                  </w:pPr>
                  <w:r>
                    <w:rPr>
                      <w:color w:val="000000" w:themeColor="text1"/>
                      <w14:textFill>
                        <w14:solidFill>
                          <w14:schemeClr w14:val="tx1"/>
                        </w14:solidFill>
                      </w14:textFill>
                    </w:rPr>
                    <w:t>辅助建筑</w:t>
                  </w:r>
                </w:p>
              </w:tc>
              <w:tc>
                <w:tcPr>
                  <w:tcW w:w="1218" w:type="pct"/>
                  <w:gridSpan w:val="2"/>
                  <w:vAlign w:val="center"/>
                </w:tcPr>
                <w:p w14:paraId="14F683FB">
                  <w:pPr>
                    <w:pStyle w:val="90"/>
                    <w:rPr>
                      <w:color w:val="000000" w:themeColor="text1"/>
                      <w14:textFill>
                        <w14:solidFill>
                          <w14:schemeClr w14:val="tx1"/>
                        </w14:solidFill>
                      </w14:textFill>
                    </w:rPr>
                  </w:pPr>
                  <w:r>
                    <w:rPr>
                      <w:color w:val="000000" w:themeColor="text1"/>
                      <w14:textFill>
                        <w14:solidFill>
                          <w14:schemeClr w14:val="tx1"/>
                        </w14:solidFill>
                      </w14:textFill>
                    </w:rPr>
                    <w:t>汽机间、除氧间、加药间等</w:t>
                  </w:r>
                </w:p>
              </w:tc>
              <w:tc>
                <w:tcPr>
                  <w:tcW w:w="2271" w:type="pct"/>
                  <w:vAlign w:val="center"/>
                </w:tcPr>
                <w:p w14:paraId="62116397">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509" w:type="pct"/>
                  <w:vAlign w:val="center"/>
                </w:tcPr>
                <w:p w14:paraId="3F2D6EC2">
                  <w:pPr>
                    <w:pStyle w:val="90"/>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66D1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539" w:type="pct"/>
                  <w:vAlign w:val="center"/>
                </w:tcPr>
                <w:p w14:paraId="769AC9FF">
                  <w:pPr>
                    <w:pStyle w:val="90"/>
                    <w:rPr>
                      <w:color w:val="000000" w:themeColor="text1"/>
                      <w14:textFill>
                        <w14:solidFill>
                          <w14:schemeClr w14:val="tx1"/>
                        </w14:solidFill>
                      </w14:textFill>
                    </w:rPr>
                  </w:pPr>
                  <w:r>
                    <w:rPr>
                      <w:color w:val="000000" w:themeColor="text1"/>
                      <w14:textFill>
                        <w14:solidFill>
                          <w14:schemeClr w14:val="tx1"/>
                        </w14:solidFill>
                      </w14:textFill>
                    </w:rPr>
                    <w:t>储运工程</w:t>
                  </w:r>
                </w:p>
              </w:tc>
              <w:tc>
                <w:tcPr>
                  <w:tcW w:w="462" w:type="pct"/>
                  <w:vAlign w:val="center"/>
                </w:tcPr>
                <w:p w14:paraId="61877EFE">
                  <w:pPr>
                    <w:pStyle w:val="90"/>
                    <w:rPr>
                      <w:color w:val="000000" w:themeColor="text1"/>
                      <w14:textFill>
                        <w14:solidFill>
                          <w14:schemeClr w14:val="tx1"/>
                        </w14:solidFill>
                      </w14:textFill>
                    </w:rPr>
                  </w:pPr>
                  <w:r>
                    <w:rPr>
                      <w:color w:val="000000" w:themeColor="text1"/>
                      <w14:textFill>
                        <w14:solidFill>
                          <w14:schemeClr w14:val="tx1"/>
                        </w14:solidFill>
                      </w14:textFill>
                    </w:rPr>
                    <w:t>高炉、转炉煤气柜</w:t>
                  </w:r>
                </w:p>
              </w:tc>
              <w:tc>
                <w:tcPr>
                  <w:tcW w:w="1218" w:type="pct"/>
                  <w:gridSpan w:val="2"/>
                  <w:vAlign w:val="center"/>
                </w:tcPr>
                <w:p w14:paraId="32CA4D27">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2271" w:type="pct"/>
                  <w:vAlign w:val="center"/>
                </w:tcPr>
                <w:p w14:paraId="6B736154">
                  <w:pPr>
                    <w:pStyle w:val="90"/>
                    <w:rPr>
                      <w:color w:val="000000" w:themeColor="text1"/>
                      <w14:textFill>
                        <w14:solidFill>
                          <w14:schemeClr w14:val="tx1"/>
                        </w14:solidFill>
                      </w14:textFill>
                    </w:rPr>
                  </w:pPr>
                  <w:r>
                    <w:rPr>
                      <w:color w:val="000000" w:themeColor="text1"/>
                      <w14:textFill>
                        <w14:solidFill>
                          <w14:schemeClr w14:val="tx1"/>
                        </w14:solidFill>
                      </w14:textFill>
                    </w:rPr>
                    <w:t>1座20万m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高炉煤气柜、1座8万m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转炉煤气柜</w:t>
                  </w:r>
                </w:p>
              </w:tc>
              <w:tc>
                <w:tcPr>
                  <w:tcW w:w="509" w:type="pct"/>
                  <w:vAlign w:val="center"/>
                </w:tcPr>
                <w:p w14:paraId="21A8A566">
                  <w:pPr>
                    <w:pStyle w:val="90"/>
                    <w:rPr>
                      <w:color w:val="000000" w:themeColor="text1"/>
                      <w14:textFill>
                        <w14:solidFill>
                          <w14:schemeClr w14:val="tx1"/>
                        </w14:solidFill>
                      </w14:textFill>
                    </w:rPr>
                  </w:pPr>
                  <w:r>
                    <w:rPr>
                      <w:color w:val="000000" w:themeColor="text1"/>
                      <w14:textFill>
                        <w14:solidFill>
                          <w14:schemeClr w14:val="tx1"/>
                        </w14:solidFill>
                      </w14:textFill>
                    </w:rPr>
                    <w:t>依托</w:t>
                  </w:r>
                </w:p>
              </w:tc>
            </w:tr>
            <w:tr w14:paraId="67A0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restart"/>
                  <w:vAlign w:val="center"/>
                </w:tcPr>
                <w:p w14:paraId="7071522C">
                  <w:pPr>
                    <w:pStyle w:val="90"/>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462" w:type="pct"/>
                  <w:vAlign w:val="center"/>
                </w:tcPr>
                <w:p w14:paraId="6DD0FCF1">
                  <w:pPr>
                    <w:pStyle w:val="90"/>
                    <w:rPr>
                      <w:color w:val="000000" w:themeColor="text1"/>
                      <w14:textFill>
                        <w14:solidFill>
                          <w14:schemeClr w14:val="tx1"/>
                        </w14:solidFill>
                      </w14:textFill>
                    </w:rPr>
                  </w:pPr>
                  <w:r>
                    <w:rPr>
                      <w:color w:val="000000" w:themeColor="text1"/>
                      <w14:textFill>
                        <w14:solidFill>
                          <w14:schemeClr w14:val="tx1"/>
                        </w14:solidFill>
                      </w14:textFill>
                    </w:rPr>
                    <w:t>净循环冷却水系统</w:t>
                  </w:r>
                </w:p>
              </w:tc>
              <w:tc>
                <w:tcPr>
                  <w:tcW w:w="1218" w:type="pct"/>
                  <w:gridSpan w:val="2"/>
                  <w:vAlign w:val="center"/>
                </w:tcPr>
                <w:p w14:paraId="65ED23E1">
                  <w:pPr>
                    <w:pStyle w:val="90"/>
                    <w:rPr>
                      <w:color w:val="000000" w:themeColor="text1"/>
                      <w14:textFill>
                        <w14:solidFill>
                          <w14:schemeClr w14:val="tx1"/>
                        </w14:solidFill>
                      </w14:textFill>
                    </w:rPr>
                  </w:pPr>
                  <w:r>
                    <w:rPr>
                      <w:color w:val="000000" w:themeColor="text1"/>
                      <w14:textFill>
                        <w14:solidFill>
                          <w14:schemeClr w14:val="tx1"/>
                        </w14:solidFill>
                      </w14:textFill>
                    </w:rPr>
                    <w:t>1套22480m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/h净循环水系统，设备冷却水经净循环冷却水系统冷却后循环使用，不外排。过滤器反洗水排入新建的废水收集坑后，用泵提升进入全厂中央污水处理站</w:t>
                  </w:r>
                </w:p>
              </w:tc>
              <w:tc>
                <w:tcPr>
                  <w:tcW w:w="2271" w:type="pct"/>
                  <w:vMerge w:val="restart"/>
                  <w:vAlign w:val="center"/>
                </w:tcPr>
                <w:p w14:paraId="560BCA98">
                  <w:pPr>
                    <w:pStyle w:val="90"/>
                    <w:rPr>
                      <w:color w:val="000000" w:themeColor="text1"/>
                      <w14:textFill>
                        <w14:solidFill>
                          <w14:schemeClr w14:val="tx1"/>
                        </w14:solidFill>
                      </w14:textFill>
                    </w:rPr>
                  </w:pPr>
                  <w:r>
                    <w:rPr>
                      <w:color w:val="000000" w:themeColor="text1"/>
                      <w14:textFill>
                        <w14:solidFill>
                          <w14:schemeClr w14:val="tx1"/>
                        </w14:solidFill>
                      </w14:textFill>
                    </w:rPr>
                    <w:t>中央污水处理站规模为2.04万t/d：处理工艺为“澄清+沉淀+多介质过滤”+“UF+一级RO+二级RO+浓水RO”</w:t>
                  </w:r>
                </w:p>
              </w:tc>
              <w:tc>
                <w:tcPr>
                  <w:tcW w:w="509" w:type="pct"/>
                  <w:vMerge w:val="restart"/>
                  <w:vAlign w:val="center"/>
                </w:tcPr>
                <w:p w14:paraId="29E63595">
                  <w:pPr>
                    <w:pStyle w:val="90"/>
                    <w:rPr>
                      <w:color w:val="000000" w:themeColor="text1"/>
                      <w14:textFill>
                        <w14:solidFill>
                          <w14:schemeClr w14:val="tx1"/>
                        </w14:solidFill>
                      </w14:textFill>
                    </w:rPr>
                  </w:pPr>
                  <w:r>
                    <w:rPr>
                      <w:color w:val="000000" w:themeColor="text1"/>
                      <w14:textFill>
                        <w14:solidFill>
                          <w14:schemeClr w14:val="tx1"/>
                        </w14:solidFill>
                      </w14:textFill>
                    </w:rPr>
                    <w:t>新建净循环冷却水系统和化粪池，项目排水依托中央污水站处理</w:t>
                  </w:r>
                </w:p>
              </w:tc>
            </w:tr>
            <w:tr w14:paraId="4F87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continue"/>
                  <w:vAlign w:val="center"/>
                </w:tcPr>
                <w:p w14:paraId="436CE7F4">
                  <w:pPr>
                    <w:pStyle w:val="90"/>
                    <w:rPr>
                      <w:color w:val="000000" w:themeColor="text1"/>
                      <w14:textFill>
                        <w14:solidFill>
                          <w14:schemeClr w14:val="tx1"/>
                        </w14:solidFill>
                      </w14:textFill>
                    </w:rPr>
                  </w:pPr>
                </w:p>
              </w:tc>
              <w:tc>
                <w:tcPr>
                  <w:tcW w:w="462" w:type="pct"/>
                  <w:vAlign w:val="center"/>
                </w:tcPr>
                <w:p w14:paraId="606EA0C2">
                  <w:pPr>
                    <w:pStyle w:val="90"/>
                    <w:rPr>
                      <w:color w:val="000000" w:themeColor="text1"/>
                      <w14:textFill>
                        <w14:solidFill>
                          <w14:schemeClr w14:val="tx1"/>
                        </w14:solidFill>
                      </w14:textFill>
                    </w:rPr>
                  </w:pPr>
                  <w:r>
                    <w:rPr>
                      <w:color w:val="000000" w:themeColor="text1"/>
                      <w14:textFill>
                        <w14:solidFill>
                          <w14:schemeClr w14:val="tx1"/>
                        </w14:solidFill>
                      </w14:textFill>
                    </w:rPr>
                    <w:t>生活污水处理设施</w:t>
                  </w:r>
                </w:p>
              </w:tc>
              <w:tc>
                <w:tcPr>
                  <w:tcW w:w="1218" w:type="pct"/>
                  <w:gridSpan w:val="2"/>
                  <w:vAlign w:val="center"/>
                </w:tcPr>
                <w:p w14:paraId="51C45715">
                  <w:pPr>
                    <w:pStyle w:val="90"/>
                    <w:rPr>
                      <w:color w:val="000000" w:themeColor="text1"/>
                      <w14:textFill>
                        <w14:solidFill>
                          <w14:schemeClr w14:val="tx1"/>
                        </w14:solidFill>
                      </w14:textFill>
                    </w:rPr>
                  </w:pPr>
                  <w:r>
                    <w:rPr>
                      <w:color w:val="000000" w:themeColor="text1"/>
                      <w14:textFill>
                        <w14:solidFill>
                          <w14:schemeClr w14:val="tx1"/>
                        </w14:solidFill>
                      </w14:textFill>
                    </w:rPr>
                    <w:t>生活污水经预处理后排中央污水站</w:t>
                  </w:r>
                </w:p>
              </w:tc>
              <w:tc>
                <w:tcPr>
                  <w:tcW w:w="2271" w:type="pct"/>
                  <w:vMerge w:val="continue"/>
                  <w:vAlign w:val="center"/>
                </w:tcPr>
                <w:p w14:paraId="18E38436">
                  <w:pPr>
                    <w:pStyle w:val="90"/>
                    <w:rPr>
                      <w:color w:val="000000" w:themeColor="text1"/>
                      <w14:textFill>
                        <w14:solidFill>
                          <w14:schemeClr w14:val="tx1"/>
                        </w14:solidFill>
                      </w14:textFill>
                    </w:rPr>
                  </w:pPr>
                </w:p>
              </w:tc>
              <w:tc>
                <w:tcPr>
                  <w:tcW w:w="509" w:type="pct"/>
                  <w:vMerge w:val="continue"/>
                  <w:vAlign w:val="center"/>
                </w:tcPr>
                <w:p w14:paraId="5532A4CA">
                  <w:pPr>
                    <w:pStyle w:val="90"/>
                    <w:rPr>
                      <w:color w:val="000000" w:themeColor="text1"/>
                      <w14:textFill>
                        <w14:solidFill>
                          <w14:schemeClr w14:val="tx1"/>
                        </w14:solidFill>
                      </w14:textFill>
                    </w:rPr>
                  </w:pPr>
                </w:p>
              </w:tc>
            </w:tr>
            <w:tr w14:paraId="3F5D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continue"/>
                  <w:vAlign w:val="center"/>
                </w:tcPr>
                <w:p w14:paraId="53B05595">
                  <w:pPr>
                    <w:pStyle w:val="90"/>
                    <w:rPr>
                      <w:color w:val="000000" w:themeColor="text1"/>
                      <w14:textFill>
                        <w14:solidFill>
                          <w14:schemeClr w14:val="tx1"/>
                        </w14:solidFill>
                      </w14:textFill>
                    </w:rPr>
                  </w:pPr>
                </w:p>
              </w:tc>
              <w:tc>
                <w:tcPr>
                  <w:tcW w:w="462" w:type="pct"/>
                  <w:vAlign w:val="center"/>
                </w:tcPr>
                <w:p w14:paraId="45AB5B0C">
                  <w:pPr>
                    <w:pStyle w:val="90"/>
                    <w:rPr>
                      <w:color w:val="000000" w:themeColor="text1"/>
                      <w14:textFill>
                        <w14:solidFill>
                          <w14:schemeClr w14:val="tx1"/>
                        </w14:solidFill>
                      </w14:textFill>
                    </w:rPr>
                  </w:pPr>
                  <w:r>
                    <w:rPr>
                      <w:color w:val="000000" w:themeColor="text1"/>
                      <w14:textFill>
                        <w14:solidFill>
                          <w14:schemeClr w14:val="tx1"/>
                        </w14:solidFill>
                      </w14:textFill>
                    </w:rPr>
                    <w:t>烟气脱硝系统</w:t>
                  </w:r>
                </w:p>
              </w:tc>
              <w:tc>
                <w:tcPr>
                  <w:tcW w:w="1218" w:type="pct"/>
                  <w:gridSpan w:val="2"/>
                  <w:vAlign w:val="center"/>
                </w:tcPr>
                <w:p w14:paraId="11BD2F61">
                  <w:pPr>
                    <w:pStyle w:val="90"/>
                    <w:rPr>
                      <w:color w:val="000000" w:themeColor="text1"/>
                      <w14:textFill>
                        <w14:solidFill>
                          <w14:schemeClr w14:val="tx1"/>
                        </w14:solidFill>
                      </w14:textFill>
                    </w:rPr>
                  </w:pPr>
                  <w:r>
                    <w:rPr>
                      <w:color w:val="000000" w:themeColor="text1"/>
                      <w14:textFill>
                        <w14:solidFill>
                          <w14:schemeClr w14:val="tx1"/>
                        </w14:solidFill>
                      </w14:textFill>
                    </w:rPr>
                    <w:t>锅炉采用低氮燃烧器，选择性催化还原法（scr）脱硝，配建氨水罐</w:t>
                  </w:r>
                </w:p>
              </w:tc>
              <w:tc>
                <w:tcPr>
                  <w:tcW w:w="2271" w:type="pct"/>
                  <w:vAlign w:val="center"/>
                </w:tcPr>
                <w:p w14:paraId="46F03CCF">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509" w:type="pct"/>
                  <w:vAlign w:val="center"/>
                </w:tcPr>
                <w:p w14:paraId="23F41899">
                  <w:pPr>
                    <w:pStyle w:val="90"/>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0CBA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continue"/>
                  <w:vAlign w:val="center"/>
                </w:tcPr>
                <w:p w14:paraId="5DAEF5D9">
                  <w:pPr>
                    <w:pStyle w:val="90"/>
                    <w:rPr>
                      <w:color w:val="000000" w:themeColor="text1"/>
                      <w14:textFill>
                        <w14:solidFill>
                          <w14:schemeClr w14:val="tx1"/>
                        </w14:solidFill>
                      </w14:textFill>
                    </w:rPr>
                  </w:pPr>
                </w:p>
              </w:tc>
              <w:tc>
                <w:tcPr>
                  <w:tcW w:w="462" w:type="pct"/>
                  <w:vAlign w:val="center"/>
                </w:tcPr>
                <w:p w14:paraId="3ED22555">
                  <w:pPr>
                    <w:pStyle w:val="90"/>
                    <w:rPr>
                      <w:color w:val="000000" w:themeColor="text1"/>
                      <w14:textFill>
                        <w14:solidFill>
                          <w14:schemeClr w14:val="tx1"/>
                        </w14:solidFill>
                      </w14:textFill>
                    </w:rPr>
                  </w:pPr>
                  <w:r>
                    <w:rPr>
                      <w:color w:val="000000" w:themeColor="text1"/>
                      <w14:textFill>
                        <w14:solidFill>
                          <w14:schemeClr w14:val="tx1"/>
                        </w14:solidFill>
                      </w14:textFill>
                    </w:rPr>
                    <w:t>烟气脱硫除尘系统</w:t>
                  </w:r>
                </w:p>
              </w:tc>
              <w:tc>
                <w:tcPr>
                  <w:tcW w:w="1218" w:type="pct"/>
                  <w:gridSpan w:val="2"/>
                  <w:vAlign w:val="center"/>
                </w:tcPr>
                <w:p w14:paraId="22BEC227">
                  <w:pPr>
                    <w:pStyle w:val="90"/>
                    <w:rPr>
                      <w:color w:val="000000" w:themeColor="text1"/>
                      <w14:textFill>
                        <w14:solidFill>
                          <w14:schemeClr w14:val="tx1"/>
                        </w14:solidFill>
                      </w14:textFill>
                    </w:rPr>
                  </w:pPr>
                  <w:r>
                    <w:rPr>
                      <w:color w:val="000000" w:themeColor="text1"/>
                      <w14:textFill>
                        <w14:solidFill>
                          <w14:schemeClr w14:val="tx1"/>
                        </w14:solidFill>
                      </w14:textFill>
                    </w:rPr>
                    <w:t>1套最大风量19万Nm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/h的烟气处理装置，锅炉出口烟气通过小苏打干法脱硫装置，然后经袋式除尘器除尘后由增压风机引至新建60m烟囱进行排放</w:t>
                  </w:r>
                </w:p>
              </w:tc>
              <w:tc>
                <w:tcPr>
                  <w:tcW w:w="2271" w:type="pct"/>
                  <w:vAlign w:val="center"/>
                </w:tcPr>
                <w:p w14:paraId="6B06CF93">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509" w:type="pct"/>
                  <w:vAlign w:val="center"/>
                </w:tcPr>
                <w:p w14:paraId="79FEFA24">
                  <w:pPr>
                    <w:pStyle w:val="90"/>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488E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continue"/>
                  <w:vAlign w:val="center"/>
                </w:tcPr>
                <w:p w14:paraId="6B3A9DA0">
                  <w:pPr>
                    <w:pStyle w:val="90"/>
                    <w:rPr>
                      <w:color w:val="000000" w:themeColor="text1"/>
                      <w14:textFill>
                        <w14:solidFill>
                          <w14:schemeClr w14:val="tx1"/>
                        </w14:solidFill>
                      </w14:textFill>
                    </w:rPr>
                  </w:pPr>
                </w:p>
              </w:tc>
              <w:tc>
                <w:tcPr>
                  <w:tcW w:w="462" w:type="pct"/>
                  <w:vAlign w:val="center"/>
                </w:tcPr>
                <w:p w14:paraId="0A955D60">
                  <w:pPr>
                    <w:pStyle w:val="90"/>
                    <w:rPr>
                      <w:color w:val="000000" w:themeColor="text1"/>
                      <w14:textFill>
                        <w14:solidFill>
                          <w14:schemeClr w14:val="tx1"/>
                        </w14:solidFill>
                      </w14:textFill>
                    </w:rPr>
                  </w:pPr>
                  <w:r>
                    <w:rPr>
                      <w:color w:val="000000" w:themeColor="text1"/>
                      <w14:textFill>
                        <w14:solidFill>
                          <w14:schemeClr w14:val="tx1"/>
                        </w14:solidFill>
                      </w14:textFill>
                    </w:rPr>
                    <w:t>噪声防治系统</w:t>
                  </w:r>
                </w:p>
              </w:tc>
              <w:tc>
                <w:tcPr>
                  <w:tcW w:w="1218" w:type="pct"/>
                  <w:gridSpan w:val="2"/>
                  <w:vAlign w:val="center"/>
                </w:tcPr>
                <w:p w14:paraId="6E1BDF9A">
                  <w:pPr>
                    <w:pStyle w:val="90"/>
                    <w:rPr>
                      <w:color w:val="000000" w:themeColor="text1"/>
                      <w14:textFill>
                        <w14:solidFill>
                          <w14:schemeClr w14:val="tx1"/>
                        </w14:solidFill>
                      </w14:textFill>
                    </w:rPr>
                  </w:pPr>
                  <w:r>
                    <w:rPr>
                      <w:color w:val="000000" w:themeColor="text1"/>
                      <w14:textFill>
                        <w14:solidFill>
                          <w14:schemeClr w14:val="tx1"/>
                        </w14:solidFill>
                      </w14:textFill>
                    </w:rPr>
                    <w:t>对水泵、风机、汽轮机产生噪声的设备加设减震垫，管道采取柔性连接等方式降低噪声</w:t>
                  </w:r>
                </w:p>
              </w:tc>
              <w:tc>
                <w:tcPr>
                  <w:tcW w:w="2271" w:type="pct"/>
                  <w:vAlign w:val="center"/>
                </w:tcPr>
                <w:p w14:paraId="5C585772">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509" w:type="pct"/>
                  <w:vAlign w:val="center"/>
                </w:tcPr>
                <w:p w14:paraId="64334930">
                  <w:pPr>
                    <w:pStyle w:val="90"/>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5198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restart"/>
                  <w:vAlign w:val="center"/>
                </w:tcPr>
                <w:p w14:paraId="594E70E2">
                  <w:pPr>
                    <w:pStyle w:val="90"/>
                    <w:rPr>
                      <w:color w:val="000000" w:themeColor="text1"/>
                      <w14:textFill>
                        <w14:solidFill>
                          <w14:schemeClr w14:val="tx1"/>
                        </w14:solidFill>
                      </w14:textFill>
                    </w:rPr>
                  </w:pPr>
                  <w:r>
                    <w:rPr>
                      <w:color w:val="000000" w:themeColor="text1"/>
                      <w14:textFill>
                        <w14:solidFill>
                          <w14:schemeClr w14:val="tx1"/>
                        </w14:solidFill>
                      </w14:textFill>
                    </w:rPr>
                    <w:t>依托工程</w:t>
                  </w:r>
                </w:p>
              </w:tc>
              <w:tc>
                <w:tcPr>
                  <w:tcW w:w="462" w:type="pct"/>
                  <w:vAlign w:val="center"/>
                </w:tcPr>
                <w:p w14:paraId="5D722911">
                  <w:pPr>
                    <w:pStyle w:val="90"/>
                    <w:rPr>
                      <w:color w:val="000000" w:themeColor="text1"/>
                      <w14:textFill>
                        <w14:solidFill>
                          <w14:schemeClr w14:val="tx1"/>
                        </w14:solidFill>
                      </w14:textFill>
                    </w:rPr>
                  </w:pPr>
                  <w:r>
                    <w:rPr>
                      <w:color w:val="000000" w:themeColor="text1"/>
                      <w14:textFill>
                        <w14:solidFill>
                          <w14:schemeClr w14:val="tx1"/>
                        </w14:solidFill>
                      </w14:textFill>
                    </w:rPr>
                    <w:t>固体废物临时贮存设施</w:t>
                  </w:r>
                </w:p>
              </w:tc>
              <w:tc>
                <w:tcPr>
                  <w:tcW w:w="1218" w:type="pct"/>
                  <w:gridSpan w:val="2"/>
                  <w:vAlign w:val="center"/>
                </w:tcPr>
                <w:p w14:paraId="3CF08423">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2271" w:type="pct"/>
                  <w:vAlign w:val="center"/>
                </w:tcPr>
                <w:p w14:paraId="39D4DF35">
                  <w:pPr>
                    <w:pStyle w:val="90"/>
                    <w:rPr>
                      <w:color w:val="000000" w:themeColor="text1"/>
                      <w14:textFill>
                        <w14:solidFill>
                          <w14:schemeClr w14:val="tx1"/>
                        </w14:solidFill>
                      </w14:textFill>
                    </w:rPr>
                  </w:pPr>
                  <w:r>
                    <w:rPr>
                      <w:color w:val="000000" w:themeColor="text1"/>
                      <w14:textFill>
                        <w14:solidFill>
                          <w14:schemeClr w14:val="tx1"/>
                        </w14:solidFill>
                      </w14:textFill>
                    </w:rPr>
                    <w:t>600m</w:t>
                  </w:r>
                  <w:r>
                    <w:rPr>
                      <w:color w:val="000000" w:themeColor="text1"/>
                      <w:sz w:val="22"/>
                      <w:szCs w:val="21"/>
                      <w:vertAlign w:val="superscript"/>
                      <w14:textFill>
                        <w14:solidFill>
                          <w14:schemeClr w14:val="tx1"/>
                        </w14:solidFill>
                      </w14:textFill>
                    </w:rPr>
                    <w:t>2</w:t>
                  </w:r>
                  <w:r>
                    <w:rPr>
                      <w:color w:val="000000" w:themeColor="text1"/>
                      <w14:textFill>
                        <w14:solidFill>
                          <w14:schemeClr w14:val="tx1"/>
                        </w14:solidFill>
                      </w14:textFill>
                    </w:rPr>
                    <w:t>一般工业固体废物暂存场</w:t>
                  </w:r>
                </w:p>
                <w:p w14:paraId="0304EEB3">
                  <w:pPr>
                    <w:pStyle w:val="90"/>
                    <w:rPr>
                      <w:color w:val="000000" w:themeColor="text1"/>
                      <w14:textFill>
                        <w14:solidFill>
                          <w14:schemeClr w14:val="tx1"/>
                        </w14:solidFill>
                      </w14:textFill>
                    </w:rPr>
                  </w:pPr>
                  <w:r>
                    <w:rPr>
                      <w:color w:val="000000" w:themeColor="text1"/>
                      <w14:textFill>
                        <w14:solidFill>
                          <w14:schemeClr w14:val="tx1"/>
                        </w14:solidFill>
                      </w14:textFill>
                    </w:rPr>
                    <w:t>1200m</w:t>
                  </w:r>
                  <w:r>
                    <w:rPr>
                      <w:color w:val="000000" w:themeColor="text1"/>
                      <w:sz w:val="22"/>
                      <w:szCs w:val="21"/>
                      <w:vertAlign w:val="superscript"/>
                      <w14:textFill>
                        <w14:solidFill>
                          <w14:schemeClr w14:val="tx1"/>
                        </w14:solidFill>
                      </w14:textFill>
                    </w:rPr>
                    <w:t>2</w:t>
                  </w:r>
                  <w:r>
                    <w:rPr>
                      <w:color w:val="000000" w:themeColor="text1"/>
                      <w14:textFill>
                        <w14:solidFill>
                          <w14:schemeClr w14:val="tx1"/>
                        </w14:solidFill>
                      </w14:textFill>
                    </w:rPr>
                    <w:t>危险废物贮存间</w:t>
                  </w:r>
                </w:p>
              </w:tc>
              <w:tc>
                <w:tcPr>
                  <w:tcW w:w="509" w:type="pct"/>
                  <w:vMerge w:val="restart"/>
                  <w:vAlign w:val="center"/>
                </w:tcPr>
                <w:p w14:paraId="68ED4895">
                  <w:pPr>
                    <w:pStyle w:val="90"/>
                    <w:rPr>
                      <w:color w:val="000000" w:themeColor="text1"/>
                      <w14:textFill>
                        <w14:solidFill>
                          <w14:schemeClr w14:val="tx1"/>
                        </w14:solidFill>
                      </w14:textFill>
                    </w:rPr>
                  </w:pPr>
                  <w:r>
                    <w:rPr>
                      <w:color w:val="000000" w:themeColor="text1"/>
                      <w14:textFill>
                        <w14:solidFill>
                          <w14:schemeClr w14:val="tx1"/>
                        </w14:solidFill>
                      </w14:textFill>
                    </w:rPr>
                    <w:t>2个事故油池新建，其他依托</w:t>
                  </w:r>
                </w:p>
              </w:tc>
            </w:tr>
            <w:tr w14:paraId="478C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continue"/>
                  <w:vAlign w:val="center"/>
                </w:tcPr>
                <w:p w14:paraId="06E5DC5D">
                  <w:pPr>
                    <w:pStyle w:val="90"/>
                    <w:rPr>
                      <w:color w:val="000000" w:themeColor="text1"/>
                      <w14:textFill>
                        <w14:solidFill>
                          <w14:schemeClr w14:val="tx1"/>
                        </w14:solidFill>
                      </w14:textFill>
                    </w:rPr>
                  </w:pPr>
                </w:p>
              </w:tc>
              <w:tc>
                <w:tcPr>
                  <w:tcW w:w="462" w:type="pct"/>
                </w:tcPr>
                <w:p w14:paraId="1BBAED94">
                  <w:pPr>
                    <w:pStyle w:val="90"/>
                    <w:rPr>
                      <w:color w:val="000000" w:themeColor="text1"/>
                      <w14:textFill>
                        <w14:solidFill>
                          <w14:schemeClr w14:val="tx1"/>
                        </w14:solidFill>
                      </w14:textFill>
                    </w:rPr>
                  </w:pPr>
                  <w:r>
                    <w:rPr>
                      <w:color w:val="000000" w:themeColor="text1"/>
                      <w14:textFill>
                        <w14:solidFill>
                          <w14:schemeClr w14:val="tx1"/>
                        </w14:solidFill>
                      </w14:textFill>
                    </w:rPr>
                    <w:t>事故应急池</w:t>
                  </w:r>
                </w:p>
              </w:tc>
              <w:tc>
                <w:tcPr>
                  <w:tcW w:w="1218" w:type="pct"/>
                  <w:gridSpan w:val="2"/>
                  <w:vAlign w:val="center"/>
                </w:tcPr>
                <w:p w14:paraId="7169DE1E">
                  <w:pPr>
                    <w:pStyle w:val="90"/>
                    <w:rPr>
                      <w:color w:val="000000" w:themeColor="text1"/>
                      <w14:textFill>
                        <w14:solidFill>
                          <w14:schemeClr w14:val="tx1"/>
                        </w14:solidFill>
                      </w14:textFill>
                    </w:rPr>
                  </w:pPr>
                  <w:r>
                    <w:rPr>
                      <w:color w:val="000000" w:themeColor="text1"/>
                      <w14:textFill>
                        <w14:solidFill>
                          <w14:schemeClr w14:val="tx1"/>
                        </w14:solidFill>
                      </w14:textFill>
                    </w:rPr>
                    <w:t>2个事故油池（12m</w:t>
                  </w:r>
                  <w:r>
                    <w:rPr>
                      <w:color w:val="000000" w:themeColor="text1"/>
                      <w:sz w:val="22"/>
                      <w:szCs w:val="21"/>
                      <w:vertAlign w:val="superscript"/>
                      <w14:textFill>
                        <w14:solidFill>
                          <w14:schemeClr w14:val="tx1"/>
                        </w14:solidFill>
                      </w14:textFill>
                    </w:rPr>
                    <w:t>3</w:t>
                  </w:r>
                  <w:r>
                    <w:rPr>
                      <w:color w:val="000000" w:themeColor="text1"/>
                      <w14:textFill>
                        <w14:solidFill>
                          <w14:schemeClr w14:val="tx1"/>
                        </w14:solidFill>
                      </w14:textFill>
                    </w:rPr>
                    <w:t>）</w:t>
                  </w:r>
                </w:p>
              </w:tc>
              <w:tc>
                <w:tcPr>
                  <w:tcW w:w="2271" w:type="pct"/>
                  <w:vAlign w:val="center"/>
                </w:tcPr>
                <w:p w14:paraId="755CF5F1">
                  <w:pPr>
                    <w:pStyle w:val="90"/>
                    <w:rPr>
                      <w:color w:val="000000" w:themeColor="text1"/>
                      <w14:textFill>
                        <w14:solidFill>
                          <w14:schemeClr w14:val="tx1"/>
                        </w14:solidFill>
                      </w14:textFill>
                    </w:rPr>
                  </w:pPr>
                  <w:r>
                    <w:rPr>
                      <w:color w:val="000000" w:themeColor="text1"/>
                      <w14:textFill>
                        <w14:solidFill>
                          <w14:schemeClr w14:val="tx1"/>
                        </w14:solidFill>
                      </w14:textFill>
                    </w:rPr>
                    <w:t>1100m</w:t>
                  </w:r>
                  <w:r>
                    <w:rPr>
                      <w:color w:val="000000" w:themeColor="text1"/>
                      <w:sz w:val="22"/>
                      <w:szCs w:val="21"/>
                      <w:vertAlign w:val="superscript"/>
                      <w14:textFill>
                        <w14:solidFill>
                          <w14:schemeClr w14:val="tx1"/>
                        </w14:solidFill>
                      </w14:textFill>
                    </w:rPr>
                    <w:t>3</w:t>
                  </w:r>
                  <w:r>
                    <w:rPr>
                      <w:color w:val="000000" w:themeColor="text1"/>
                      <w14:textFill>
                        <w14:solidFill>
                          <w14:schemeClr w14:val="tx1"/>
                        </w14:solidFill>
                      </w14:textFill>
                    </w:rPr>
                    <w:t>事故应急池</w:t>
                  </w:r>
                </w:p>
              </w:tc>
              <w:tc>
                <w:tcPr>
                  <w:tcW w:w="509" w:type="pct"/>
                  <w:vMerge w:val="continue"/>
                  <w:vAlign w:val="center"/>
                </w:tcPr>
                <w:p w14:paraId="7916A925">
                  <w:pPr>
                    <w:pStyle w:val="90"/>
                    <w:rPr>
                      <w:color w:val="000000" w:themeColor="text1"/>
                      <w14:textFill>
                        <w14:solidFill>
                          <w14:schemeClr w14:val="tx1"/>
                        </w14:solidFill>
                      </w14:textFill>
                    </w:rPr>
                  </w:pPr>
                </w:p>
              </w:tc>
            </w:tr>
            <w:tr w14:paraId="1095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9" w:type="pct"/>
                  <w:vMerge w:val="continue"/>
                  <w:vAlign w:val="center"/>
                </w:tcPr>
                <w:p w14:paraId="259EF8CE">
                  <w:pPr>
                    <w:pStyle w:val="90"/>
                    <w:rPr>
                      <w:color w:val="000000" w:themeColor="text1"/>
                      <w14:textFill>
                        <w14:solidFill>
                          <w14:schemeClr w14:val="tx1"/>
                        </w14:solidFill>
                      </w14:textFill>
                    </w:rPr>
                  </w:pPr>
                </w:p>
              </w:tc>
              <w:tc>
                <w:tcPr>
                  <w:tcW w:w="462" w:type="pct"/>
                </w:tcPr>
                <w:p w14:paraId="056356E1">
                  <w:pPr>
                    <w:pStyle w:val="90"/>
                    <w:rPr>
                      <w:color w:val="000000" w:themeColor="text1"/>
                      <w14:textFill>
                        <w14:solidFill>
                          <w14:schemeClr w14:val="tx1"/>
                        </w14:solidFill>
                      </w14:textFill>
                    </w:rPr>
                  </w:pPr>
                  <w:r>
                    <w:rPr>
                      <w:color w:val="000000" w:themeColor="text1"/>
                      <w14:textFill>
                        <w14:solidFill>
                          <w14:schemeClr w14:val="tx1"/>
                        </w14:solidFill>
                      </w14:textFill>
                    </w:rPr>
                    <w:t>初期雨水池</w:t>
                  </w:r>
                </w:p>
              </w:tc>
              <w:tc>
                <w:tcPr>
                  <w:tcW w:w="1218" w:type="pct"/>
                  <w:gridSpan w:val="2"/>
                  <w:vAlign w:val="center"/>
                </w:tcPr>
                <w:p w14:paraId="3A396626">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2271" w:type="pct"/>
                  <w:vAlign w:val="center"/>
                </w:tcPr>
                <w:p w14:paraId="132942E7">
                  <w:pPr>
                    <w:pStyle w:val="90"/>
                    <w:rPr>
                      <w:color w:val="000000" w:themeColor="text1"/>
                      <w14:textFill>
                        <w14:solidFill>
                          <w14:schemeClr w14:val="tx1"/>
                        </w14:solidFill>
                      </w14:textFill>
                    </w:rPr>
                  </w:pPr>
                  <w:r>
                    <w:rPr>
                      <w:color w:val="000000" w:themeColor="text1"/>
                      <w14:textFill>
                        <w14:solidFill>
                          <w14:schemeClr w14:val="tx1"/>
                        </w14:solidFill>
                      </w14:textFill>
                    </w:rPr>
                    <w:t>800m</w:t>
                  </w:r>
                  <w:r>
                    <w:rPr>
                      <w:color w:val="000000" w:themeColor="text1"/>
                      <w:sz w:val="24"/>
                      <w:szCs w:val="22"/>
                      <w:vertAlign w:val="superscript"/>
                      <w14:textFill>
                        <w14:solidFill>
                          <w14:schemeClr w14:val="tx1"/>
                        </w14:solidFill>
                      </w14:textFill>
                    </w:rPr>
                    <w:t>3</w:t>
                  </w:r>
                  <w:r>
                    <w:rPr>
                      <w:color w:val="000000" w:themeColor="text1"/>
                      <w14:textFill>
                        <w14:solidFill>
                          <w14:schemeClr w14:val="tx1"/>
                        </w14:solidFill>
                      </w14:textFill>
                    </w:rPr>
                    <w:t>初期雨水池</w:t>
                  </w:r>
                </w:p>
              </w:tc>
              <w:tc>
                <w:tcPr>
                  <w:tcW w:w="509" w:type="pct"/>
                  <w:vMerge w:val="continue"/>
                  <w:vAlign w:val="center"/>
                </w:tcPr>
                <w:p w14:paraId="6AE2ED90">
                  <w:pPr>
                    <w:pStyle w:val="90"/>
                    <w:rPr>
                      <w:color w:val="000000" w:themeColor="text1"/>
                      <w14:textFill>
                        <w14:solidFill>
                          <w14:schemeClr w14:val="tx1"/>
                        </w14:solidFill>
                      </w14:textFill>
                    </w:rPr>
                  </w:pPr>
                </w:p>
              </w:tc>
            </w:tr>
          </w:tbl>
          <w:p w14:paraId="3DE8C89E">
            <w:pPr>
              <w:ind w:firstLine="480"/>
              <w:rPr>
                <w:rFonts w:cs="Times New Roman"/>
                <w:color w:val="000000" w:themeColor="text1"/>
                <w14:textFill>
                  <w14:solidFill>
                    <w14:schemeClr w14:val="tx1"/>
                  </w14:solidFill>
                </w14:textFill>
              </w:rPr>
            </w:pPr>
          </w:p>
        </w:tc>
      </w:tr>
    </w:tbl>
    <w:p w14:paraId="6DF7F9CA">
      <w:pPr>
        <w:ind w:firstLine="480"/>
        <w:rPr>
          <w:rFonts w:cs="Times New Roman"/>
          <w:color w:val="000000" w:themeColor="text1"/>
          <w14:textFill>
            <w14:solidFill>
              <w14:schemeClr w14:val="tx1"/>
            </w14:solidFill>
          </w14:textFill>
        </w:rPr>
        <w:sectPr>
          <w:pgSz w:w="16840" w:h="11907" w:orient="landscape"/>
          <w:pgMar w:top="1531" w:right="1701" w:bottom="1531" w:left="2127" w:header="851" w:footer="851" w:gutter="0"/>
          <w:cols w:space="720" w:num="1"/>
          <w:docGrid w:linePitch="312" w:charSpace="0"/>
        </w:sectPr>
      </w:pPr>
    </w:p>
    <w:p w14:paraId="2BAD4BB1">
      <w:pPr>
        <w:ind w:firstLine="480"/>
        <w:rPr>
          <w:rFonts w:cs="Times New Roman"/>
          <w:color w:val="000000" w:themeColor="text1"/>
          <w14:textFill>
            <w14:solidFill>
              <w14:schemeClr w14:val="tx1"/>
            </w14:solidFill>
          </w14:textFill>
        </w:rPr>
      </w:pPr>
    </w:p>
    <w:tbl>
      <w:tblPr>
        <w:tblStyle w:val="4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377"/>
      </w:tblGrid>
      <w:tr w14:paraId="1EAAA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0" w:hRule="atLeast"/>
        </w:trPr>
        <w:tc>
          <w:tcPr>
            <w:tcW w:w="455" w:type="dxa"/>
            <w:vAlign w:val="center"/>
          </w:tcPr>
          <w:p w14:paraId="64DA0348">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建设内容</w:t>
            </w:r>
          </w:p>
        </w:tc>
        <w:tc>
          <w:tcPr>
            <w:tcW w:w="8606" w:type="dxa"/>
          </w:tcPr>
          <w:p w14:paraId="0F7E8BA6">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平面布置与竖向设计</w:t>
            </w:r>
          </w:p>
          <w:p w14:paraId="7C68F44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项目总平面布置严格遵循《工业企业总平面设计规范》（GB50187）、《建筑防火通用规范》（GB55037-2022）和《建筑设计防火规范》GB 50016-2014（2018年版），合理划分生产区、管线敷设区、运维辅助区，功能分区清晰；统筹厂区危废暂存、废水收集、废气治理等环保单元布局，项目产污环节可顺畅接入厂区现有环境治理系统，污染物收集、处置路线顺畅，满足安全生产、消防安全及环保管控双重要求。</w:t>
            </w:r>
          </w:p>
          <w:p w14:paraId="07F2C55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50MW余气及25MW余热发电项目位于产能置换生产线炼铁车间西北侧空地，工程北侧为德盛九路东，西侧为德盛六路，南侧为现有石灰窑厂房，东侧为产能置换项目炼铁车间4#高炉；新建煤气管道（混合煤气和焦炉煤气）从厂区德盛九路公共管廊DG45号固定支架取点，沿空压站和炼铁布袋除尘系统之间的道路架空敷设至本项目界区。双压带冷机余热锅炉设在镍5合金生产线烧结除尘器北侧，3台126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烧结大烟道余热锅炉设在镍5合金生产线烧结机尾部大烟道旁，1台360m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烧结大烟道余热锅炉设在产能置换生产线烧结机尾部大烟道旁；新建主汽管道和补汽管道从德盛九路西路公共管廊架空敷设至本项目界区；拟建项目用地面积为1.3万m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。现有200t/h超高温超高压燃气锅炉、原65MW超高温超高压煤气发电机组位置未变化。</w:t>
            </w:r>
          </w:p>
          <w:p w14:paraId="48ABDD2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发电区域新建设施包含机械通风冷却塔、循环水泵房、35kV开关室、主厂房、煤气加热器、脱硫脱硝区域、除尘器、引风机、阀门平台、烟囱等。根据场地空间，机械通风冷却塔布置在该区域场地南侧，自西向东依次为35kV开关室、主变、主厂房、锅炉、脱硫脱硝区域、除尘、烟囱，控制室布置在除氧跨。本工程道路采用水泥混凝土路面，场地雨排水采用明沟方式，通过排水沟汇集排入全厂雨排水系统中。具体位置详见总平面布置图。</w:t>
            </w:r>
          </w:p>
          <w:p w14:paraId="7FFB46F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位于宝钢德盛厂区范围内，距离区域各类环境空气、声环境、地表水等环境保护敏感目标最近距离1.55km，选址远离居民区、学校、医院、集中居住区等人居敏感区域，项目运营期产生的废气、噪声、废水等污染物经厂区现有污染治理体系协同管控后，向外环境扩散影响程度极低，可有效规避对周边人居环境的不利影响。</w:t>
            </w:r>
          </w:p>
          <w:p w14:paraId="1243C065">
            <w:pPr>
              <w:pStyle w:val="90"/>
              <w:rPr>
                <w:color w:val="000000" w:themeColor="text1"/>
                <w14:textFill>
                  <w14:solidFill>
                    <w14:schemeClr w14:val="tx1"/>
                  </w14:solidFill>
                </w14:textFill>
              </w:rPr>
            </w:pPr>
          </w:p>
          <w:p w14:paraId="5B425D9E">
            <w:pPr>
              <w:pStyle w:val="98"/>
              <w:spacing w:before="24" w:after="24"/>
              <w:rPr>
                <w:b w:val="0"/>
                <w:bCs w:val="0"/>
                <w:color w:val="000000" w:themeColor="text1"/>
                <w:kern w:val="2"/>
                <w14:textFill>
                  <w14:solidFill>
                    <w14:schemeClr w14:val="tx1"/>
                  </w14:solidFill>
                </w14:textFill>
              </w:rPr>
            </w:pPr>
            <w:r>
              <w:rPr>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宝钢德盛全厂平面布置图</w:t>
            </w:r>
          </w:p>
          <w:p w14:paraId="077C2E4A">
            <w:pPr>
              <w:pStyle w:val="281"/>
              <w:rPr>
                <w:rFonts w:ascii="Times New Roman" w:hAnsi="Times New Roman"/>
                <w:color w:val="000000" w:themeColor="text1"/>
                <w14:textFill>
                  <w14:solidFill>
                    <w14:schemeClr w14:val="tx1"/>
                  </w14:solidFill>
                </w14:textFill>
              </w:rPr>
            </w:pPr>
          </w:p>
          <w:p w14:paraId="356B32D6">
            <w:pPr>
              <w:pStyle w:val="90"/>
              <w:rPr>
                <w:color w:val="000000" w:themeColor="text1"/>
                <w14:textFill>
                  <w14:solidFill>
                    <w14:schemeClr w14:val="tx1"/>
                  </w14:solidFill>
                </w14:textFill>
              </w:rPr>
            </w:pPr>
          </w:p>
          <w:p w14:paraId="1BB4340D">
            <w:pPr>
              <w:pStyle w:val="98"/>
              <w:spacing w:before="24" w:after="24"/>
              <w:rPr>
                <w:color w:val="000000" w:themeColor="text1"/>
                <w14:textFill>
                  <w14:solidFill>
                    <w14:schemeClr w14:val="tx1"/>
                  </w14:solidFill>
                </w14:textFill>
              </w:rPr>
            </w:pPr>
            <w:r>
              <w:rPr>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拟建项目平面布置图</w:t>
            </w:r>
          </w:p>
          <w:p w14:paraId="79757B28">
            <w:pPr>
              <w:pStyle w:val="40"/>
              <w:ind w:firstLine="360"/>
              <w:jc w:val="center"/>
            </w:pPr>
            <w:r>
              <w:rPr>
                <w:rFonts w:ascii="TimesNewRomanPSMT" w:hAnsi="TimesNewRomanPSMT"/>
              </w:rPr>
              <w:t>(</w:t>
            </w:r>
            <w:r>
              <w:rPr>
                <w:rFonts w:hint="eastAsia"/>
              </w:rPr>
              <w:t>涉及商业秘密，进行删除</w:t>
            </w:r>
            <w:r>
              <w:rPr>
                <w:rFonts w:ascii="TimesNewRomanPSMT" w:hAnsi="TimesNewRomanPSMT"/>
              </w:rPr>
              <w:t>)</w:t>
            </w:r>
          </w:p>
          <w:p w14:paraId="32B011FC">
            <w:pPr>
              <w:pStyle w:val="98"/>
              <w:spacing w:before="24" w:after="24"/>
              <w:rPr>
                <w:color w:val="000000" w:themeColor="text1"/>
                <w14:textFill>
                  <w14:solidFill>
                    <w14:schemeClr w14:val="tx1"/>
                  </w14:solidFill>
                </w14:textFill>
              </w:rPr>
            </w:pPr>
          </w:p>
          <w:p w14:paraId="39DB1DD6">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设备选型比选</w:t>
            </w:r>
          </w:p>
          <w:p w14:paraId="0144B05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宝钢德盛全厂剩余富余煤气约11.3万Nm³/h，另有主要来自镍5生产线126m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烧结环冷机及其大烟道、产能置换生产线360m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烧结大烟道、炼钢工序等的富余蒸汽135.5 t/h。根据上述富余煤气量及蒸汽量，设计阶段考虑了匹配现有在产65MW（调减为58MW）和50MW双超机组生产工况，确定选型新建50MW双超煤气发电机组+ 25MW余热发电机，设计阶段2种方案具体比对参数如下表：</w:t>
            </w:r>
          </w:p>
          <w:p w14:paraId="4A693E2D">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设备选型比选一览表</w:t>
            </w:r>
          </w:p>
          <w:p w14:paraId="08A3F6A5">
            <w:pPr>
              <w:pStyle w:val="40"/>
              <w:ind w:firstLine="360"/>
              <w:jc w:val="center"/>
            </w:pPr>
            <w:r>
              <w:rPr>
                <w:rFonts w:ascii="TimesNewRomanPSMT" w:hAnsi="TimesNewRomanPSMT"/>
              </w:rPr>
              <w:t>(</w:t>
            </w:r>
            <w:r>
              <w:rPr>
                <w:rFonts w:hint="eastAsia"/>
              </w:rPr>
              <w:t>涉及商业秘密，进行删除</w:t>
            </w:r>
            <w:r>
              <w:rPr>
                <w:rFonts w:ascii="TimesNewRomanPSMT" w:hAnsi="TimesNewRomanPSMT"/>
              </w:rPr>
              <w:t>)</w:t>
            </w:r>
          </w:p>
          <w:p w14:paraId="6CC3B3CA">
            <w:pPr>
              <w:pStyle w:val="351"/>
              <w:spacing w:before="120"/>
              <w:rPr>
                <w:color w:val="000000" w:themeColor="text1"/>
                <w14:textFill>
                  <w14:solidFill>
                    <w14:schemeClr w14:val="tx1"/>
                  </w14:solidFill>
                </w14:textFill>
              </w:rPr>
            </w:pPr>
          </w:p>
          <w:p w14:paraId="5EC1D66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（1）设备方案比选</w:t>
            </w:r>
          </w:p>
          <w:p w14:paraId="0C95025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①方案1和方案2煤气发电机组的平均负荷率＞80%，机组均处于高效区运行。</w:t>
            </w:r>
          </w:p>
          <w:p w14:paraId="2B2E616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②企业轧钢检修工况下，方案1的煤气发电机组的平均负荷率为89%，方案2的煤气发电机组的平均负荷率为98%，两个方案均可以做到全厂煤气零放散。</w:t>
            </w:r>
          </w:p>
          <w:p w14:paraId="2099451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③经济测算工况即保证原有煤气机组100%负荷，剩余煤气和富余蒸汽分别进新机组，方案1煤气机组负荷在~45%之间，机组处于低效区；方案2煤气机组负荷~61%之间，效率高于方案1。</w:t>
            </w:r>
          </w:p>
          <w:p w14:paraId="71A741D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④根据年供电量计算结果（经济测算工况），2个方案供电量相当。根据机组投资计算结果（经济测算工况），方案1比方案2多投资约2570万，但2个方案的收益相当。</w:t>
            </w:r>
          </w:p>
          <w:p w14:paraId="4F59AA9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（2）1×50MW双超煤气发电机组匹配性分析</w:t>
            </w:r>
          </w:p>
          <w:p w14:paraId="502918F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新建170t/h煤气锅炉，额定蒸发量与汽轮机额定主蒸汽进汽量完全匹配，偏差≤3%，处于行业最优匹配区间，机组可在100%额定负荷下稳定高效运行，无节流损失、无锅炉超压风险，也无进汽不足导致的效率下降问题，主设备参数匹配度达行业优秀水平。机组对应锅炉负荷率约87%，恰好处于超高温超高压带一次再热机组70%~100% 的经济运行区间，不存在&lt; 60%低负荷运行的稳燃困难、效率骤降、厂用电率升高等行业痛点，机组可长期在高效区间运行，无能源浪费。</w:t>
            </w:r>
          </w:p>
          <w:p w14:paraId="55BD3B6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（3）1×25MW余热发电机组匹配性分析</w:t>
            </w:r>
          </w:p>
          <w:p w14:paraId="57C8EEB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台50t/h双压环冷机余热锅炉，精准匹126m²烧结环冷机高中温烟气余热；3台4t/h和1台18t/h大烟道余热锅炉合计30t/h，完全覆盖126m²+360m²烧结大烟道低温烟气余热，余热回收效率≥76%。1台环冷机余热锅炉+4台大烟道余热锅炉并联运行，单台锅炉检修时，其余锅炉仍可正常产汽，系统可用率≥95%，远高于单台余热锅炉85%的可用率。</w:t>
            </w:r>
          </w:p>
          <w:p w14:paraId="5D3CDA7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综上，推荐方案2新建1×50MW双超煤气发电机组和1×25MW余热发电机组匹配本项目新建的1台170t/h超高温超高压燃气锅炉和1台50t/h双压带冷机余热锅炉、3台4t/h和1台18t/h大烟道余热锅炉最佳。</w:t>
            </w:r>
          </w:p>
          <w:p w14:paraId="2BE56015">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主要生产设施及设施参数</w:t>
            </w:r>
          </w:p>
          <w:p w14:paraId="3B4CAF4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生产设施包括锅炉、补汽凝汽式汽轮机、发电机组及配套循环水系统相应设施，上述设施具体参数见下表。现有200t/h超高温超高压燃气锅炉、原65MW（现调减为58MW）超高温超高压煤气发电机组为既有设备。</w:t>
            </w:r>
          </w:p>
          <w:p w14:paraId="6964E186">
            <w:pPr>
              <w:pStyle w:val="97"/>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2.3</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w:t>
            </w:r>
            <w:r>
              <w:rPr>
                <w:rFonts w:cs="Times New Roman"/>
                <w:color w:val="000000" w:themeColor="text1"/>
                <w:lang w:val="en-US"/>
                <w14:textFill>
                  <w14:solidFill>
                    <w14:schemeClr w14:val="tx1"/>
                  </w14:solidFill>
                </w14:textFill>
              </w:rPr>
              <w:t>拟建</w:t>
            </w:r>
            <w:r>
              <w:rPr>
                <w:rFonts w:cs="Times New Roman"/>
                <w:color w:val="000000" w:themeColor="text1"/>
                <w14:textFill>
                  <w14:solidFill>
                    <w14:schemeClr w14:val="tx1"/>
                  </w14:solidFill>
                </w14:textFill>
              </w:rPr>
              <w:t>主要生产设备及其参数一览表（单位：台）</w:t>
            </w:r>
          </w:p>
          <w:p w14:paraId="698ADCB0">
            <w:pPr>
              <w:pStyle w:val="97"/>
              <w:spacing w:before="120" w:after="120"/>
              <w:rPr>
                <w:rFonts w:cs="Times New Roman"/>
                <w:b w:val="0"/>
                <w:color w:val="000000" w:themeColor="text1"/>
                <w14:textFill>
                  <w14:solidFill>
                    <w14:schemeClr w14:val="tx1"/>
                  </w14:solidFill>
                </w14:textFill>
              </w:rPr>
            </w:pPr>
            <w:r>
              <w:rPr>
                <w:rFonts w:ascii="TimesNewRomanPSMT" w:hAnsi="TimesNewRomanPSMT"/>
                <w:b w:val="0"/>
              </w:rPr>
              <w:t>(</w:t>
            </w:r>
            <w:r>
              <w:rPr>
                <w:rFonts w:hint="eastAsia"/>
                <w:b w:val="0"/>
              </w:rPr>
              <w:t>涉及商业秘密，进行删除</w:t>
            </w:r>
            <w:r>
              <w:rPr>
                <w:rFonts w:ascii="TimesNewRomanPSMT" w:hAnsi="TimesNewRomanPSMT"/>
                <w:b w:val="0"/>
              </w:rPr>
              <w:t>)</w:t>
            </w:r>
          </w:p>
          <w:p w14:paraId="5B0E2F27">
            <w:pPr>
              <w:pStyle w:val="3"/>
              <w:rPr>
                <w:rFonts w:cs="Times New Roman"/>
                <w:color w:val="000000" w:themeColor="text1"/>
                <w14:textFill>
                  <w14:solidFill>
                    <w14:schemeClr w14:val="tx1"/>
                  </w14:solidFill>
                </w14:textFill>
              </w:rPr>
            </w:pPr>
            <w:bookmarkStart w:id="73" w:name="_Toc230448021"/>
            <w:bookmarkStart w:id="74" w:name="_Toc176751726"/>
            <w:r>
              <w:rPr>
                <w:rFonts w:cs="Times New Roman"/>
                <w:color w:val="000000" w:themeColor="text1"/>
                <w14:textFill>
                  <w14:solidFill>
                    <w14:schemeClr w14:val="tx1"/>
                  </w14:solidFill>
                </w14:textFill>
              </w:rPr>
              <w:t>主要原辅料及燃料种类和用量</w:t>
            </w:r>
            <w:bookmarkEnd w:id="73"/>
            <w:bookmarkEnd w:id="74"/>
          </w:p>
          <w:p w14:paraId="0D27EBBB">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企业产品方案</w:t>
            </w:r>
          </w:p>
          <w:p w14:paraId="0B1A9127">
            <w:pPr>
              <w:tabs>
                <w:tab w:val="left" w:pos="648"/>
              </w:tabs>
              <w:ind w:firstLine="480"/>
              <w:rPr>
                <w:rFonts w:cs="Times New Roman"/>
                <w:b/>
                <w:color w:val="000000" w:themeColor="text1"/>
                <w14:textFill>
                  <w14:solidFill>
                    <w14:schemeClr w14:val="tx1"/>
                  </w14:solidFill>
                </w14:textFill>
              </w:rPr>
            </w:pPr>
            <w:r>
              <w:rPr>
                <w:rFonts w:cs="Times New Roman"/>
                <w:color w:val="000000" w:themeColor="text1"/>
                <w14:textFill>
                  <w14:solidFill>
                    <w14:schemeClr w14:val="tx1"/>
                  </w14:solidFill>
                </w14:textFill>
              </w:rPr>
              <w:t>宝钢德盛目前生产产品主要有冷轧、酸洗的200系列、300系列不锈钢；冶炼产出的热轧钢卷按市场需求进一步进行冷轧、酸洗产出钢卷产品，生产产品包括黑卷和白卷不锈钢，详见下表。拟建项目为企业配套的余气、余热回收利用工程，建成投运后企业产品无变化。</w:t>
            </w:r>
          </w:p>
          <w:p w14:paraId="50565403">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产品方案一览表</w:t>
            </w:r>
          </w:p>
          <w:p w14:paraId="2FACFB45">
            <w:pPr>
              <w:pStyle w:val="351"/>
              <w:spacing w:before="120"/>
              <w:rPr>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0EEAE810">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企业主要原辅料</w:t>
            </w:r>
          </w:p>
          <w:p w14:paraId="2901A44D">
            <w:pPr>
              <w:tabs>
                <w:tab w:val="left" w:pos="648"/>
              </w:tabs>
              <w:ind w:firstLine="480"/>
              <w:rPr>
                <w:rFonts w:cs="Times New Roman"/>
                <w:b/>
                <w:color w:val="000000" w:themeColor="text1"/>
                <w14:textFill>
                  <w14:solidFill>
                    <w14:schemeClr w14:val="tx1"/>
                  </w14:solidFill>
                </w14:textFill>
              </w:rPr>
            </w:pPr>
            <w:r>
              <w:rPr>
                <w:rFonts w:cs="Times New Roman"/>
                <w:color w:val="000000" w:themeColor="text1"/>
                <w14:textFill>
                  <w14:solidFill>
                    <w14:schemeClr w14:val="tx1"/>
                  </w14:solidFill>
                </w14:textFill>
              </w:rPr>
              <w:t>镍5合金生产线主要原料为低镍红土矿、高炉返矿等，主要辅料为活性石灰、无烟煤等；产能置换生产线主要原料为铁矿石、高炉返矿、块矿、高碳铬铁等，主要辅料为蛇纹石、白云石、煤粉等。拟建项目为企业配套的余气、余热回收利用工程，建成投运后全厂主要原辅料无变化。</w:t>
            </w:r>
          </w:p>
          <w:p w14:paraId="6939CF1E">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企业主要原辅料一览表（单位：万吨/年）</w:t>
            </w:r>
          </w:p>
          <w:p w14:paraId="0130E236">
            <w:pPr>
              <w:pStyle w:val="351"/>
              <w:spacing w:before="120"/>
              <w:rPr>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5EE116BD">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拟建项目主要燃料种类和用量</w:t>
            </w:r>
          </w:p>
          <w:p w14:paraId="1FC9625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项目煤气取自高炉、转炉煤气总管，煤气混合之后送至发电厂。燃烧的高炉煤气来自企业现有炼铁工序高炉系统，转炉煤气来自企业现有炼钢工序转炉系统，高炉煤气供气量为8.8万m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/h，转炉煤气供气量为1.6万m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/h，上述混合煤气折算为高炉煤气量为11.3万m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/h；焦炉煤气仅作点火使用，供气量为738万m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/a，其来源于宝钢德胜能源公司。高炉煤气、高炉煤气及焦炉煤气成分分析见下表。</w:t>
            </w:r>
          </w:p>
          <w:p w14:paraId="4F520250">
            <w:pPr>
              <w:ind w:firstLine="0" w:firstLineChars="0"/>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表</w:t>
            </w:r>
            <w:r>
              <w:rPr>
                <w:rFonts w:cs="Times New Roman"/>
                <w:b/>
                <w:color w:val="000000" w:themeColor="text1"/>
                <w14:textFill>
                  <w14:solidFill>
                    <w14:schemeClr w14:val="tx1"/>
                  </w14:solidFill>
                </w14:textFill>
              </w:rPr>
              <w:fldChar w:fldCharType="begin"/>
            </w:r>
            <w:r>
              <w:rPr>
                <w:rFonts w:cs="Times New Roman"/>
                <w:b/>
                <w:color w:val="000000" w:themeColor="text1"/>
                <w14:textFill>
                  <w14:solidFill>
                    <w14:schemeClr w14:val="tx1"/>
                  </w14:solidFill>
                </w14:textFill>
              </w:rPr>
              <w:instrText xml:space="preserve"> STYLEREF 2 \s </w:instrText>
            </w:r>
            <w:r>
              <w:rPr>
                <w:rFonts w:cs="Times New Roman"/>
                <w:b/>
                <w:color w:val="000000" w:themeColor="text1"/>
                <w14:textFill>
                  <w14:solidFill>
                    <w14:schemeClr w14:val="tx1"/>
                  </w14:solidFill>
                </w14:textFill>
              </w:rPr>
              <w:fldChar w:fldCharType="separate"/>
            </w:r>
            <w:r>
              <w:rPr>
                <w:rFonts w:cs="Times New Roman"/>
                <w:b/>
                <w:color w:val="000000" w:themeColor="text1"/>
                <w14:textFill>
                  <w14:solidFill>
                    <w14:schemeClr w14:val="tx1"/>
                  </w14:solidFill>
                </w14:textFill>
              </w:rPr>
              <w:t>2.4</w:t>
            </w:r>
            <w:r>
              <w:rPr>
                <w:rFonts w:cs="Times New Roman"/>
                <w:b/>
                <w:color w:val="000000" w:themeColor="text1"/>
                <w14:textFill>
                  <w14:solidFill>
                    <w14:schemeClr w14:val="tx1"/>
                  </w14:solidFill>
                </w14:textFill>
              </w:rPr>
              <w:fldChar w:fldCharType="end"/>
            </w:r>
            <w:r>
              <w:rPr>
                <w:rFonts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fldChar w:fldCharType="begin"/>
            </w:r>
            <w:r>
              <w:rPr>
                <w:rFonts w:cs="Times New Roman"/>
                <w:b/>
                <w:color w:val="000000" w:themeColor="text1"/>
                <w14:textFill>
                  <w14:solidFill>
                    <w14:schemeClr w14:val="tx1"/>
                  </w14:solidFill>
                </w14:textFill>
              </w:rPr>
              <w:instrText xml:space="preserve"> SEQ 表 \* ARABIC \s 2 </w:instrText>
            </w:r>
            <w:r>
              <w:rPr>
                <w:rFonts w:cs="Times New Roman"/>
                <w:b/>
                <w:color w:val="000000" w:themeColor="text1"/>
                <w14:textFill>
                  <w14:solidFill>
                    <w14:schemeClr w14:val="tx1"/>
                  </w14:solidFill>
                </w14:textFill>
              </w:rPr>
              <w:fldChar w:fldCharType="separate"/>
            </w:r>
            <w:r>
              <w:rPr>
                <w:rFonts w:cs="Times New Roman"/>
                <w:b/>
                <w:color w:val="000000" w:themeColor="text1"/>
                <w14:textFill>
                  <w14:solidFill>
                    <w14:schemeClr w14:val="tx1"/>
                  </w14:solidFill>
                </w14:textFill>
              </w:rPr>
              <w:t>3</w:t>
            </w:r>
            <w:r>
              <w:rPr>
                <w:rFonts w:cs="Times New Roman"/>
                <w:b/>
                <w:color w:val="000000" w:themeColor="text1"/>
                <w14:textFill>
                  <w14:solidFill>
                    <w14:schemeClr w14:val="tx1"/>
                  </w14:solidFill>
                </w14:textFill>
              </w:rPr>
              <w:fldChar w:fldCharType="end"/>
            </w:r>
            <w:r>
              <w:rPr>
                <w:rFonts w:cs="Times New Roman"/>
                <w:b/>
                <w:color w:val="000000" w:themeColor="text1"/>
                <w14:textFill>
                  <w14:solidFill>
                    <w14:schemeClr w14:val="tx1"/>
                  </w14:solidFill>
                </w14:textFill>
              </w:rPr>
              <w:t xml:space="preserve"> 高炉和转炉混合煤气基础参数一览表</w:t>
            </w:r>
          </w:p>
          <w:tbl>
            <w:tblPr>
              <w:tblStyle w:val="46"/>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960"/>
              <w:gridCol w:w="988"/>
              <w:gridCol w:w="935"/>
              <w:gridCol w:w="935"/>
              <w:gridCol w:w="935"/>
              <w:gridCol w:w="966"/>
              <w:gridCol w:w="879"/>
              <w:gridCol w:w="879"/>
            </w:tblGrid>
            <w:tr w14:paraId="4F9C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18" w:type="dxa"/>
                  <w:vAlign w:val="center"/>
                </w:tcPr>
                <w:p w14:paraId="79B148D6">
                  <w:pPr>
                    <w:pStyle w:val="90"/>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960" w:type="dxa"/>
                  <w:vAlign w:val="center"/>
                </w:tcPr>
                <w:p w14:paraId="30A4A4AD">
                  <w:pPr>
                    <w:pStyle w:val="90"/>
                    <w:rPr>
                      <w:color w:val="000000" w:themeColor="text1"/>
                      <w14:textFill>
                        <w14:solidFill>
                          <w14:schemeClr w14:val="tx1"/>
                        </w14:solidFill>
                      </w14:textFill>
                    </w:rPr>
                  </w:pPr>
                  <w:r>
                    <w:rPr>
                      <w:color w:val="000000" w:themeColor="text1"/>
                      <w14:textFill>
                        <w14:solidFill>
                          <w14:schemeClr w14:val="tx1"/>
                        </w14:solidFill>
                      </w14:textFill>
                    </w:rPr>
                    <w:t>CO(%)</w:t>
                  </w:r>
                </w:p>
              </w:tc>
              <w:tc>
                <w:tcPr>
                  <w:tcW w:w="988" w:type="dxa"/>
                  <w:vAlign w:val="center"/>
                </w:tcPr>
                <w:p w14:paraId="315DBEC6">
                  <w:pPr>
                    <w:pStyle w:val="90"/>
                    <w:rPr>
                      <w:color w:val="000000" w:themeColor="text1"/>
                      <w14:textFill>
                        <w14:solidFill>
                          <w14:schemeClr w14:val="tx1"/>
                        </w14:solidFill>
                      </w14:textFill>
                    </w:rPr>
                  </w:pP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p>
              </w:tc>
              <w:tc>
                <w:tcPr>
                  <w:tcW w:w="935" w:type="dxa"/>
                  <w:vAlign w:val="center"/>
                </w:tcPr>
                <w:p w14:paraId="4CCF806A">
                  <w:pPr>
                    <w:pStyle w:val="90"/>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p>
              </w:tc>
              <w:tc>
                <w:tcPr>
                  <w:tcW w:w="935" w:type="dxa"/>
                  <w:vAlign w:val="center"/>
                </w:tcPr>
                <w:p w14:paraId="5EE22B7D">
                  <w:pPr>
                    <w:pStyle w:val="9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p>
              </w:tc>
              <w:tc>
                <w:tcPr>
                  <w:tcW w:w="935" w:type="dxa"/>
                  <w:vAlign w:val="center"/>
                </w:tcPr>
                <w:p w14:paraId="1143A298">
                  <w:pPr>
                    <w:pStyle w:val="90"/>
                    <w:rPr>
                      <w:color w:val="000000" w:themeColor="text1"/>
                      <w14:textFill>
                        <w14:solidFill>
                          <w14:schemeClr w14:val="tx1"/>
                        </w14:solidFill>
                      </w14:textFill>
                    </w:rPr>
                  </w:pPr>
                  <w:r>
                    <w:rPr>
                      <w:color w:val="000000" w:themeColor="text1"/>
                      <w14:textFill>
                        <w14:solidFill>
                          <w14:schemeClr w14:val="tx1"/>
                        </w14:solidFill>
                      </w14:textFill>
                    </w:rPr>
                    <w:t>N</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p>
              </w:tc>
              <w:tc>
                <w:tcPr>
                  <w:tcW w:w="966" w:type="dxa"/>
                  <w:vAlign w:val="center"/>
                </w:tcPr>
                <w:p w14:paraId="30E9141E">
                  <w:pPr>
                    <w:pStyle w:val="90"/>
                    <w:rPr>
                      <w:color w:val="000000" w:themeColor="text1"/>
                      <w14:textFill>
                        <w14:solidFill>
                          <w14:schemeClr w14:val="tx1"/>
                        </w14:solidFill>
                      </w14:textFill>
                    </w:rPr>
                  </w:pPr>
                  <w:r>
                    <w:rPr>
                      <w:color w:val="000000" w:themeColor="text1"/>
                      <w14:textFill>
                        <w14:solidFill>
                          <w14:schemeClr w14:val="tx1"/>
                        </w14:solidFill>
                      </w14:textFill>
                    </w:rPr>
                    <w:t>压力（kPa）</w:t>
                  </w:r>
                </w:p>
              </w:tc>
              <w:tc>
                <w:tcPr>
                  <w:tcW w:w="879" w:type="dxa"/>
                  <w:vAlign w:val="center"/>
                </w:tcPr>
                <w:p w14:paraId="05ED94D7">
                  <w:pPr>
                    <w:pStyle w:val="90"/>
                    <w:rPr>
                      <w:color w:val="000000" w:themeColor="text1"/>
                      <w14:textFill>
                        <w14:solidFill>
                          <w14:schemeClr w14:val="tx1"/>
                        </w14:solidFill>
                      </w14:textFill>
                    </w:rPr>
                  </w:pPr>
                  <w:r>
                    <w:rPr>
                      <w:color w:val="000000" w:themeColor="text1"/>
                      <w14:textFill>
                        <w14:solidFill>
                          <w14:schemeClr w14:val="tx1"/>
                        </w14:solidFill>
                      </w14:textFill>
                    </w:rPr>
                    <w:t>温度（℃）</w:t>
                  </w:r>
                </w:p>
              </w:tc>
              <w:tc>
                <w:tcPr>
                  <w:tcW w:w="879" w:type="dxa"/>
                  <w:vAlign w:val="center"/>
                </w:tcPr>
                <w:p w14:paraId="0ED43309">
                  <w:pPr>
                    <w:pStyle w:val="90"/>
                    <w:rPr>
                      <w:color w:val="000000" w:themeColor="text1"/>
                      <w14:textFill>
                        <w14:solidFill>
                          <w14:schemeClr w14:val="tx1"/>
                        </w14:solidFill>
                      </w14:textFill>
                    </w:rPr>
                  </w:pPr>
                  <w:r>
                    <w:rPr>
                      <w:color w:val="000000" w:themeColor="text1"/>
                      <w14:textFill>
                        <w14:solidFill>
                          <w14:schemeClr w14:val="tx1"/>
                        </w14:solidFill>
                      </w14:textFill>
                    </w:rPr>
                    <w:t>低位热值kJ/Nm</w:t>
                  </w:r>
                  <w:r>
                    <w:rPr>
                      <w:color w:val="000000" w:themeColor="text1"/>
                      <w:vertAlign w:val="superscript"/>
                      <w14:textFill>
                        <w14:solidFill>
                          <w14:schemeClr w14:val="tx1"/>
                        </w14:solidFill>
                      </w14:textFill>
                    </w:rPr>
                    <w:t>3</w:t>
                  </w:r>
                </w:p>
              </w:tc>
            </w:tr>
            <w:tr w14:paraId="0FD2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18" w:type="dxa"/>
                  <w:vAlign w:val="center"/>
                </w:tcPr>
                <w:p w14:paraId="6198E33A">
                  <w:pPr>
                    <w:pStyle w:val="90"/>
                    <w:rPr>
                      <w:color w:val="000000" w:themeColor="text1"/>
                      <w14:textFill>
                        <w14:solidFill>
                          <w14:schemeClr w14:val="tx1"/>
                        </w14:solidFill>
                      </w14:textFill>
                    </w:rPr>
                  </w:pPr>
                  <w:r>
                    <w:rPr>
                      <w:color w:val="000000" w:themeColor="text1"/>
                      <w14:textFill>
                        <w14:solidFill>
                          <w14:schemeClr w14:val="tx1"/>
                        </w14:solidFill>
                      </w14:textFill>
                    </w:rPr>
                    <w:t>高炉煤气</w:t>
                  </w:r>
                </w:p>
              </w:tc>
              <w:tc>
                <w:tcPr>
                  <w:tcW w:w="960" w:type="dxa"/>
                  <w:vAlign w:val="center"/>
                </w:tcPr>
                <w:p w14:paraId="428F67E1">
                  <w:pPr>
                    <w:pStyle w:val="90"/>
                    <w:rPr>
                      <w:color w:val="000000" w:themeColor="text1"/>
                      <w14:textFill>
                        <w14:solidFill>
                          <w14:schemeClr w14:val="tx1"/>
                        </w14:solidFill>
                      </w14:textFill>
                    </w:rPr>
                  </w:pPr>
                  <w:r>
                    <w:rPr>
                      <w:color w:val="000000" w:themeColor="text1"/>
                      <w14:textFill>
                        <w14:solidFill>
                          <w14:schemeClr w14:val="tx1"/>
                        </w14:solidFill>
                      </w14:textFill>
                    </w:rPr>
                    <w:t>26.4</w:t>
                  </w:r>
                </w:p>
              </w:tc>
              <w:tc>
                <w:tcPr>
                  <w:tcW w:w="988" w:type="dxa"/>
                  <w:vAlign w:val="center"/>
                </w:tcPr>
                <w:p w14:paraId="7AAE9586">
                  <w:pPr>
                    <w:pStyle w:val="90"/>
                    <w:rPr>
                      <w:color w:val="000000" w:themeColor="text1"/>
                      <w14:textFill>
                        <w14:solidFill>
                          <w14:schemeClr w14:val="tx1"/>
                        </w14:solidFill>
                      </w14:textFill>
                    </w:rPr>
                  </w:pPr>
                  <w:r>
                    <w:rPr>
                      <w:color w:val="000000" w:themeColor="text1"/>
                      <w14:textFill>
                        <w14:solidFill>
                          <w14:schemeClr w14:val="tx1"/>
                        </w14:solidFill>
                      </w14:textFill>
                    </w:rPr>
                    <w:t>19.2</w:t>
                  </w:r>
                </w:p>
              </w:tc>
              <w:tc>
                <w:tcPr>
                  <w:tcW w:w="935" w:type="dxa"/>
                  <w:vAlign w:val="center"/>
                </w:tcPr>
                <w:p w14:paraId="3A94EFE8">
                  <w:pPr>
                    <w:pStyle w:val="90"/>
                    <w:rPr>
                      <w:color w:val="000000" w:themeColor="text1"/>
                      <w14:textFill>
                        <w14:solidFill>
                          <w14:schemeClr w14:val="tx1"/>
                        </w14:solidFill>
                      </w14:textFill>
                    </w:rPr>
                  </w:pPr>
                  <w:r>
                    <w:rPr>
                      <w:color w:val="000000" w:themeColor="text1"/>
                      <w14:textFill>
                        <w14:solidFill>
                          <w14:schemeClr w14:val="tx1"/>
                        </w14:solidFill>
                      </w14:textFill>
                    </w:rPr>
                    <w:t>0.4</w:t>
                  </w:r>
                </w:p>
              </w:tc>
              <w:tc>
                <w:tcPr>
                  <w:tcW w:w="935" w:type="dxa"/>
                  <w:vAlign w:val="center"/>
                </w:tcPr>
                <w:p w14:paraId="79DAF855">
                  <w:pPr>
                    <w:pStyle w:val="90"/>
                    <w:rPr>
                      <w:color w:val="000000" w:themeColor="text1"/>
                      <w14:textFill>
                        <w14:solidFill>
                          <w14:schemeClr w14:val="tx1"/>
                        </w14:solidFill>
                      </w14:textFill>
                    </w:rPr>
                  </w:pPr>
                  <w:r>
                    <w:rPr>
                      <w:color w:val="000000" w:themeColor="text1"/>
                      <w14:textFill>
                        <w14:solidFill>
                          <w14:schemeClr w14:val="tx1"/>
                        </w14:solidFill>
                      </w14:textFill>
                    </w:rPr>
                    <w:t>2.3</w:t>
                  </w:r>
                </w:p>
              </w:tc>
              <w:tc>
                <w:tcPr>
                  <w:tcW w:w="935" w:type="dxa"/>
                  <w:vAlign w:val="center"/>
                </w:tcPr>
                <w:p w14:paraId="60B3C740">
                  <w:pPr>
                    <w:pStyle w:val="90"/>
                    <w:rPr>
                      <w:color w:val="000000" w:themeColor="text1"/>
                      <w14:textFill>
                        <w14:solidFill>
                          <w14:schemeClr w14:val="tx1"/>
                        </w14:solidFill>
                      </w14:textFill>
                    </w:rPr>
                  </w:pPr>
                  <w:r>
                    <w:rPr>
                      <w:color w:val="000000" w:themeColor="text1"/>
                      <w14:textFill>
                        <w14:solidFill>
                          <w14:schemeClr w14:val="tx1"/>
                        </w14:solidFill>
                      </w14:textFill>
                    </w:rPr>
                    <w:t>51.7</w:t>
                  </w:r>
                </w:p>
              </w:tc>
              <w:tc>
                <w:tcPr>
                  <w:tcW w:w="966" w:type="dxa"/>
                  <w:vAlign w:val="center"/>
                </w:tcPr>
                <w:p w14:paraId="65F02A50">
                  <w:pPr>
                    <w:pStyle w:val="90"/>
                    <w:rPr>
                      <w:color w:val="000000" w:themeColor="text1"/>
                      <w14:textFill>
                        <w14:solidFill>
                          <w14:schemeClr w14:val="tx1"/>
                        </w14:solidFill>
                      </w14:textFill>
                    </w:rPr>
                  </w:pPr>
                  <w:r>
                    <w:rPr>
                      <w:color w:val="000000" w:themeColor="text1"/>
                      <w14:textFill>
                        <w14:solidFill>
                          <w14:schemeClr w14:val="tx1"/>
                        </w14:solidFill>
                      </w14:textFill>
                    </w:rPr>
                    <w:t>~8</w:t>
                  </w:r>
                </w:p>
              </w:tc>
              <w:tc>
                <w:tcPr>
                  <w:tcW w:w="879" w:type="dxa"/>
                  <w:vAlign w:val="center"/>
                </w:tcPr>
                <w:p w14:paraId="031E6555">
                  <w:pPr>
                    <w:pStyle w:val="90"/>
                    <w:rPr>
                      <w:color w:val="000000" w:themeColor="text1"/>
                      <w14:textFill>
                        <w14:solidFill>
                          <w14:schemeClr w14:val="tx1"/>
                        </w14:solidFill>
                      </w14:textFill>
                    </w:rPr>
                  </w:pPr>
                  <w:r>
                    <w:rPr>
                      <w:color w:val="000000" w:themeColor="text1"/>
                      <w14:textFill>
                        <w14:solidFill>
                          <w14:schemeClr w14:val="tx1"/>
                        </w14:solidFill>
                      </w14:textFill>
                    </w:rPr>
                    <w:t>常温</w:t>
                  </w:r>
                </w:p>
              </w:tc>
              <w:tc>
                <w:tcPr>
                  <w:tcW w:w="879" w:type="dxa"/>
                  <w:vAlign w:val="center"/>
                </w:tcPr>
                <w:p w14:paraId="56EC1EF7">
                  <w:pPr>
                    <w:pStyle w:val="90"/>
                    <w:rPr>
                      <w:color w:val="000000" w:themeColor="text1"/>
                      <w14:textFill>
                        <w14:solidFill>
                          <w14:schemeClr w14:val="tx1"/>
                        </w14:solidFill>
                      </w14:textFill>
                    </w:rPr>
                  </w:pPr>
                  <w:r>
                    <w:rPr>
                      <w:color w:val="000000" w:themeColor="text1"/>
                      <w14:textFill>
                        <w14:solidFill>
                          <w14:schemeClr w14:val="tx1"/>
                        </w14:solidFill>
                      </w14:textFill>
                    </w:rPr>
                    <w:t>3587</w:t>
                  </w:r>
                </w:p>
              </w:tc>
            </w:tr>
          </w:tbl>
          <w:p w14:paraId="3D504674">
            <w:pPr>
              <w:pStyle w:val="351"/>
              <w:spacing w:before="120"/>
              <w:rPr>
                <w:color w:val="000000" w:themeColor="text1"/>
                <w:spacing w:val="-16"/>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spacing w:val="-16"/>
                <w14:textFill>
                  <w14:solidFill>
                    <w14:schemeClr w14:val="tx1"/>
                  </w14:solidFill>
                </w14:textFill>
              </w:rPr>
              <w:t xml:space="preserve">  工况下煤气消耗量一览表</w:t>
            </w:r>
          </w:p>
          <w:tbl>
            <w:tblPr>
              <w:tblStyle w:val="46"/>
              <w:tblW w:w="498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79"/>
              <w:gridCol w:w="1322"/>
              <w:gridCol w:w="2441"/>
              <w:gridCol w:w="2276"/>
            </w:tblGrid>
            <w:tr w14:paraId="75A8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8" w:hRule="atLeast"/>
                <w:tblHeader/>
                <w:jc w:val="center"/>
              </w:trPr>
              <w:tc>
                <w:tcPr>
                  <w:tcW w:w="1280" w:type="pct"/>
                  <w:vAlign w:val="center"/>
                </w:tcPr>
                <w:p w14:paraId="45AE875E">
                  <w:pPr>
                    <w:pStyle w:val="90"/>
                    <w:rPr>
                      <w:color w:val="000000" w:themeColor="text1"/>
                      <w14:textFill>
                        <w14:solidFill>
                          <w14:schemeClr w14:val="tx1"/>
                        </w14:solidFill>
                      </w14:textFill>
                    </w:rPr>
                  </w:pPr>
                  <w:r>
                    <w:rPr>
                      <w:color w:val="000000" w:themeColor="text1"/>
                      <w14:textFill>
                        <w14:solidFill>
                          <w14:schemeClr w14:val="tx1"/>
                        </w14:solidFill>
                      </w14:textFill>
                    </w:rPr>
                    <w:t>耗气量</w:t>
                  </w:r>
                </w:p>
              </w:tc>
              <w:tc>
                <w:tcPr>
                  <w:tcW w:w="814" w:type="pct"/>
                  <w:vAlign w:val="center"/>
                </w:tcPr>
                <w:p w14:paraId="29F3BAAB">
                  <w:pPr>
                    <w:pStyle w:val="90"/>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503" w:type="pct"/>
                  <w:vAlign w:val="center"/>
                </w:tcPr>
                <w:p w14:paraId="5377C5B0">
                  <w:pPr>
                    <w:pStyle w:val="90"/>
                    <w:rPr>
                      <w:color w:val="000000" w:themeColor="text1"/>
                      <w14:textFill>
                        <w14:solidFill>
                          <w14:schemeClr w14:val="tx1"/>
                        </w14:solidFill>
                      </w14:textFill>
                    </w:rPr>
                  </w:pPr>
                  <w:r>
                    <w:rPr>
                      <w:color w:val="000000" w:themeColor="text1"/>
                      <w14:textFill>
                        <w14:solidFill>
                          <w14:schemeClr w14:val="tx1"/>
                        </w14:solidFill>
                      </w14:textFill>
                    </w:rPr>
                    <w:t>BMCR</w:t>
                  </w:r>
                </w:p>
              </w:tc>
              <w:tc>
                <w:tcPr>
                  <w:tcW w:w="1401" w:type="pct"/>
                  <w:vAlign w:val="center"/>
                </w:tcPr>
                <w:p w14:paraId="2D407AC5">
                  <w:pPr>
                    <w:pStyle w:val="90"/>
                    <w:rPr>
                      <w:color w:val="000000" w:themeColor="text1"/>
                      <w14:textFill>
                        <w14:solidFill>
                          <w14:schemeClr w14:val="tx1"/>
                        </w14:solidFill>
                      </w14:textFill>
                    </w:rPr>
                  </w:pPr>
                  <w:r>
                    <w:rPr>
                      <w:color w:val="000000" w:themeColor="text1"/>
                      <w14:textFill>
                        <w14:solidFill>
                          <w14:schemeClr w14:val="tx1"/>
                        </w14:solidFill>
                      </w14:textFill>
                    </w:rPr>
                    <w:t>THA</w:t>
                  </w:r>
                </w:p>
              </w:tc>
            </w:tr>
            <w:tr w14:paraId="23D8D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0" w:type="pct"/>
                  <w:vAlign w:val="center"/>
                </w:tcPr>
                <w:p w14:paraId="6F38943F">
                  <w:pPr>
                    <w:pStyle w:val="90"/>
                    <w:rPr>
                      <w:color w:val="000000" w:themeColor="text1"/>
                      <w14:textFill>
                        <w14:solidFill>
                          <w14:schemeClr w14:val="tx1"/>
                        </w14:solidFill>
                      </w14:textFill>
                    </w:rPr>
                  </w:pPr>
                  <w:r>
                    <w:rPr>
                      <w:color w:val="000000" w:themeColor="text1"/>
                      <w14:textFill>
                        <w14:solidFill>
                          <w14:schemeClr w14:val="tx1"/>
                        </w14:solidFill>
                      </w14:textFill>
                    </w:rPr>
                    <w:t>小时耗气量</w:t>
                  </w:r>
                </w:p>
              </w:tc>
              <w:tc>
                <w:tcPr>
                  <w:tcW w:w="814" w:type="pct"/>
                  <w:vAlign w:val="center"/>
                </w:tcPr>
                <w:p w14:paraId="4AB62D74">
                  <w:pPr>
                    <w:pStyle w:val="90"/>
                    <w:rPr>
                      <w:color w:val="000000" w:themeColor="text1"/>
                      <w14:textFill>
                        <w14:solidFill>
                          <w14:schemeClr w14:val="tx1"/>
                        </w14:solidFill>
                      </w14:textFill>
                    </w:rPr>
                  </w:pP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1503" w:type="pct"/>
                  <w:vAlign w:val="center"/>
                </w:tcPr>
                <w:p w14:paraId="40AB78A5">
                  <w:pPr>
                    <w:pStyle w:val="90"/>
                    <w:rPr>
                      <w:color w:val="000000" w:themeColor="text1"/>
                      <w14:textFill>
                        <w14:solidFill>
                          <w14:schemeClr w14:val="tx1"/>
                        </w14:solidFill>
                      </w14:textFill>
                    </w:rPr>
                  </w:pPr>
                  <w:r>
                    <w:rPr>
                      <w:color w:val="000000" w:themeColor="text1"/>
                      <w14:textFill>
                        <w14:solidFill>
                          <w14:schemeClr w14:val="tx1"/>
                        </w14:solidFill>
                      </w14:textFill>
                    </w:rPr>
                    <w:t>11.3</w:t>
                  </w:r>
                </w:p>
              </w:tc>
              <w:tc>
                <w:tcPr>
                  <w:tcW w:w="1401" w:type="pct"/>
                  <w:vAlign w:val="center"/>
                </w:tcPr>
                <w:p w14:paraId="175EF03F">
                  <w:pPr>
                    <w:pStyle w:val="90"/>
                    <w:rPr>
                      <w:color w:val="000000" w:themeColor="text1"/>
                      <w14:textFill>
                        <w14:solidFill>
                          <w14:schemeClr w14:val="tx1"/>
                        </w14:solidFill>
                      </w14:textFill>
                    </w:rPr>
                  </w:pPr>
                  <w:r>
                    <w:rPr>
                      <w:color w:val="000000" w:themeColor="text1"/>
                      <w14:textFill>
                        <w14:solidFill>
                          <w14:schemeClr w14:val="tx1"/>
                        </w14:solidFill>
                      </w14:textFill>
                    </w:rPr>
                    <w:t>154110</w:t>
                  </w:r>
                </w:p>
              </w:tc>
            </w:tr>
            <w:tr w14:paraId="4B0E9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0" w:type="pct"/>
                  <w:vAlign w:val="center"/>
                </w:tcPr>
                <w:p w14:paraId="1BC23858">
                  <w:pPr>
                    <w:pStyle w:val="90"/>
                    <w:rPr>
                      <w:color w:val="000000" w:themeColor="text1"/>
                      <w14:textFill>
                        <w14:solidFill>
                          <w14:schemeClr w14:val="tx1"/>
                        </w14:solidFill>
                      </w14:textFill>
                    </w:rPr>
                  </w:pPr>
                  <w:r>
                    <w:rPr>
                      <w:color w:val="000000" w:themeColor="text1"/>
                      <w14:textFill>
                        <w14:solidFill>
                          <w14:schemeClr w14:val="tx1"/>
                        </w14:solidFill>
                      </w14:textFill>
                    </w:rPr>
                    <w:t>日耗气量（按24h）</w:t>
                  </w:r>
                </w:p>
              </w:tc>
              <w:tc>
                <w:tcPr>
                  <w:tcW w:w="814" w:type="pct"/>
                  <w:vAlign w:val="center"/>
                </w:tcPr>
                <w:p w14:paraId="456C4514">
                  <w:pPr>
                    <w:pStyle w:val="90"/>
                    <w:rPr>
                      <w:color w:val="000000" w:themeColor="text1"/>
                      <w14:textFill>
                        <w14:solidFill>
                          <w14:schemeClr w14:val="tx1"/>
                        </w14:solidFill>
                      </w14:textFill>
                    </w:rPr>
                  </w:pP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03" w:type="pct"/>
                  <w:vAlign w:val="center"/>
                </w:tcPr>
                <w:p w14:paraId="30895494">
                  <w:pPr>
                    <w:pStyle w:val="90"/>
                    <w:rPr>
                      <w:color w:val="000000" w:themeColor="text1"/>
                      <w14:textFill>
                        <w14:solidFill>
                          <w14:schemeClr w14:val="tx1"/>
                        </w14:solidFill>
                      </w14:textFill>
                    </w:rPr>
                  </w:pPr>
                  <w:r>
                    <w:rPr>
                      <w:color w:val="000000" w:themeColor="text1"/>
                      <w14:textFill>
                        <w14:solidFill>
                          <w14:schemeClr w14:val="tx1"/>
                        </w14:solidFill>
                      </w14:textFill>
                    </w:rPr>
                    <w:t>271.2</w:t>
                  </w:r>
                </w:p>
              </w:tc>
              <w:tc>
                <w:tcPr>
                  <w:tcW w:w="1401" w:type="pct"/>
                  <w:vAlign w:val="center"/>
                </w:tcPr>
                <w:p w14:paraId="3DD3CB0A">
                  <w:pPr>
                    <w:pStyle w:val="90"/>
                    <w:rPr>
                      <w:color w:val="000000" w:themeColor="text1"/>
                      <w14:textFill>
                        <w14:solidFill>
                          <w14:schemeClr w14:val="tx1"/>
                        </w14:solidFill>
                      </w14:textFill>
                    </w:rPr>
                  </w:pPr>
                  <w:r>
                    <w:rPr>
                      <w:color w:val="000000" w:themeColor="text1"/>
                      <w14:textFill>
                        <w14:solidFill>
                          <w14:schemeClr w14:val="tx1"/>
                        </w14:solidFill>
                      </w14:textFill>
                    </w:rPr>
                    <w:t>370</w:t>
                  </w:r>
                </w:p>
              </w:tc>
            </w:tr>
            <w:tr w14:paraId="43D00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0" w:type="pct"/>
                  <w:vAlign w:val="center"/>
                </w:tcPr>
                <w:p w14:paraId="29CBA201">
                  <w:pPr>
                    <w:pStyle w:val="90"/>
                    <w:rPr>
                      <w:color w:val="000000" w:themeColor="text1"/>
                      <w14:textFill>
                        <w14:solidFill>
                          <w14:schemeClr w14:val="tx1"/>
                        </w14:solidFill>
                      </w14:textFill>
                    </w:rPr>
                  </w:pPr>
                  <w:r>
                    <w:rPr>
                      <w:color w:val="000000" w:themeColor="text1"/>
                      <w14:textFill>
                        <w14:solidFill>
                          <w14:schemeClr w14:val="tx1"/>
                        </w14:solidFill>
                      </w14:textFill>
                    </w:rPr>
                    <w:t>年耗气量（按8200h）</w:t>
                  </w:r>
                </w:p>
              </w:tc>
              <w:tc>
                <w:tcPr>
                  <w:tcW w:w="814" w:type="pct"/>
                  <w:vAlign w:val="center"/>
                </w:tcPr>
                <w:p w14:paraId="31E6C264">
                  <w:pPr>
                    <w:pStyle w:val="90"/>
                    <w:rPr>
                      <w:color w:val="000000" w:themeColor="text1"/>
                      <w14:textFill>
                        <w14:solidFill>
                          <w14:schemeClr w14:val="tx1"/>
                        </w14:solidFill>
                      </w14:textFill>
                    </w:rPr>
                  </w:pP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8</w:t>
                  </w:r>
                  <w:r>
                    <w:rPr>
                      <w:color w:val="000000" w:themeColor="text1"/>
                      <w14:textFill>
                        <w14:solidFill>
                          <w14:schemeClr w14:val="tx1"/>
                        </w14:solidFill>
                      </w14:textFill>
                    </w:rPr>
                    <w:t>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1503" w:type="pct"/>
                  <w:vAlign w:val="center"/>
                </w:tcPr>
                <w:p w14:paraId="605ADAD9">
                  <w:pPr>
                    <w:pStyle w:val="90"/>
                    <w:rPr>
                      <w:color w:val="000000" w:themeColor="text1"/>
                      <w14:textFill>
                        <w14:solidFill>
                          <w14:schemeClr w14:val="tx1"/>
                        </w14:solidFill>
                      </w14:textFill>
                    </w:rPr>
                  </w:pPr>
                  <w:r>
                    <w:rPr>
                      <w:color w:val="000000" w:themeColor="text1"/>
                      <w14:textFill>
                        <w14:solidFill>
                          <w14:schemeClr w14:val="tx1"/>
                        </w14:solidFill>
                      </w14:textFill>
                    </w:rPr>
                    <w:t>9.266</w:t>
                  </w:r>
                </w:p>
              </w:tc>
              <w:tc>
                <w:tcPr>
                  <w:tcW w:w="1401" w:type="pct"/>
                  <w:vAlign w:val="center"/>
                </w:tcPr>
                <w:p w14:paraId="5FF8AE0E">
                  <w:pPr>
                    <w:pStyle w:val="90"/>
                    <w:rPr>
                      <w:color w:val="000000" w:themeColor="text1"/>
                      <w14:textFill>
                        <w14:solidFill>
                          <w14:schemeClr w14:val="tx1"/>
                        </w14:solidFill>
                      </w14:textFill>
                    </w:rPr>
                  </w:pPr>
                  <w:r>
                    <w:rPr>
                      <w:color w:val="000000" w:themeColor="text1"/>
                      <w14:textFill>
                        <w14:solidFill>
                          <w14:schemeClr w14:val="tx1"/>
                        </w14:solidFill>
                      </w14:textFill>
                    </w:rPr>
                    <w:t>12.33</w:t>
                  </w:r>
                </w:p>
              </w:tc>
            </w:tr>
          </w:tbl>
          <w:p w14:paraId="302E1755">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拟建项目余热蒸汽种类和用量</w:t>
            </w:r>
          </w:p>
          <w:p w14:paraId="3774E78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项目利用富余余热包括主蒸汽与补汽蒸汽发电，主要来自镍5生产线带冷机余热锅炉和大烟道余热锅炉的蒸汽、产能置换生产线烧结大烟道、炼钢工序等富余饱和蒸汽，具体见下表。</w:t>
            </w:r>
          </w:p>
          <w:p w14:paraId="328D8552">
            <w:pPr>
              <w:pStyle w:val="351"/>
              <w:spacing w:before="120"/>
              <w:rPr>
                <w:color w:val="000000" w:themeColor="text1"/>
                <w:spacing w:val="-16"/>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spacing w:val="-16"/>
                <w14:textFill>
                  <w14:solidFill>
                    <w14:schemeClr w14:val="tx1"/>
                  </w14:solidFill>
                </w14:textFill>
              </w:rPr>
              <w:t xml:space="preserve">  </w:t>
            </w:r>
            <w:r>
              <w:rPr>
                <w:color w:val="000000" w:themeColor="text1"/>
                <w14:textFill>
                  <w14:solidFill>
                    <w14:schemeClr w14:val="tx1"/>
                  </w14:solidFill>
                </w14:textFill>
              </w:rPr>
              <w:t>余热蒸汽</w:t>
            </w:r>
            <w:r>
              <w:rPr>
                <w:color w:val="000000" w:themeColor="text1"/>
                <w:spacing w:val="-16"/>
                <w14:textFill>
                  <w14:solidFill>
                    <w14:schemeClr w14:val="tx1"/>
                  </w14:solidFill>
                </w14:textFill>
              </w:rPr>
              <w:t>消耗量一览表</w:t>
            </w:r>
          </w:p>
          <w:tbl>
            <w:tblPr>
              <w:tblStyle w:val="46"/>
              <w:tblW w:w="492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71"/>
              <w:gridCol w:w="1257"/>
              <w:gridCol w:w="1746"/>
              <w:gridCol w:w="1033"/>
              <w:gridCol w:w="986"/>
              <w:gridCol w:w="985"/>
              <w:gridCol w:w="1538"/>
            </w:tblGrid>
            <w:tr w14:paraId="74770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6" w:type="pct"/>
                  <w:vAlign w:val="center"/>
                </w:tcPr>
                <w:p w14:paraId="35E92AD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796" w:type="pct"/>
                  <w:vAlign w:val="center"/>
                </w:tcPr>
                <w:p w14:paraId="2F52B4C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类别</w:t>
                  </w:r>
                </w:p>
              </w:tc>
              <w:tc>
                <w:tcPr>
                  <w:tcW w:w="1101" w:type="pct"/>
                  <w:vAlign w:val="center"/>
                </w:tcPr>
                <w:p w14:paraId="15D0DA0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tc>
                <w:tcPr>
                  <w:tcW w:w="573" w:type="pct"/>
                  <w:vAlign w:val="center"/>
                </w:tcPr>
                <w:p w14:paraId="3DF7C19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压力（MPa）</w:t>
                  </w:r>
                </w:p>
              </w:tc>
              <w:tc>
                <w:tcPr>
                  <w:tcW w:w="627" w:type="pct"/>
                  <w:vAlign w:val="center"/>
                </w:tcPr>
                <w:p w14:paraId="7B9051F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温度（℃）</w:t>
                  </w:r>
                </w:p>
              </w:tc>
              <w:tc>
                <w:tcPr>
                  <w:tcW w:w="626" w:type="pct"/>
                  <w:vAlign w:val="center"/>
                </w:tcPr>
                <w:p w14:paraId="6835A96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流量t/h</w:t>
                  </w:r>
                </w:p>
              </w:tc>
              <w:tc>
                <w:tcPr>
                  <w:tcW w:w="971" w:type="pct"/>
                  <w:vAlign w:val="center"/>
                </w:tcPr>
                <w:p w14:paraId="042A3D4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备注</w:t>
                  </w:r>
                </w:p>
              </w:tc>
            </w:tr>
            <w:tr w14:paraId="249D0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306" w:type="pct"/>
                  <w:vAlign w:val="center"/>
                </w:tcPr>
                <w:p w14:paraId="7AE7AA6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796" w:type="pct"/>
                  <w:vMerge w:val="restart"/>
                  <w:vAlign w:val="center"/>
                </w:tcPr>
                <w:p w14:paraId="00EB207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主蒸汽</w:t>
                  </w:r>
                </w:p>
              </w:tc>
              <w:tc>
                <w:tcPr>
                  <w:tcW w:w="1101" w:type="pct"/>
                  <w:vAlign w:val="center"/>
                </w:tcPr>
                <w:p w14:paraId="3E7AA25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镍5生产线烧结中压蒸汽</w:t>
                  </w:r>
                </w:p>
              </w:tc>
              <w:tc>
                <w:tcPr>
                  <w:tcW w:w="573" w:type="pct"/>
                  <w:vAlign w:val="center"/>
                </w:tcPr>
                <w:p w14:paraId="5DEC554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w:t>
                  </w:r>
                </w:p>
              </w:tc>
              <w:tc>
                <w:tcPr>
                  <w:tcW w:w="627" w:type="pct"/>
                  <w:vAlign w:val="center"/>
                </w:tcPr>
                <w:p w14:paraId="76D9416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330</w:t>
                  </w:r>
                </w:p>
              </w:tc>
              <w:tc>
                <w:tcPr>
                  <w:tcW w:w="626" w:type="pct"/>
                  <w:vAlign w:val="center"/>
                </w:tcPr>
                <w:p w14:paraId="38DC150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~46</w:t>
                  </w:r>
                </w:p>
              </w:tc>
              <w:tc>
                <w:tcPr>
                  <w:tcW w:w="971" w:type="pct"/>
                  <w:vAlign w:val="center"/>
                </w:tcPr>
                <w:p w14:paraId="0FB502C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来自本项目新建烧结126m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余热锅炉及其大烟道</w:t>
                  </w:r>
                </w:p>
              </w:tc>
            </w:tr>
            <w:tr w14:paraId="1BA72B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6" w:type="pct"/>
                  <w:vAlign w:val="center"/>
                </w:tcPr>
                <w:p w14:paraId="229A3D6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796" w:type="pct"/>
                  <w:vMerge w:val="continue"/>
                  <w:vAlign w:val="center"/>
                </w:tcPr>
                <w:p w14:paraId="4F8C1567">
                  <w:pPr>
                    <w:pStyle w:val="138"/>
                    <w:rPr>
                      <w:rFonts w:cs="Times New Roman"/>
                      <w:color w:val="000000" w:themeColor="text1"/>
                      <w14:textFill>
                        <w14:solidFill>
                          <w14:schemeClr w14:val="tx1"/>
                        </w14:solidFill>
                      </w14:textFill>
                    </w:rPr>
                  </w:pPr>
                </w:p>
              </w:tc>
              <w:tc>
                <w:tcPr>
                  <w:tcW w:w="1101" w:type="pct"/>
                  <w:vAlign w:val="center"/>
                </w:tcPr>
                <w:p w14:paraId="4CE5807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产能置换生产线烧结环冷中压蒸汽</w:t>
                  </w:r>
                </w:p>
              </w:tc>
              <w:tc>
                <w:tcPr>
                  <w:tcW w:w="573" w:type="pct"/>
                  <w:vAlign w:val="center"/>
                </w:tcPr>
                <w:p w14:paraId="42FF034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w:t>
                  </w:r>
                </w:p>
              </w:tc>
              <w:tc>
                <w:tcPr>
                  <w:tcW w:w="627" w:type="pct"/>
                  <w:vAlign w:val="center"/>
                </w:tcPr>
                <w:p w14:paraId="71A7212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330</w:t>
                  </w:r>
                </w:p>
              </w:tc>
              <w:tc>
                <w:tcPr>
                  <w:tcW w:w="626" w:type="pct"/>
                  <w:vAlign w:val="center"/>
                </w:tcPr>
                <w:p w14:paraId="5A5F808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~10.5</w:t>
                  </w:r>
                </w:p>
              </w:tc>
              <w:tc>
                <w:tcPr>
                  <w:tcW w:w="971" w:type="pct"/>
                  <w:vAlign w:val="center"/>
                </w:tcPr>
                <w:p w14:paraId="36AAD40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来自产能置换生产线360m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烧结环冷机的中压蒸汽管道</w:t>
                  </w:r>
                </w:p>
              </w:tc>
            </w:tr>
            <w:tr w14:paraId="0B99C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6" w:type="pct"/>
                  <w:vAlign w:val="center"/>
                </w:tcPr>
                <w:p w14:paraId="0873F4E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796" w:type="pct"/>
                  <w:vMerge w:val="continue"/>
                  <w:vAlign w:val="center"/>
                </w:tcPr>
                <w:p w14:paraId="3CB65956">
                  <w:pPr>
                    <w:pStyle w:val="138"/>
                    <w:rPr>
                      <w:rFonts w:cs="Times New Roman"/>
                      <w:color w:val="000000" w:themeColor="text1"/>
                      <w14:textFill>
                        <w14:solidFill>
                          <w14:schemeClr w14:val="tx1"/>
                        </w14:solidFill>
                      </w14:textFill>
                    </w:rPr>
                  </w:pPr>
                </w:p>
              </w:tc>
              <w:tc>
                <w:tcPr>
                  <w:tcW w:w="1101" w:type="pct"/>
                  <w:vAlign w:val="center"/>
                </w:tcPr>
                <w:p w14:paraId="324F635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产能置换生产线烧结大烟道中压蒸汽</w:t>
                  </w:r>
                </w:p>
              </w:tc>
              <w:tc>
                <w:tcPr>
                  <w:tcW w:w="573" w:type="pct"/>
                  <w:vAlign w:val="center"/>
                </w:tcPr>
                <w:p w14:paraId="29FAC4B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w:t>
                  </w:r>
                </w:p>
              </w:tc>
              <w:tc>
                <w:tcPr>
                  <w:tcW w:w="627" w:type="pct"/>
                  <w:vAlign w:val="center"/>
                </w:tcPr>
                <w:p w14:paraId="7444B14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330</w:t>
                  </w:r>
                </w:p>
              </w:tc>
              <w:tc>
                <w:tcPr>
                  <w:tcW w:w="626" w:type="pct"/>
                  <w:vAlign w:val="center"/>
                </w:tcPr>
                <w:p w14:paraId="65539C4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w:t>
                  </w:r>
                </w:p>
              </w:tc>
              <w:tc>
                <w:tcPr>
                  <w:tcW w:w="971" w:type="pct"/>
                  <w:vAlign w:val="center"/>
                </w:tcPr>
                <w:p w14:paraId="52E810D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来自产能置换生产线新建360m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烧结大烟道中压蒸汽管道</w:t>
                  </w:r>
                </w:p>
              </w:tc>
            </w:tr>
            <w:tr w14:paraId="03E45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6" w:type="pct"/>
                  <w:vAlign w:val="center"/>
                </w:tcPr>
                <w:p w14:paraId="34A84BF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796" w:type="pct"/>
                  <w:vMerge w:val="continue"/>
                  <w:vAlign w:val="center"/>
                </w:tcPr>
                <w:p w14:paraId="5DE1E064">
                  <w:pPr>
                    <w:pStyle w:val="138"/>
                    <w:rPr>
                      <w:rFonts w:cs="Times New Roman"/>
                      <w:color w:val="000000" w:themeColor="text1"/>
                      <w14:textFill>
                        <w14:solidFill>
                          <w14:schemeClr w14:val="tx1"/>
                        </w14:solidFill>
                      </w14:textFill>
                    </w:rPr>
                  </w:pPr>
                </w:p>
              </w:tc>
              <w:tc>
                <w:tcPr>
                  <w:tcW w:w="1101" w:type="pct"/>
                  <w:vAlign w:val="center"/>
                </w:tcPr>
                <w:p w14:paraId="77AE7C0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产能置换生产线炼钢工序中压蒸汽</w:t>
                  </w:r>
                </w:p>
              </w:tc>
              <w:tc>
                <w:tcPr>
                  <w:tcW w:w="573" w:type="pct"/>
                  <w:vAlign w:val="center"/>
                </w:tcPr>
                <w:p w14:paraId="10ADB9F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w:t>
                  </w:r>
                </w:p>
              </w:tc>
              <w:tc>
                <w:tcPr>
                  <w:tcW w:w="627" w:type="pct"/>
                  <w:vAlign w:val="center"/>
                </w:tcPr>
                <w:p w14:paraId="397DC9D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饱和蒸气</w:t>
                  </w:r>
                </w:p>
              </w:tc>
              <w:tc>
                <w:tcPr>
                  <w:tcW w:w="626" w:type="pct"/>
                  <w:vAlign w:val="center"/>
                </w:tcPr>
                <w:p w14:paraId="27BDC32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~42</w:t>
                  </w:r>
                </w:p>
              </w:tc>
              <w:tc>
                <w:tcPr>
                  <w:tcW w:w="971" w:type="pct"/>
                  <w:vAlign w:val="center"/>
                </w:tcPr>
                <w:p w14:paraId="1F8B1CC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来自产能置换生产线炼钢工序蓄热站</w:t>
                  </w:r>
                </w:p>
              </w:tc>
            </w:tr>
            <w:tr w14:paraId="16360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6" w:type="pct"/>
                  <w:vAlign w:val="center"/>
                </w:tcPr>
                <w:p w14:paraId="2961233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796" w:type="pct"/>
                  <w:vMerge w:val="restart"/>
                  <w:vAlign w:val="center"/>
                </w:tcPr>
                <w:p w14:paraId="4B33F48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补汽</w:t>
                  </w:r>
                </w:p>
              </w:tc>
              <w:tc>
                <w:tcPr>
                  <w:tcW w:w="1101" w:type="pct"/>
                  <w:vAlign w:val="center"/>
                </w:tcPr>
                <w:p w14:paraId="5D74D47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镍5生产线烧结低压蒸汽</w:t>
                  </w:r>
                </w:p>
              </w:tc>
              <w:tc>
                <w:tcPr>
                  <w:tcW w:w="573" w:type="pct"/>
                  <w:vAlign w:val="center"/>
                </w:tcPr>
                <w:p w14:paraId="6829522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c>
                <w:tcPr>
                  <w:tcW w:w="627" w:type="pct"/>
                  <w:vAlign w:val="center"/>
                </w:tcPr>
                <w:p w14:paraId="03DCEE4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180</w:t>
                  </w:r>
                </w:p>
              </w:tc>
              <w:tc>
                <w:tcPr>
                  <w:tcW w:w="626" w:type="pct"/>
                  <w:vAlign w:val="center"/>
                </w:tcPr>
                <w:p w14:paraId="2B054B3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w:t>
                  </w:r>
                </w:p>
              </w:tc>
              <w:tc>
                <w:tcPr>
                  <w:tcW w:w="971" w:type="pct"/>
                  <w:vAlign w:val="center"/>
                </w:tcPr>
                <w:p w14:paraId="102B6F2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来自本项目新建126m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烧结余热锅炉</w:t>
                  </w:r>
                </w:p>
              </w:tc>
            </w:tr>
            <w:tr w14:paraId="20271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6" w:type="pct"/>
                  <w:vAlign w:val="center"/>
                </w:tcPr>
                <w:p w14:paraId="13CE571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796" w:type="pct"/>
                  <w:vMerge w:val="continue"/>
                  <w:vAlign w:val="center"/>
                </w:tcPr>
                <w:p w14:paraId="727AC067">
                  <w:pPr>
                    <w:pStyle w:val="138"/>
                    <w:rPr>
                      <w:rFonts w:cs="Times New Roman"/>
                      <w:color w:val="000000" w:themeColor="text1"/>
                      <w14:textFill>
                        <w14:solidFill>
                          <w14:schemeClr w14:val="tx1"/>
                        </w14:solidFill>
                      </w14:textFill>
                    </w:rPr>
                  </w:pPr>
                </w:p>
              </w:tc>
              <w:tc>
                <w:tcPr>
                  <w:tcW w:w="1101" w:type="pct"/>
                  <w:vAlign w:val="center"/>
                </w:tcPr>
                <w:p w14:paraId="7E0C96B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全厂其余低压蒸汽</w:t>
                  </w:r>
                </w:p>
              </w:tc>
              <w:tc>
                <w:tcPr>
                  <w:tcW w:w="573" w:type="pct"/>
                  <w:vAlign w:val="center"/>
                </w:tcPr>
                <w:p w14:paraId="563675D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c>
                <w:tcPr>
                  <w:tcW w:w="627" w:type="pct"/>
                  <w:vAlign w:val="center"/>
                </w:tcPr>
                <w:p w14:paraId="14CA27F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180</w:t>
                  </w:r>
                </w:p>
              </w:tc>
              <w:tc>
                <w:tcPr>
                  <w:tcW w:w="626" w:type="pct"/>
                  <w:vAlign w:val="center"/>
                </w:tcPr>
                <w:p w14:paraId="644669E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971" w:type="pct"/>
                  <w:vAlign w:val="center"/>
                </w:tcPr>
                <w:p w14:paraId="765B54E9">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厂区低压管道</w:t>
                  </w:r>
                </w:p>
              </w:tc>
            </w:tr>
            <w:tr w14:paraId="7EEAB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3" w:type="pct"/>
                  <w:gridSpan w:val="5"/>
                  <w:tcBorders>
                    <w:right w:val="single" w:color="auto" w:sz="4" w:space="0"/>
                  </w:tcBorders>
                  <w:vAlign w:val="center"/>
                </w:tcPr>
                <w:p w14:paraId="5A8BA25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626" w:type="pct"/>
                  <w:tcBorders>
                    <w:left w:val="single" w:color="auto" w:sz="4" w:space="0"/>
                    <w:right w:val="single" w:color="auto" w:sz="4" w:space="0"/>
                  </w:tcBorders>
                  <w:vAlign w:val="center"/>
                </w:tcPr>
                <w:p w14:paraId="78A8D76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~135.5</w:t>
                  </w:r>
                </w:p>
              </w:tc>
              <w:tc>
                <w:tcPr>
                  <w:tcW w:w="971" w:type="pct"/>
                  <w:tcBorders>
                    <w:left w:val="single" w:color="auto" w:sz="4" w:space="0"/>
                  </w:tcBorders>
                  <w:vAlign w:val="center"/>
                </w:tcPr>
                <w:p w14:paraId="6C3B840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6E9B3D7E">
            <w:pPr>
              <w:pStyle w:val="3"/>
              <w:rPr>
                <w:rFonts w:cs="Times New Roman"/>
                <w:color w:val="000000" w:themeColor="text1"/>
                <w14:textFill>
                  <w14:solidFill>
                    <w14:schemeClr w14:val="tx1"/>
                  </w14:solidFill>
                </w14:textFill>
              </w:rPr>
            </w:pPr>
            <w:bookmarkStart w:id="75" w:name="_Toc767889428"/>
            <w:bookmarkStart w:id="76" w:name="_Toc230448022"/>
            <w:r>
              <w:rPr>
                <w:rFonts w:cs="Times New Roman"/>
                <w:color w:val="000000" w:themeColor="text1"/>
                <w14:textFill>
                  <w14:solidFill>
                    <w14:schemeClr w14:val="tx1"/>
                  </w14:solidFill>
                </w14:textFill>
              </w:rPr>
              <w:t>拟建项目除盐水制备系统</w:t>
            </w:r>
            <w:bookmarkEnd w:id="75"/>
            <w:bookmarkEnd w:id="76"/>
          </w:p>
          <w:p w14:paraId="00A3E42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（1）补给水系统配置</w:t>
            </w:r>
          </w:p>
          <w:p w14:paraId="3847EA2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拟建工程除盐水系统按2×20m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/h设计，配2×250m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除盐水箱，锅炉新鲜补水量为17m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/h。除盐水处理系统采用EDI处理工艺，系统由精除盐系统、化学清洗等部分组成，系统工艺流程为：</w:t>
            </w:r>
          </w:p>
          <w:p w14:paraId="79BE8F6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原水箱（二级反渗透产水）→EDI提升泵→EDI装置→除盐水箱→除盐水泵→除盐水用户。</w:t>
            </w:r>
          </w:p>
          <w:p w14:paraId="62BBE95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（2）精除盐系统</w:t>
            </w:r>
          </w:p>
          <w:p w14:paraId="71A6FA2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精除盐系统由EDI装置组成，设置2套EDI系统，1用1备，单套产水量≥20m³/h（25-30℃、运行三年内），回收率≥90%。产水水质满足系统出水水质和性能保证的要求。</w:t>
            </w:r>
          </w:p>
          <w:p w14:paraId="08B699E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（3）化学清洗系统</w:t>
            </w:r>
          </w:p>
          <w:p w14:paraId="4BFB6BB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置1套EDI系统化学清洗装置，该装置包括1台1μm保安过滤器，1台清洗溶液箱，1台不锈钢清洗泵以及和EDI装置连接的可拆卸管道、拆卸灵活密封可靠的接头、阀门、就地控制箱、仪表及仪表一次阀门等，所有设备组装在一个底盘上，构成一个单元。二级除盐水站出水水质如下表要求</w:t>
            </w:r>
          </w:p>
          <w:p w14:paraId="7BBDEC1D">
            <w:pPr>
              <w:pStyle w:val="98"/>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除盐水系统出水水质要求一览表</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835"/>
              <w:gridCol w:w="3377"/>
              <w:gridCol w:w="1934"/>
            </w:tblGrid>
            <w:tr w14:paraId="0D413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72EAC73D">
                  <w:pPr>
                    <w:pStyle w:val="9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2073" w:type="pct"/>
                  <w:vAlign w:val="center"/>
                </w:tcPr>
                <w:p w14:paraId="79129E5E">
                  <w:pPr>
                    <w:pStyle w:val="90"/>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1187" w:type="pct"/>
                  <w:vAlign w:val="center"/>
                </w:tcPr>
                <w:p w14:paraId="1DD600FE">
                  <w:pPr>
                    <w:pStyle w:val="90"/>
                    <w:rPr>
                      <w:color w:val="000000" w:themeColor="text1"/>
                      <w14:textFill>
                        <w14:solidFill>
                          <w14:schemeClr w14:val="tx1"/>
                        </w14:solidFill>
                      </w14:textFill>
                    </w:rPr>
                  </w:pPr>
                  <w:r>
                    <w:rPr>
                      <w:color w:val="000000" w:themeColor="text1"/>
                      <w14:textFill>
                        <w14:solidFill>
                          <w14:schemeClr w14:val="tx1"/>
                        </w14:solidFill>
                      </w14:textFill>
                    </w:rPr>
                    <w:t>单位</w:t>
                  </w:r>
                </w:p>
              </w:tc>
            </w:tr>
            <w:tr w14:paraId="66962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62574633">
                  <w:pPr>
                    <w:pStyle w:val="90"/>
                    <w:rPr>
                      <w:color w:val="000000" w:themeColor="text1"/>
                      <w14:textFill>
                        <w14:solidFill>
                          <w14:schemeClr w14:val="tx1"/>
                        </w14:solidFill>
                      </w14:textFill>
                    </w:rPr>
                  </w:pPr>
                  <w:r>
                    <w:rPr>
                      <w:color w:val="000000" w:themeColor="text1"/>
                      <w14:textFill>
                        <w14:solidFill>
                          <w14:schemeClr w14:val="tx1"/>
                        </w14:solidFill>
                      </w14:textFill>
                    </w:rPr>
                    <w:t>溶解氧</w:t>
                  </w:r>
                </w:p>
              </w:tc>
              <w:tc>
                <w:tcPr>
                  <w:tcW w:w="2073" w:type="pct"/>
                  <w:vAlign w:val="center"/>
                </w:tcPr>
                <w:p w14:paraId="4E352F9D">
                  <w:pPr>
                    <w:pStyle w:val="90"/>
                    <w:rPr>
                      <w:color w:val="000000" w:themeColor="text1"/>
                      <w14:textFill>
                        <w14:solidFill>
                          <w14:schemeClr w14:val="tx1"/>
                        </w14:solidFill>
                      </w14:textFill>
                    </w:rPr>
                  </w:pPr>
                  <w:r>
                    <w:rPr>
                      <w:color w:val="000000" w:themeColor="text1"/>
                      <w14:textFill>
                        <w14:solidFill>
                          <w14:schemeClr w14:val="tx1"/>
                        </w14:solidFill>
                      </w14:textFill>
                    </w:rPr>
                    <w:t>≤ 7</w:t>
                  </w:r>
                </w:p>
              </w:tc>
              <w:tc>
                <w:tcPr>
                  <w:tcW w:w="1187" w:type="pct"/>
                  <w:vAlign w:val="center"/>
                </w:tcPr>
                <w:p w14:paraId="448CE0EA">
                  <w:pPr>
                    <w:pStyle w:val="90"/>
                    <w:rPr>
                      <w:color w:val="000000" w:themeColor="text1"/>
                      <w14:textFill>
                        <w14:solidFill>
                          <w14:schemeClr w14:val="tx1"/>
                        </w14:solidFill>
                      </w14:textFill>
                    </w:rPr>
                  </w:pPr>
                  <w:r>
                    <w:rPr>
                      <w:color w:val="000000" w:themeColor="text1"/>
                      <w14:textFill>
                        <w14:solidFill>
                          <w14:schemeClr w14:val="tx1"/>
                        </w14:solidFill>
                      </w14:textFill>
                    </w:rPr>
                    <w:t>μg/L</w:t>
                  </w:r>
                </w:p>
              </w:tc>
            </w:tr>
            <w:tr w14:paraId="7AB88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792D71F0">
                  <w:pPr>
                    <w:pStyle w:val="90"/>
                    <w:rPr>
                      <w:color w:val="000000" w:themeColor="text1"/>
                      <w14:textFill>
                        <w14:solidFill>
                          <w14:schemeClr w14:val="tx1"/>
                        </w14:solidFill>
                      </w14:textFill>
                    </w:rPr>
                  </w:pPr>
                  <w:r>
                    <w:rPr>
                      <w:color w:val="000000" w:themeColor="text1"/>
                      <w14:textFill>
                        <w14:solidFill>
                          <w14:schemeClr w14:val="tx1"/>
                        </w14:solidFill>
                      </w14:textFill>
                    </w:rPr>
                    <w:t>氢电导率(25℃)</w:t>
                  </w:r>
                </w:p>
              </w:tc>
              <w:tc>
                <w:tcPr>
                  <w:tcW w:w="2073" w:type="pct"/>
                  <w:vAlign w:val="center"/>
                </w:tcPr>
                <w:p w14:paraId="0D10A0C9">
                  <w:pPr>
                    <w:pStyle w:val="90"/>
                    <w:rPr>
                      <w:color w:val="000000" w:themeColor="text1"/>
                      <w14:textFill>
                        <w14:solidFill>
                          <w14:schemeClr w14:val="tx1"/>
                        </w14:solidFill>
                      </w14:textFill>
                    </w:rPr>
                  </w:pPr>
                  <w:r>
                    <w:rPr>
                      <w:color w:val="000000" w:themeColor="text1"/>
                      <w14:textFill>
                        <w14:solidFill>
                          <w14:schemeClr w14:val="tx1"/>
                        </w14:solidFill>
                      </w14:textFill>
                    </w:rPr>
                    <w:t>≤ 0.3</w:t>
                  </w:r>
                </w:p>
              </w:tc>
              <w:tc>
                <w:tcPr>
                  <w:tcW w:w="1187" w:type="pct"/>
                  <w:vAlign w:val="center"/>
                </w:tcPr>
                <w:p w14:paraId="3425F3E1">
                  <w:pPr>
                    <w:pStyle w:val="90"/>
                    <w:rPr>
                      <w:color w:val="000000" w:themeColor="text1"/>
                      <w14:textFill>
                        <w14:solidFill>
                          <w14:schemeClr w14:val="tx1"/>
                        </w14:solidFill>
                      </w14:textFill>
                    </w:rPr>
                  </w:pPr>
                  <w:r>
                    <w:rPr>
                      <w:color w:val="000000" w:themeColor="text1"/>
                      <w14:textFill>
                        <w14:solidFill>
                          <w14:schemeClr w14:val="tx1"/>
                        </w14:solidFill>
                      </w14:textFill>
                    </w:rPr>
                    <w:t>μs/cm</w:t>
                  </w:r>
                </w:p>
              </w:tc>
            </w:tr>
            <w:tr w14:paraId="1EE64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74B9C8DC">
                  <w:pPr>
                    <w:pStyle w:val="90"/>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2073" w:type="pct"/>
                  <w:vAlign w:val="center"/>
                </w:tcPr>
                <w:p w14:paraId="4E691D6B">
                  <w:pPr>
                    <w:pStyle w:val="90"/>
                    <w:rPr>
                      <w:color w:val="000000" w:themeColor="text1"/>
                      <w14:textFill>
                        <w14:solidFill>
                          <w14:schemeClr w14:val="tx1"/>
                        </w14:solidFill>
                      </w14:textFill>
                    </w:rPr>
                  </w:pPr>
                  <w:r>
                    <w:rPr>
                      <w:color w:val="000000" w:themeColor="text1"/>
                      <w14:textFill>
                        <w14:solidFill>
                          <w14:schemeClr w14:val="tx1"/>
                        </w14:solidFill>
                      </w14:textFill>
                    </w:rPr>
                    <w:t>≤ 20</w:t>
                  </w:r>
                </w:p>
              </w:tc>
              <w:tc>
                <w:tcPr>
                  <w:tcW w:w="1187" w:type="pct"/>
                  <w:vAlign w:val="center"/>
                </w:tcPr>
                <w:p w14:paraId="6BDB79E6">
                  <w:pPr>
                    <w:pStyle w:val="90"/>
                    <w:rPr>
                      <w:color w:val="000000" w:themeColor="text1"/>
                      <w14:textFill>
                        <w14:solidFill>
                          <w14:schemeClr w14:val="tx1"/>
                        </w14:solidFill>
                      </w14:textFill>
                    </w:rPr>
                  </w:pPr>
                  <w:r>
                    <w:rPr>
                      <w:color w:val="000000" w:themeColor="text1"/>
                      <w14:textFill>
                        <w14:solidFill>
                          <w14:schemeClr w14:val="tx1"/>
                        </w14:solidFill>
                      </w14:textFill>
                    </w:rPr>
                    <w:t>μg/L</w:t>
                  </w:r>
                </w:p>
              </w:tc>
            </w:tr>
            <w:tr w14:paraId="38DD3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189D3DAF">
                  <w:pPr>
                    <w:pStyle w:val="90"/>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2073" w:type="pct"/>
                  <w:vAlign w:val="center"/>
                </w:tcPr>
                <w:p w14:paraId="0F1783DC">
                  <w:pPr>
                    <w:pStyle w:val="90"/>
                    <w:rPr>
                      <w:color w:val="000000" w:themeColor="text1"/>
                      <w14:textFill>
                        <w14:solidFill>
                          <w14:schemeClr w14:val="tx1"/>
                        </w14:solidFill>
                      </w14:textFill>
                    </w:rPr>
                  </w:pPr>
                  <w:r>
                    <w:rPr>
                      <w:color w:val="000000" w:themeColor="text1"/>
                      <w14:textFill>
                        <w14:solidFill>
                          <w14:schemeClr w14:val="tx1"/>
                        </w14:solidFill>
                      </w14:textFill>
                    </w:rPr>
                    <w:t>≤ 5</w:t>
                  </w:r>
                </w:p>
              </w:tc>
              <w:tc>
                <w:tcPr>
                  <w:tcW w:w="1187" w:type="pct"/>
                  <w:vAlign w:val="center"/>
                </w:tcPr>
                <w:p w14:paraId="2F088E83">
                  <w:pPr>
                    <w:pStyle w:val="90"/>
                    <w:rPr>
                      <w:color w:val="000000" w:themeColor="text1"/>
                      <w14:textFill>
                        <w14:solidFill>
                          <w14:schemeClr w14:val="tx1"/>
                        </w14:solidFill>
                      </w14:textFill>
                    </w:rPr>
                  </w:pPr>
                  <w:r>
                    <w:rPr>
                      <w:color w:val="000000" w:themeColor="text1"/>
                      <w14:textFill>
                        <w14:solidFill>
                          <w14:schemeClr w14:val="tx1"/>
                        </w14:solidFill>
                      </w14:textFill>
                    </w:rPr>
                    <w:t>μg/L</w:t>
                  </w:r>
                </w:p>
              </w:tc>
            </w:tr>
            <w:tr w14:paraId="78016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712943EB">
                  <w:pPr>
                    <w:pStyle w:val="90"/>
                    <w:rPr>
                      <w:color w:val="000000" w:themeColor="text1"/>
                      <w14:textFill>
                        <w14:solidFill>
                          <w14:schemeClr w14:val="tx1"/>
                        </w14:solidFill>
                      </w14:textFill>
                    </w:rPr>
                  </w:pPr>
                  <w:r>
                    <w:rPr>
                      <w:color w:val="000000" w:themeColor="text1"/>
                      <w14:textFill>
                        <w14:solidFill>
                          <w14:schemeClr w14:val="tx1"/>
                        </w14:solidFill>
                      </w14:textFill>
                    </w:rPr>
                    <w:t>二氧化硅</w:t>
                  </w:r>
                </w:p>
              </w:tc>
              <w:tc>
                <w:tcPr>
                  <w:tcW w:w="2073" w:type="pct"/>
                  <w:vAlign w:val="center"/>
                </w:tcPr>
                <w:p w14:paraId="2410FECB">
                  <w:pPr>
                    <w:pStyle w:val="90"/>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187" w:type="pct"/>
                  <w:vAlign w:val="center"/>
                </w:tcPr>
                <w:p w14:paraId="0A3CB3D4">
                  <w:pPr>
                    <w:pStyle w:val="90"/>
                    <w:rPr>
                      <w:color w:val="000000" w:themeColor="text1"/>
                      <w14:textFill>
                        <w14:solidFill>
                          <w14:schemeClr w14:val="tx1"/>
                        </w14:solidFill>
                      </w14:textFill>
                    </w:rPr>
                  </w:pPr>
                  <w:r>
                    <w:rPr>
                      <w:color w:val="000000" w:themeColor="text1"/>
                      <w14:textFill>
                        <w14:solidFill>
                          <w14:schemeClr w14:val="tx1"/>
                        </w14:solidFill>
                      </w14:textFill>
                    </w:rPr>
                    <w:t>μg/L</w:t>
                  </w:r>
                </w:p>
              </w:tc>
            </w:tr>
            <w:tr w14:paraId="1BE08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503216FE">
                  <w:pPr>
                    <w:pStyle w:val="90"/>
                    <w:rPr>
                      <w:color w:val="000000" w:themeColor="text1"/>
                      <w14:textFill>
                        <w14:solidFill>
                          <w14:schemeClr w14:val="tx1"/>
                        </w14:solidFill>
                      </w14:textFill>
                    </w:rPr>
                  </w:pPr>
                  <w:r>
                    <w:rPr>
                      <w:color w:val="000000" w:themeColor="text1"/>
                      <w14:textFill>
                        <w14:solidFill>
                          <w14:schemeClr w14:val="tx1"/>
                        </w14:solidFill>
                      </w14:textFill>
                    </w:rPr>
                    <w:t>氯离子</w:t>
                  </w:r>
                </w:p>
              </w:tc>
              <w:tc>
                <w:tcPr>
                  <w:tcW w:w="2073" w:type="pct"/>
                  <w:vAlign w:val="center"/>
                </w:tcPr>
                <w:p w14:paraId="4F02AF71">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7" w:type="pct"/>
                  <w:vAlign w:val="center"/>
                </w:tcPr>
                <w:p w14:paraId="476BC64A">
                  <w:pPr>
                    <w:pStyle w:val="90"/>
                    <w:rPr>
                      <w:color w:val="000000" w:themeColor="text1"/>
                      <w14:textFill>
                        <w14:solidFill>
                          <w14:schemeClr w14:val="tx1"/>
                        </w14:solidFill>
                      </w14:textFill>
                    </w:rPr>
                  </w:pPr>
                  <w:r>
                    <w:rPr>
                      <w:color w:val="000000" w:themeColor="text1"/>
                      <w14:textFill>
                        <w14:solidFill>
                          <w14:schemeClr w14:val="tx1"/>
                        </w14:solidFill>
                      </w14:textFill>
                    </w:rPr>
                    <w:t>μg/L</w:t>
                  </w:r>
                </w:p>
              </w:tc>
            </w:tr>
            <w:tr w14:paraId="7ABA2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4109CB75">
                  <w:pPr>
                    <w:pStyle w:val="90"/>
                    <w:rPr>
                      <w:color w:val="000000" w:themeColor="text1"/>
                      <w14:textFill>
                        <w14:solidFill>
                          <w14:schemeClr w14:val="tx1"/>
                        </w14:solidFill>
                      </w14:textFill>
                    </w:rPr>
                  </w:pPr>
                  <w:r>
                    <w:rPr>
                      <w:color w:val="000000" w:themeColor="text1"/>
                      <w14:textFill>
                        <w14:solidFill>
                          <w14:schemeClr w14:val="tx1"/>
                        </w14:solidFill>
                      </w14:textFill>
                    </w:rPr>
                    <w:t>pH(25℃)</w:t>
                  </w:r>
                </w:p>
              </w:tc>
              <w:tc>
                <w:tcPr>
                  <w:tcW w:w="2073" w:type="pct"/>
                  <w:vAlign w:val="center"/>
                </w:tcPr>
                <w:p w14:paraId="0C54FA67">
                  <w:pPr>
                    <w:pStyle w:val="90"/>
                    <w:rPr>
                      <w:color w:val="000000" w:themeColor="text1"/>
                      <w14:textFill>
                        <w14:solidFill>
                          <w14:schemeClr w14:val="tx1"/>
                        </w14:solidFill>
                      </w14:textFill>
                    </w:rPr>
                  </w:pPr>
                  <w:r>
                    <w:rPr>
                      <w:color w:val="000000" w:themeColor="text1"/>
                      <w14:textFill>
                        <w14:solidFill>
                          <w14:schemeClr w14:val="tx1"/>
                        </w14:solidFill>
                      </w14:textFill>
                    </w:rPr>
                    <w:t>9.2~9.6</w:t>
                  </w:r>
                </w:p>
              </w:tc>
              <w:tc>
                <w:tcPr>
                  <w:tcW w:w="1187" w:type="pct"/>
                  <w:vAlign w:val="center"/>
                </w:tcPr>
                <w:p w14:paraId="1F4F1FC0">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66AD6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074D13B2">
                  <w:pPr>
                    <w:pStyle w:val="90"/>
                    <w:rPr>
                      <w:color w:val="000000" w:themeColor="text1"/>
                      <w14:textFill>
                        <w14:solidFill>
                          <w14:schemeClr w14:val="tx1"/>
                        </w14:solidFill>
                      </w14:textFill>
                    </w:rPr>
                  </w:pPr>
                  <w:r>
                    <w:rPr>
                      <w:color w:val="000000" w:themeColor="text1"/>
                      <w14:textFill>
                        <w14:solidFill>
                          <w14:schemeClr w14:val="tx1"/>
                        </w14:solidFill>
                      </w14:textFill>
                    </w:rPr>
                    <w:t>联氨</w:t>
                  </w:r>
                </w:p>
              </w:tc>
              <w:tc>
                <w:tcPr>
                  <w:tcW w:w="2073" w:type="pct"/>
                  <w:vAlign w:val="center"/>
                </w:tcPr>
                <w:p w14:paraId="062916DC">
                  <w:pPr>
                    <w:pStyle w:val="90"/>
                    <w:rPr>
                      <w:color w:val="000000" w:themeColor="text1"/>
                      <w14:textFill>
                        <w14:solidFill>
                          <w14:schemeClr w14:val="tx1"/>
                        </w14:solidFill>
                      </w14:textFill>
                    </w:rPr>
                  </w:pPr>
                  <w:r>
                    <w:rPr>
                      <w:color w:val="000000" w:themeColor="text1"/>
                      <w14:textFill>
                        <w14:solidFill>
                          <w14:schemeClr w14:val="tx1"/>
                        </w14:solidFill>
                      </w14:textFill>
                    </w:rPr>
                    <w:t>≤ 30</w:t>
                  </w:r>
                </w:p>
              </w:tc>
              <w:tc>
                <w:tcPr>
                  <w:tcW w:w="1187" w:type="pct"/>
                  <w:vAlign w:val="center"/>
                </w:tcPr>
                <w:p w14:paraId="72369A8A">
                  <w:pPr>
                    <w:pStyle w:val="90"/>
                    <w:rPr>
                      <w:color w:val="000000" w:themeColor="text1"/>
                      <w14:textFill>
                        <w14:solidFill>
                          <w14:schemeClr w14:val="tx1"/>
                        </w14:solidFill>
                      </w14:textFill>
                    </w:rPr>
                  </w:pPr>
                  <w:r>
                    <w:rPr>
                      <w:color w:val="000000" w:themeColor="text1"/>
                      <w14:textFill>
                        <w14:solidFill>
                          <w14:schemeClr w14:val="tx1"/>
                        </w14:solidFill>
                      </w14:textFill>
                    </w:rPr>
                    <w:t>μg/L</w:t>
                  </w:r>
                </w:p>
              </w:tc>
            </w:tr>
            <w:tr w14:paraId="3E902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281CC5F4">
                  <w:pPr>
                    <w:pStyle w:val="90"/>
                    <w:rPr>
                      <w:color w:val="000000" w:themeColor="text1"/>
                      <w14:textFill>
                        <w14:solidFill>
                          <w14:schemeClr w14:val="tx1"/>
                        </w14:solidFill>
                      </w14:textFill>
                    </w:rPr>
                  </w:pPr>
                  <w:r>
                    <w:rPr>
                      <w:color w:val="000000" w:themeColor="text1"/>
                      <w14:textFill>
                        <w14:solidFill>
                          <w14:schemeClr w14:val="tx1"/>
                        </w14:solidFill>
                      </w14:textFill>
                    </w:rPr>
                    <w:t>TOCi</w:t>
                  </w:r>
                </w:p>
              </w:tc>
              <w:tc>
                <w:tcPr>
                  <w:tcW w:w="2073" w:type="pct"/>
                  <w:vAlign w:val="center"/>
                </w:tcPr>
                <w:p w14:paraId="60BE8234">
                  <w:pPr>
                    <w:pStyle w:val="90"/>
                    <w:rPr>
                      <w:color w:val="000000" w:themeColor="text1"/>
                      <w14:textFill>
                        <w14:solidFill>
                          <w14:schemeClr w14:val="tx1"/>
                        </w14:solidFill>
                      </w14:textFill>
                    </w:rPr>
                  </w:pPr>
                  <w:r>
                    <w:rPr>
                      <w:color w:val="000000" w:themeColor="text1"/>
                      <w14:textFill>
                        <w14:solidFill>
                          <w14:schemeClr w14:val="tx1"/>
                        </w14:solidFill>
                      </w14:textFill>
                    </w:rPr>
                    <w:t>≤ 500</w:t>
                  </w:r>
                </w:p>
              </w:tc>
              <w:tc>
                <w:tcPr>
                  <w:tcW w:w="1187" w:type="pct"/>
                  <w:vAlign w:val="center"/>
                </w:tcPr>
                <w:p w14:paraId="115662C5">
                  <w:pPr>
                    <w:pStyle w:val="90"/>
                    <w:rPr>
                      <w:color w:val="000000" w:themeColor="text1"/>
                      <w14:textFill>
                        <w14:solidFill>
                          <w14:schemeClr w14:val="tx1"/>
                        </w14:solidFill>
                      </w14:textFill>
                    </w:rPr>
                  </w:pPr>
                  <w:r>
                    <w:rPr>
                      <w:color w:val="000000" w:themeColor="text1"/>
                      <w14:textFill>
                        <w14:solidFill>
                          <w14:schemeClr w14:val="tx1"/>
                        </w14:solidFill>
                      </w14:textFill>
                    </w:rPr>
                    <w:t>μg/L</w:t>
                  </w:r>
                </w:p>
              </w:tc>
            </w:tr>
            <w:tr w14:paraId="77B7E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396DE62C">
                  <w:pPr>
                    <w:pStyle w:val="90"/>
                    <w:rPr>
                      <w:color w:val="000000" w:themeColor="text1"/>
                      <w14:textFill>
                        <w14:solidFill>
                          <w14:schemeClr w14:val="tx1"/>
                        </w14:solidFill>
                      </w14:textFill>
                    </w:rPr>
                  </w:pPr>
                  <w:r>
                    <w:rPr>
                      <w:color w:val="000000" w:themeColor="text1"/>
                      <w14:textFill>
                        <w14:solidFill>
                          <w14:schemeClr w14:val="tx1"/>
                        </w14:solidFill>
                      </w14:textFill>
                    </w:rPr>
                    <w:t>除盐水箱出水电导率</w:t>
                  </w:r>
                </w:p>
              </w:tc>
              <w:tc>
                <w:tcPr>
                  <w:tcW w:w="2073" w:type="pct"/>
                  <w:vAlign w:val="center"/>
                </w:tcPr>
                <w:p w14:paraId="32FA6177">
                  <w:pPr>
                    <w:pStyle w:val="90"/>
                    <w:rPr>
                      <w:color w:val="000000" w:themeColor="text1"/>
                      <w14:textFill>
                        <w14:solidFill>
                          <w14:schemeClr w14:val="tx1"/>
                        </w14:solidFill>
                      </w14:textFill>
                    </w:rPr>
                  </w:pPr>
                  <w:r>
                    <w:rPr>
                      <w:color w:val="000000" w:themeColor="text1"/>
                      <w14:textFill>
                        <w14:solidFill>
                          <w14:schemeClr w14:val="tx1"/>
                        </w14:solidFill>
                      </w14:textFill>
                    </w:rPr>
                    <w:t>≤0.40（25℃）</w:t>
                  </w:r>
                </w:p>
              </w:tc>
              <w:tc>
                <w:tcPr>
                  <w:tcW w:w="1187" w:type="pct"/>
                  <w:vAlign w:val="center"/>
                </w:tcPr>
                <w:p w14:paraId="6475BEE6">
                  <w:pPr>
                    <w:pStyle w:val="90"/>
                    <w:rPr>
                      <w:color w:val="000000" w:themeColor="text1"/>
                      <w14:textFill>
                        <w14:solidFill>
                          <w14:schemeClr w14:val="tx1"/>
                        </w14:solidFill>
                      </w14:textFill>
                    </w:rPr>
                  </w:pPr>
                  <w:r>
                    <w:rPr>
                      <w:color w:val="000000" w:themeColor="text1"/>
                      <w14:textFill>
                        <w14:solidFill>
                          <w14:schemeClr w14:val="tx1"/>
                        </w14:solidFill>
                      </w14:textFill>
                    </w:rPr>
                    <w:t>μS/cm</w:t>
                  </w:r>
                </w:p>
              </w:tc>
            </w:tr>
            <w:tr w14:paraId="1A066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47FDEB5E">
                  <w:pPr>
                    <w:pStyle w:val="90"/>
                    <w:rPr>
                      <w:color w:val="000000" w:themeColor="text1"/>
                      <w14:textFill>
                        <w14:solidFill>
                          <w14:schemeClr w14:val="tx1"/>
                        </w14:solidFill>
                      </w14:textFill>
                    </w:rPr>
                  </w:pPr>
                  <w:r>
                    <w:rPr>
                      <w:color w:val="000000" w:themeColor="text1"/>
                      <w14:textFill>
                        <w14:solidFill>
                          <w14:schemeClr w14:val="tx1"/>
                        </w14:solidFill>
                      </w14:textFill>
                    </w:rPr>
                    <w:t>硬度</w:t>
                  </w:r>
                </w:p>
              </w:tc>
              <w:tc>
                <w:tcPr>
                  <w:tcW w:w="2073" w:type="pct"/>
                  <w:vAlign w:val="center"/>
                </w:tcPr>
                <w:p w14:paraId="6BFC6FC6">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87" w:type="pct"/>
                  <w:vAlign w:val="center"/>
                </w:tcPr>
                <w:p w14:paraId="77824B08">
                  <w:pPr>
                    <w:pStyle w:val="90"/>
                    <w:rPr>
                      <w:color w:val="000000" w:themeColor="text1"/>
                      <w14:textFill>
                        <w14:solidFill>
                          <w14:schemeClr w14:val="tx1"/>
                        </w14:solidFill>
                      </w14:textFill>
                    </w:rPr>
                  </w:pPr>
                  <w:r>
                    <w:rPr>
                      <w:color w:val="000000" w:themeColor="text1"/>
                      <w14:textFill>
                        <w14:solidFill>
                          <w14:schemeClr w14:val="tx1"/>
                        </w14:solidFill>
                      </w14:textFill>
                    </w:rPr>
                    <w:t>μg/L</w:t>
                  </w:r>
                </w:p>
              </w:tc>
            </w:tr>
            <w:tr w14:paraId="59DB5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40" w:type="pct"/>
                  <w:vAlign w:val="center"/>
                </w:tcPr>
                <w:p w14:paraId="4B68CF2D">
                  <w:pPr>
                    <w:pStyle w:val="90"/>
                    <w:rPr>
                      <w:color w:val="000000" w:themeColor="text1"/>
                      <w14:textFill>
                        <w14:solidFill>
                          <w14:schemeClr w14:val="tx1"/>
                        </w14:solidFill>
                      </w14:textFill>
                    </w:rPr>
                  </w:pPr>
                  <w:r>
                    <w:rPr>
                      <w:color w:val="000000" w:themeColor="text1"/>
                      <w14:textFill>
                        <w14:solidFill>
                          <w14:schemeClr w14:val="tx1"/>
                        </w14:solidFill>
                      </w14:textFill>
                    </w:rPr>
                    <w:t>净产水量</w:t>
                  </w:r>
                </w:p>
              </w:tc>
              <w:tc>
                <w:tcPr>
                  <w:tcW w:w="2073" w:type="pct"/>
                  <w:vAlign w:val="center"/>
                </w:tcPr>
                <w:p w14:paraId="5191B856">
                  <w:pPr>
                    <w:pStyle w:val="90"/>
                    <w:rPr>
                      <w:color w:val="000000" w:themeColor="text1"/>
                      <w14:textFill>
                        <w14:solidFill>
                          <w14:schemeClr w14:val="tx1"/>
                        </w14:solidFill>
                      </w14:textFill>
                    </w:rPr>
                  </w:pPr>
                  <w:r>
                    <w:rPr>
                      <w:color w:val="000000" w:themeColor="text1"/>
                      <w14:textFill>
                        <w14:solidFill>
                          <w14:schemeClr w14:val="tx1"/>
                        </w14:solidFill>
                      </w14:textFill>
                    </w:rPr>
                    <w:t>2×20（25℃）</w:t>
                  </w:r>
                </w:p>
              </w:tc>
              <w:tc>
                <w:tcPr>
                  <w:tcW w:w="1187" w:type="pct"/>
                  <w:vAlign w:val="center"/>
                </w:tcPr>
                <w:p w14:paraId="40CB7806">
                  <w:pPr>
                    <w:pStyle w:val="9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r>
          </w:tbl>
          <w:p w14:paraId="37694E2B">
            <w:pPr>
              <w:pStyle w:val="3"/>
              <w:rPr>
                <w:rFonts w:cs="Times New Roman"/>
                <w:color w:val="000000" w:themeColor="text1"/>
                <w14:textFill>
                  <w14:solidFill>
                    <w14:schemeClr w14:val="tx1"/>
                  </w14:solidFill>
                </w14:textFill>
              </w:rPr>
            </w:pPr>
            <w:bookmarkStart w:id="77" w:name="_Toc230448023"/>
            <w:bookmarkStart w:id="78" w:name="_Toc1192734058"/>
            <w:r>
              <w:rPr>
                <w:rFonts w:cs="Times New Roman"/>
                <w:color w:val="000000" w:themeColor="text1"/>
                <w14:textFill>
                  <w14:solidFill>
                    <w14:schemeClr w14:val="tx1"/>
                  </w14:solidFill>
                </w14:textFill>
              </w:rPr>
              <w:t>拟建项目</w:t>
            </w:r>
            <w:r>
              <w:rPr>
                <w:rFonts w:hint="eastAsia" w:cs="Times New Roman"/>
                <w:color w:val="000000" w:themeColor="text1"/>
                <w14:textFill>
                  <w14:solidFill>
                    <w14:schemeClr w14:val="tx1"/>
                  </w14:solidFill>
                </w14:textFill>
              </w:rPr>
              <w:t>给水</w:t>
            </w:r>
            <w:r>
              <w:rPr>
                <w:rFonts w:cs="Times New Roman"/>
                <w:color w:val="000000" w:themeColor="text1"/>
                <w14:textFill>
                  <w14:solidFill>
                    <w14:schemeClr w14:val="tx1"/>
                  </w14:solidFill>
                </w14:textFill>
              </w:rPr>
              <w:t>除</w:t>
            </w:r>
            <w:r>
              <w:rPr>
                <w:rFonts w:hint="eastAsia" w:cs="Times New Roman"/>
                <w:color w:val="000000" w:themeColor="text1"/>
                <w14:textFill>
                  <w14:solidFill>
                    <w14:schemeClr w14:val="tx1"/>
                  </w14:solidFill>
                </w14:textFill>
              </w:rPr>
              <w:t>氧</w:t>
            </w:r>
            <w:r>
              <w:rPr>
                <w:rFonts w:cs="Times New Roman"/>
                <w:color w:val="000000" w:themeColor="text1"/>
                <w14:textFill>
                  <w14:solidFill>
                    <w14:schemeClr w14:val="tx1"/>
                  </w14:solidFill>
                </w14:textFill>
              </w:rPr>
              <w:t>系统</w:t>
            </w:r>
            <w:bookmarkEnd w:id="77"/>
          </w:p>
          <w:p w14:paraId="1A3A94E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（1）拟建项目给水、凝结水加氨系统</w:t>
            </w:r>
          </w:p>
          <w:p w14:paraId="6E34CE1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保证给水pH值控制在8.8~9.3范围内，防止热力系统设备管道的腐蚀，余热利用锅炉设置加氨装置1套（2泵1罐），余气发电设置加氨装置1套（2泵1罐）。加氨处理采用自动加药方式，加药泵为电控计量泵，根据汽水取样系统的pH值或给水流量模拟信号控制加药量。加氨点设在除氧器下降管，氨钢瓶由厂区现有储存库供应。</w:t>
            </w:r>
          </w:p>
          <w:p w14:paraId="2B40F1C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（2）拟建项目给水加联氨系统</w:t>
            </w:r>
          </w:p>
          <w:p w14:paraId="4F5C40E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进一步除去水中的残氧，采用加联氨辅助除氧。在余气发电设置1套组合式自动加联氨装置（2泵1罐）。加联氨处理采用自动加药方式，加药泵为电控计量泵，根据汽水取样系统的给水联氨或给水流量模拟信号控制加药量。给水加氨点设在除氧器的下降管。余热利用锅炉不考虑给水加联氨装置。</w:t>
            </w:r>
          </w:p>
          <w:p w14:paraId="5F327D8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余气发电系统区域设置1套组合式自动加联氨装置，采用“2泵1罐”的冗余配置形式，确保加药系统无间断稳定运行。其中，2台加药泵均选用电控计量泵（精度等级不低于±1%），具备流量可调、自动启停、故障报警及联锁保护功能，单台泵额定流量根据系统最大给水流量、设计除氧要求核算确定，预留10%~15%的流量余量，便于后期工况调整；配套加药罐为密闭式防腐储罐（材质选用PE或不锈钢，容积满足系统24小时连续加药需求），罐体内配备液位计（带高低液位报警功能）、搅拌装置（防止联氨溶液沉淀分层），罐体顶部设置呼吸阀、安全阀，底部设置排污口，便于溶液补充、设备维护及废液排放，整套装置集成安装于专用加药间，配备通风、防腐、防爆设施，符合安全环保规范。</w:t>
            </w:r>
          </w:p>
          <w:p w14:paraId="695B770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联氨处理全程采用自动加药控制方式，实现加药量的精准调控与闭环管理。加药泵的运行状态、加药流量由汽水取样分析系统及给水流量监测系统的模拟信号联动控制：汽水取样系统实时采集给水管道内的联氨浓度、残氧含量数据，并将模拟信号传输至PLC控制系统；同时，给水流量监测装置实时采集给水瞬时流量、累计流量数据，同步传输至控制系统。PLC控制系统根据预设的联氨浓度控制阈值，自动计算所需加药量，进而调节加药泵的转速或冲程，实现加药量与给水流量、残氧含量的动态匹配，确保给水联氨浓度稳定在合格范围，达到深度除氧效果；当检测到联氨浓度超标、残氧含量异常或加药泵故障时，控制系统立即发出声光报警，并联动备用加药泵投入运行（若双泵均故障，触发系统停机预警），保障除氧效果不中断。</w:t>
            </w:r>
          </w:p>
          <w:p w14:paraId="2878926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（3）拟建项目炉水加磷酸盐系统</w:t>
            </w:r>
          </w:p>
          <w:p w14:paraId="4AC58EA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为防止锅内及炉水管路钙镁水垢的沉积和防止锅炉金属腐蚀，采用炉水加磷酸盐进行校正处理。</w:t>
            </w:r>
          </w:p>
          <w:p w14:paraId="3C323D8D">
            <w:pPr>
              <w:pStyle w:val="3"/>
              <w:rPr>
                <w:rFonts w:cs="Times New Roman"/>
                <w:color w:val="000000" w:themeColor="text1"/>
                <w14:textFill>
                  <w14:solidFill>
                    <w14:schemeClr w14:val="tx1"/>
                  </w14:solidFill>
                </w14:textFill>
              </w:rPr>
            </w:pPr>
            <w:bookmarkStart w:id="79" w:name="_Toc230448024"/>
            <w:r>
              <w:rPr>
                <w:rFonts w:cs="Times New Roman"/>
                <w:color w:val="000000" w:themeColor="text1"/>
                <w14:textFill>
                  <w14:solidFill>
                    <w14:schemeClr w14:val="tx1"/>
                  </w14:solidFill>
                </w14:textFill>
              </w:rPr>
              <w:t>拟建项目给排水系统</w:t>
            </w:r>
            <w:bookmarkEnd w:id="79"/>
          </w:p>
          <w:p w14:paraId="5ADDFDB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重点评价拟建项目相关生产用水，现有煤气发电工程相关用水已在原审批环评充分评价。拟建项目生产用水主要供给50MW双超机组和25MW余热机组循环冷却水系统、除盐水系统和锅炉房等，包括汽轮机凝汽器、发电机空冷器、汽轮机冷油器等用水，总新鲜补充水量约为248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/h，生产新水用水分类见表2.</w:t>
            </w:r>
            <w:r>
              <w:rPr>
                <w:rFonts w:hint="eastAsia"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和表2.</w:t>
            </w:r>
            <w:r>
              <w:rPr>
                <w:rFonts w:hint="eastAsia"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；循环冷却水系统总水量为22480m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/h，循环水仅水温升高，未受其它污染，经机械通风冷却塔冷却后进入其下方的集水池，再由循环水泵组加压分别送至各汽机及其配套辅机用户循环使用，循环冷却水用水量见表2.</w:t>
            </w:r>
            <w:r>
              <w:rPr>
                <w:rFonts w:hint="eastAsia"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和表2.</w:t>
            </w:r>
            <w:r>
              <w:rPr>
                <w:rFonts w:hint="eastAsia"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t>。</w:t>
            </w:r>
          </w:p>
          <w:p w14:paraId="3263B1B4">
            <w:pPr>
              <w:numPr>
                <w:ilvl w:val="0"/>
                <w:numId w:val="6"/>
              </w:numPr>
              <w:ind w:left="420"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给水系统</w:t>
            </w:r>
          </w:p>
          <w:p w14:paraId="26CD2F1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机组配有2台110%BMCR容量的变频调速给水泵，1用1备。</w:t>
            </w:r>
          </w:p>
          <w:p w14:paraId="3D5BA891">
            <w:pPr>
              <w:numPr>
                <w:ilvl w:val="0"/>
                <w:numId w:val="6"/>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凝结水系统</w:t>
            </w:r>
          </w:p>
          <w:p w14:paraId="7B15899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凝结水由凝汽器热井经总管引出，2路至2台全容量凝结水泵，凝结水泵出口管合并后一路经汽封冷却器、低压加热至除氧器，1路送至烧结区的除盐水箱。凝结水在进入汽机封冷却器前，1路供给各辅助系统的减温水和补充用水。</w:t>
            </w:r>
          </w:p>
          <w:p w14:paraId="4BF2CE6C">
            <w:pPr>
              <w:numPr>
                <w:ilvl w:val="0"/>
                <w:numId w:val="6"/>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循环冷却水系统</w:t>
            </w:r>
          </w:p>
          <w:p w14:paraId="0DB9BDA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轮机凝汽器、发电机空冷器、汽轮机冷油采用循环冷却水冷却。给水泵油站冷却、凝结水泵轴承冷却、水环真空泵冷却、引送风机轴承等设备冷却水采用工业水。空冷器、冷油器另加一路工业水源。冷却水回水引入循环水池。汽轮机凝汽器设置胶球清洗装置，凝汽器循环水入口设二次滤网。</w:t>
            </w:r>
          </w:p>
          <w:p w14:paraId="6DE2CFA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轮机凝汽器、空冷器、冷油器的冷却用水经使用后仅温度升高，利用余压经回水管路至冷却塔冷却。冷却后的水经冷水池进入吸水井，再由循环水泵加压，经供水管路送至各用水点循环使用。为防止循环水结垢，避免藻类的产生，系统设有加药装置，连续向循环水中投加缓蚀阻垢剂和杀菌灭藻剂。</w:t>
            </w:r>
          </w:p>
          <w:p w14:paraId="286ABAA2">
            <w:pPr>
              <w:numPr>
                <w:ilvl w:val="0"/>
                <w:numId w:val="6"/>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生活给水系统</w:t>
            </w:r>
          </w:p>
          <w:p w14:paraId="6A8EDAB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拟建项目区域内生活给水系统就近接厂区现有生活给水管网，用水量约为8.28m³/d。</w:t>
            </w:r>
          </w:p>
          <w:p w14:paraId="2CB00036">
            <w:pPr>
              <w:numPr>
                <w:ilvl w:val="0"/>
                <w:numId w:val="6"/>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消防给水系统</w:t>
            </w:r>
          </w:p>
          <w:p w14:paraId="270FF9C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工程区域内，新增室内消火栓增压稳压泵组一套，包括消防主泵、稳压泵及气压罐，平常由稳压泵和稳压罐来维持管网的压力，当发生火灾时，随着管网压力下降到一定值，自动启动消防主泵，消防泵设有远程启泵按钮。消防增压稳压泵直接室外生产消防管网吸水。</w:t>
            </w:r>
          </w:p>
          <w:p w14:paraId="1991A30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新建室外消防管网及设施，室外消火栓用水量25L/s，消防管网布置为环状。</w:t>
            </w:r>
          </w:p>
          <w:p w14:paraId="4FC255EB">
            <w:pPr>
              <w:numPr>
                <w:ilvl w:val="0"/>
                <w:numId w:val="6"/>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排污、疏水系统</w:t>
            </w:r>
          </w:p>
          <w:p w14:paraId="42C4281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设1台连续排污扩容器和1台定期排污扩容器。锅炉连排水进入连排扩容器回收二次蒸汽引入除氧器，剩余排污水送定排扩容器。锅炉定排水接入定排扩容器，经扩容降压后再排入锅炉排污池，经降温后的排污水大部分回收利用，系统强排水进入全厂中央污水站；</w:t>
            </w:r>
          </w:p>
          <w:p w14:paraId="7656E8A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拟建项目区域屋面雨水由雨水管道独立收集排放，露天硬化路面初期雨水进行收集处理。区域内生活污水经过化粪池预处理后中央污水站进一步处理。</w:t>
            </w:r>
          </w:p>
          <w:p w14:paraId="7D95FE7B">
            <w:pPr>
              <w:pStyle w:val="351"/>
              <w:spacing w:before="120"/>
              <w:rPr>
                <w:color w:val="000000" w:themeColor="text1"/>
                <w:lang w:bidi="ar"/>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lang w:bidi="ar"/>
                <w14:textFill>
                  <w14:solidFill>
                    <w14:schemeClr w14:val="tx1"/>
                  </w14:solidFill>
                </w14:textFill>
              </w:rPr>
              <w:t xml:space="preserve"> 50MW双超机组生产</w:t>
            </w:r>
            <w:r>
              <w:rPr>
                <w:color w:val="000000" w:themeColor="text1"/>
                <w14:textFill>
                  <w14:solidFill>
                    <w14:schemeClr w14:val="tx1"/>
                  </w14:solidFill>
                </w14:textFill>
              </w:rPr>
              <w:t>新</w:t>
            </w:r>
            <w:r>
              <w:rPr>
                <w:color w:val="000000" w:themeColor="text1"/>
                <w:lang w:bidi="ar"/>
                <w14:textFill>
                  <w14:solidFill>
                    <w14:schemeClr w14:val="tx1"/>
                  </w14:solidFill>
                </w14:textFill>
              </w:rPr>
              <w:t>水用水量</w:t>
            </w:r>
            <w:r>
              <w:rPr>
                <w:color w:val="000000" w:themeColor="text1"/>
                <w14:textFill>
                  <w14:solidFill>
                    <w14:schemeClr w14:val="tx1"/>
                  </w14:solidFill>
                </w14:textFill>
              </w:rPr>
              <w:t>一览表</w:t>
            </w:r>
          </w:p>
          <w:tbl>
            <w:tblPr>
              <w:tblStyle w:val="46"/>
              <w:tblpPr w:leftFromText="180" w:rightFromText="180" w:vertAnchor="text" w:horzAnchor="margin" w:tblpXSpec="center" w:tblpY="7"/>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702"/>
              <w:gridCol w:w="943"/>
              <w:gridCol w:w="2130"/>
              <w:gridCol w:w="1710"/>
              <w:gridCol w:w="1148"/>
              <w:gridCol w:w="1508"/>
            </w:tblGrid>
            <w:tr w14:paraId="51FB6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911" w:hRule="atLeast"/>
                <w:jc w:val="center"/>
              </w:trPr>
              <w:tc>
                <w:tcPr>
                  <w:tcW w:w="431" w:type="pct"/>
                  <w:vAlign w:val="center"/>
                </w:tcPr>
                <w:p w14:paraId="4514D7D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1886" w:type="pct"/>
                  <w:gridSpan w:val="2"/>
                  <w:vAlign w:val="center"/>
                </w:tcPr>
                <w:p w14:paraId="3068643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设备名称</w:t>
                  </w:r>
                </w:p>
              </w:tc>
              <w:tc>
                <w:tcPr>
                  <w:tcW w:w="1050" w:type="pct"/>
                  <w:vAlign w:val="center"/>
                </w:tcPr>
                <w:p w14:paraId="0D06135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用水量</w:t>
                  </w:r>
                </w:p>
                <w:p w14:paraId="19959EF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w:t>
                  </w:r>
                </w:p>
              </w:tc>
              <w:tc>
                <w:tcPr>
                  <w:tcW w:w="705" w:type="pct"/>
                  <w:vAlign w:val="center"/>
                </w:tcPr>
                <w:p w14:paraId="32DDC10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接点压力（MPa）</w:t>
                  </w:r>
                </w:p>
              </w:tc>
              <w:tc>
                <w:tcPr>
                  <w:tcW w:w="925" w:type="pct"/>
                  <w:vAlign w:val="center"/>
                </w:tcPr>
                <w:p w14:paraId="5B6C3F0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备注</w:t>
                  </w:r>
                </w:p>
              </w:tc>
            </w:tr>
            <w:tr w14:paraId="6B8AF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431" w:type="pct"/>
                  <w:vAlign w:val="center"/>
                </w:tcPr>
                <w:p w14:paraId="4E2083B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579" w:type="pct"/>
                  <w:vMerge w:val="restart"/>
                  <w:vAlign w:val="center"/>
                </w:tcPr>
                <w:p w14:paraId="527F763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汽机部分设备冷却水量</w:t>
                  </w:r>
                </w:p>
              </w:tc>
              <w:tc>
                <w:tcPr>
                  <w:tcW w:w="1307" w:type="pct"/>
                  <w:vAlign w:val="center"/>
                </w:tcPr>
                <w:p w14:paraId="74D5036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凝结水泵轴承</w:t>
                  </w:r>
                </w:p>
              </w:tc>
              <w:tc>
                <w:tcPr>
                  <w:tcW w:w="1050" w:type="pct"/>
                  <w:vAlign w:val="center"/>
                </w:tcPr>
                <w:p w14:paraId="315DD5E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2×1.5</w:t>
                  </w:r>
                </w:p>
              </w:tc>
              <w:tc>
                <w:tcPr>
                  <w:tcW w:w="705" w:type="pct"/>
                  <w:vMerge w:val="restart"/>
                  <w:vAlign w:val="center"/>
                </w:tcPr>
                <w:p w14:paraId="74B6C2E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w:t>
                  </w:r>
                </w:p>
              </w:tc>
              <w:tc>
                <w:tcPr>
                  <w:tcW w:w="925" w:type="pct"/>
                  <w:vAlign w:val="center"/>
                </w:tcPr>
                <w:p w14:paraId="376463B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1运1备，连续， </w:t>
                  </w:r>
                </w:p>
              </w:tc>
            </w:tr>
            <w:tr w14:paraId="2E6F8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431" w:type="pct"/>
                  <w:vAlign w:val="center"/>
                </w:tcPr>
                <w:p w14:paraId="54D6660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579" w:type="pct"/>
                  <w:vMerge w:val="continue"/>
                  <w:vAlign w:val="center"/>
                </w:tcPr>
                <w:p w14:paraId="130116E8">
                  <w:pPr>
                    <w:pStyle w:val="138"/>
                    <w:rPr>
                      <w:rFonts w:cs="Times New Roman"/>
                      <w:color w:val="000000" w:themeColor="text1"/>
                      <w14:textFill>
                        <w14:solidFill>
                          <w14:schemeClr w14:val="tx1"/>
                        </w14:solidFill>
                      </w14:textFill>
                    </w:rPr>
                  </w:pPr>
                </w:p>
              </w:tc>
              <w:tc>
                <w:tcPr>
                  <w:tcW w:w="1307" w:type="pct"/>
                  <w:vAlign w:val="center"/>
                </w:tcPr>
                <w:p w14:paraId="4B2865C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水环真空泵</w:t>
                  </w:r>
                </w:p>
              </w:tc>
              <w:tc>
                <w:tcPr>
                  <w:tcW w:w="1050" w:type="pct"/>
                  <w:vAlign w:val="center"/>
                </w:tcPr>
                <w:p w14:paraId="0848A70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2×16</w:t>
                  </w:r>
                </w:p>
              </w:tc>
              <w:tc>
                <w:tcPr>
                  <w:tcW w:w="705" w:type="pct"/>
                  <w:vMerge w:val="continue"/>
                  <w:vAlign w:val="center"/>
                </w:tcPr>
                <w:p w14:paraId="1CBBAB06">
                  <w:pPr>
                    <w:pStyle w:val="138"/>
                    <w:rPr>
                      <w:rFonts w:cs="Times New Roman"/>
                      <w:color w:val="000000" w:themeColor="text1"/>
                      <w14:textFill>
                        <w14:solidFill>
                          <w14:schemeClr w14:val="tx1"/>
                        </w14:solidFill>
                      </w14:textFill>
                    </w:rPr>
                  </w:pPr>
                </w:p>
              </w:tc>
              <w:tc>
                <w:tcPr>
                  <w:tcW w:w="925" w:type="pct"/>
                  <w:vAlign w:val="center"/>
                </w:tcPr>
                <w:p w14:paraId="16D9DE5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1运1备，连续， </w:t>
                  </w:r>
                </w:p>
              </w:tc>
            </w:tr>
            <w:tr w14:paraId="4611F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431" w:type="pct"/>
                  <w:vAlign w:val="center"/>
                </w:tcPr>
                <w:p w14:paraId="662BDAE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579" w:type="pct"/>
                  <w:vMerge w:val="continue"/>
                  <w:vAlign w:val="center"/>
                </w:tcPr>
                <w:p w14:paraId="435F6B97">
                  <w:pPr>
                    <w:pStyle w:val="138"/>
                    <w:rPr>
                      <w:rFonts w:cs="Times New Roman"/>
                      <w:color w:val="000000" w:themeColor="text1"/>
                      <w14:textFill>
                        <w14:solidFill>
                          <w14:schemeClr w14:val="tx1"/>
                        </w14:solidFill>
                      </w14:textFill>
                    </w:rPr>
                  </w:pPr>
                </w:p>
              </w:tc>
              <w:tc>
                <w:tcPr>
                  <w:tcW w:w="1307" w:type="pct"/>
                  <w:vAlign w:val="center"/>
                </w:tcPr>
                <w:p w14:paraId="7696AD2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控制油泵站</w:t>
                  </w:r>
                </w:p>
              </w:tc>
              <w:tc>
                <w:tcPr>
                  <w:tcW w:w="1050" w:type="pct"/>
                  <w:vAlign w:val="center"/>
                </w:tcPr>
                <w:p w14:paraId="1027312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w:t>
                  </w:r>
                </w:p>
              </w:tc>
              <w:tc>
                <w:tcPr>
                  <w:tcW w:w="705" w:type="pct"/>
                  <w:vMerge w:val="continue"/>
                  <w:vAlign w:val="center"/>
                </w:tcPr>
                <w:p w14:paraId="37197768">
                  <w:pPr>
                    <w:pStyle w:val="138"/>
                    <w:rPr>
                      <w:rFonts w:cs="Times New Roman"/>
                      <w:color w:val="000000" w:themeColor="text1"/>
                      <w14:textFill>
                        <w14:solidFill>
                          <w14:schemeClr w14:val="tx1"/>
                        </w14:solidFill>
                      </w14:textFill>
                    </w:rPr>
                  </w:pPr>
                </w:p>
              </w:tc>
              <w:tc>
                <w:tcPr>
                  <w:tcW w:w="925" w:type="pct"/>
                  <w:vAlign w:val="center"/>
                </w:tcPr>
                <w:p w14:paraId="63B02AD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14096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431" w:type="pct"/>
                  <w:vAlign w:val="center"/>
                </w:tcPr>
                <w:p w14:paraId="488671B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579" w:type="pct"/>
                  <w:vMerge w:val="continue"/>
                  <w:vAlign w:val="center"/>
                </w:tcPr>
                <w:p w14:paraId="71F9E0A0">
                  <w:pPr>
                    <w:pStyle w:val="138"/>
                    <w:rPr>
                      <w:rFonts w:cs="Times New Roman"/>
                      <w:color w:val="000000" w:themeColor="text1"/>
                      <w14:textFill>
                        <w14:solidFill>
                          <w14:schemeClr w14:val="tx1"/>
                        </w14:solidFill>
                      </w14:textFill>
                    </w:rPr>
                  </w:pPr>
                </w:p>
              </w:tc>
              <w:tc>
                <w:tcPr>
                  <w:tcW w:w="1307" w:type="pct"/>
                  <w:vAlign w:val="center"/>
                </w:tcPr>
                <w:p w14:paraId="617165C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稀油站</w:t>
                  </w:r>
                </w:p>
              </w:tc>
              <w:tc>
                <w:tcPr>
                  <w:tcW w:w="1050" w:type="pct"/>
                  <w:vAlign w:val="center"/>
                </w:tcPr>
                <w:p w14:paraId="62D5AD1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2×8</w:t>
                  </w:r>
                </w:p>
              </w:tc>
              <w:tc>
                <w:tcPr>
                  <w:tcW w:w="705" w:type="pct"/>
                  <w:vMerge w:val="continue"/>
                  <w:vAlign w:val="center"/>
                </w:tcPr>
                <w:p w14:paraId="349BA82D">
                  <w:pPr>
                    <w:pStyle w:val="138"/>
                    <w:rPr>
                      <w:rFonts w:cs="Times New Roman"/>
                      <w:color w:val="000000" w:themeColor="text1"/>
                      <w14:textFill>
                        <w14:solidFill>
                          <w14:schemeClr w14:val="tx1"/>
                        </w14:solidFill>
                      </w14:textFill>
                    </w:rPr>
                  </w:pPr>
                </w:p>
              </w:tc>
              <w:tc>
                <w:tcPr>
                  <w:tcW w:w="925" w:type="pct"/>
                  <w:vAlign w:val="center"/>
                </w:tcPr>
                <w:p w14:paraId="13A202C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1运1备，连续， </w:t>
                  </w:r>
                </w:p>
              </w:tc>
            </w:tr>
            <w:tr w14:paraId="2389C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90" w:hRule="atLeast"/>
                <w:jc w:val="center"/>
              </w:trPr>
              <w:tc>
                <w:tcPr>
                  <w:tcW w:w="431" w:type="pct"/>
                  <w:vAlign w:val="center"/>
                </w:tcPr>
                <w:p w14:paraId="3BF6422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79" w:type="pct"/>
                  <w:vMerge w:val="continue"/>
                  <w:vAlign w:val="center"/>
                </w:tcPr>
                <w:p w14:paraId="1E7EDDBE">
                  <w:pPr>
                    <w:pStyle w:val="138"/>
                    <w:rPr>
                      <w:rFonts w:cs="Times New Roman"/>
                      <w:color w:val="000000" w:themeColor="text1"/>
                      <w14:textFill>
                        <w14:solidFill>
                          <w14:schemeClr w14:val="tx1"/>
                        </w14:solidFill>
                      </w14:textFill>
                    </w:rPr>
                  </w:pPr>
                </w:p>
              </w:tc>
              <w:tc>
                <w:tcPr>
                  <w:tcW w:w="1307" w:type="pct"/>
                  <w:vAlign w:val="center"/>
                </w:tcPr>
                <w:p w14:paraId="42CF90E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给水泵配套电机</w:t>
                  </w:r>
                </w:p>
              </w:tc>
              <w:tc>
                <w:tcPr>
                  <w:tcW w:w="1050" w:type="pct"/>
                  <w:vAlign w:val="center"/>
                </w:tcPr>
                <w:p w14:paraId="2589EE4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2×30</w:t>
                  </w:r>
                </w:p>
              </w:tc>
              <w:tc>
                <w:tcPr>
                  <w:tcW w:w="705" w:type="pct"/>
                  <w:vMerge w:val="continue"/>
                  <w:vAlign w:val="center"/>
                </w:tcPr>
                <w:p w14:paraId="54D2CF3C">
                  <w:pPr>
                    <w:pStyle w:val="138"/>
                    <w:rPr>
                      <w:rFonts w:cs="Times New Roman"/>
                      <w:color w:val="000000" w:themeColor="text1"/>
                      <w14:textFill>
                        <w14:solidFill>
                          <w14:schemeClr w14:val="tx1"/>
                        </w14:solidFill>
                      </w14:textFill>
                    </w:rPr>
                  </w:pPr>
                </w:p>
              </w:tc>
              <w:tc>
                <w:tcPr>
                  <w:tcW w:w="925" w:type="pct"/>
                  <w:vAlign w:val="center"/>
                </w:tcPr>
                <w:p w14:paraId="0466107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1运1备，连续， </w:t>
                  </w:r>
                </w:p>
              </w:tc>
            </w:tr>
            <w:tr w14:paraId="5B02C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431" w:type="pct"/>
                  <w:vAlign w:val="center"/>
                </w:tcPr>
                <w:p w14:paraId="151182F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579" w:type="pct"/>
                  <w:vMerge w:val="continue"/>
                  <w:vAlign w:val="center"/>
                </w:tcPr>
                <w:p w14:paraId="15913E63">
                  <w:pPr>
                    <w:pStyle w:val="138"/>
                    <w:rPr>
                      <w:rFonts w:cs="Times New Roman"/>
                      <w:color w:val="000000" w:themeColor="text1"/>
                      <w14:textFill>
                        <w14:solidFill>
                          <w14:schemeClr w14:val="tx1"/>
                        </w14:solidFill>
                      </w14:textFill>
                    </w:rPr>
                  </w:pPr>
                </w:p>
              </w:tc>
              <w:tc>
                <w:tcPr>
                  <w:tcW w:w="1307" w:type="pct"/>
                  <w:vAlign w:val="center"/>
                </w:tcPr>
                <w:p w14:paraId="2962E65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给水泵机械密封</w:t>
                  </w:r>
                </w:p>
              </w:tc>
              <w:tc>
                <w:tcPr>
                  <w:tcW w:w="1050" w:type="pct"/>
                  <w:vAlign w:val="center"/>
                </w:tcPr>
                <w:p w14:paraId="4F104D4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w:t>
                  </w:r>
                </w:p>
              </w:tc>
              <w:tc>
                <w:tcPr>
                  <w:tcW w:w="705" w:type="pct"/>
                  <w:vMerge w:val="continue"/>
                  <w:vAlign w:val="center"/>
                </w:tcPr>
                <w:p w14:paraId="6A39931B">
                  <w:pPr>
                    <w:pStyle w:val="138"/>
                    <w:rPr>
                      <w:rFonts w:cs="Times New Roman"/>
                      <w:color w:val="000000" w:themeColor="text1"/>
                      <w14:textFill>
                        <w14:solidFill>
                          <w14:schemeClr w14:val="tx1"/>
                        </w14:solidFill>
                      </w14:textFill>
                    </w:rPr>
                  </w:pPr>
                </w:p>
              </w:tc>
              <w:tc>
                <w:tcPr>
                  <w:tcW w:w="925" w:type="pct"/>
                  <w:vAlign w:val="center"/>
                </w:tcPr>
                <w:p w14:paraId="7E5B99E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1运1备，连续， </w:t>
                  </w:r>
                </w:p>
              </w:tc>
            </w:tr>
            <w:tr w14:paraId="619C9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90" w:hRule="atLeast"/>
                <w:jc w:val="center"/>
              </w:trPr>
              <w:tc>
                <w:tcPr>
                  <w:tcW w:w="431" w:type="pct"/>
                  <w:vAlign w:val="center"/>
                </w:tcPr>
                <w:p w14:paraId="1C45701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579" w:type="pct"/>
                  <w:vMerge w:val="restart"/>
                  <w:vAlign w:val="center"/>
                </w:tcPr>
                <w:p w14:paraId="16F33CD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锅炉部分冷却水水量</w:t>
                  </w:r>
                </w:p>
              </w:tc>
              <w:tc>
                <w:tcPr>
                  <w:tcW w:w="1307" w:type="pct"/>
                  <w:vAlign w:val="center"/>
                </w:tcPr>
                <w:p w14:paraId="0E87452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送风机</w:t>
                  </w:r>
                </w:p>
              </w:tc>
              <w:tc>
                <w:tcPr>
                  <w:tcW w:w="1050" w:type="pct"/>
                  <w:vAlign w:val="center"/>
                </w:tcPr>
                <w:p w14:paraId="77C174A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2×1.5</w:t>
                  </w:r>
                </w:p>
              </w:tc>
              <w:tc>
                <w:tcPr>
                  <w:tcW w:w="705" w:type="pct"/>
                  <w:vMerge w:val="continue"/>
                  <w:vAlign w:val="center"/>
                </w:tcPr>
                <w:p w14:paraId="262D96B0">
                  <w:pPr>
                    <w:pStyle w:val="138"/>
                    <w:rPr>
                      <w:rFonts w:cs="Times New Roman"/>
                      <w:color w:val="000000" w:themeColor="text1"/>
                      <w14:textFill>
                        <w14:solidFill>
                          <w14:schemeClr w14:val="tx1"/>
                        </w14:solidFill>
                      </w14:textFill>
                    </w:rPr>
                  </w:pPr>
                </w:p>
              </w:tc>
              <w:tc>
                <w:tcPr>
                  <w:tcW w:w="925" w:type="pct"/>
                  <w:vAlign w:val="center"/>
                </w:tcPr>
                <w:p w14:paraId="0CF56A3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79411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431" w:type="pct"/>
                  <w:vAlign w:val="center"/>
                </w:tcPr>
                <w:p w14:paraId="3824FA0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579" w:type="pct"/>
                  <w:vMerge w:val="continue"/>
                  <w:vAlign w:val="center"/>
                </w:tcPr>
                <w:p w14:paraId="0676573E">
                  <w:pPr>
                    <w:pStyle w:val="138"/>
                    <w:rPr>
                      <w:rFonts w:cs="Times New Roman"/>
                      <w:color w:val="000000" w:themeColor="text1"/>
                      <w14:textFill>
                        <w14:solidFill>
                          <w14:schemeClr w14:val="tx1"/>
                        </w14:solidFill>
                      </w14:textFill>
                    </w:rPr>
                  </w:pPr>
                </w:p>
              </w:tc>
              <w:tc>
                <w:tcPr>
                  <w:tcW w:w="1307" w:type="pct"/>
                  <w:vAlign w:val="center"/>
                </w:tcPr>
                <w:p w14:paraId="58BD8C8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引风机</w:t>
                  </w:r>
                </w:p>
              </w:tc>
              <w:tc>
                <w:tcPr>
                  <w:tcW w:w="1050" w:type="pct"/>
                  <w:vAlign w:val="center"/>
                </w:tcPr>
                <w:p w14:paraId="43E18F2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w:t>
                  </w:r>
                </w:p>
              </w:tc>
              <w:tc>
                <w:tcPr>
                  <w:tcW w:w="705" w:type="pct"/>
                  <w:vMerge w:val="continue"/>
                  <w:vAlign w:val="center"/>
                </w:tcPr>
                <w:p w14:paraId="19461B15">
                  <w:pPr>
                    <w:pStyle w:val="138"/>
                    <w:rPr>
                      <w:rFonts w:cs="Times New Roman"/>
                      <w:color w:val="000000" w:themeColor="text1"/>
                      <w14:textFill>
                        <w14:solidFill>
                          <w14:schemeClr w14:val="tx1"/>
                        </w14:solidFill>
                      </w14:textFill>
                    </w:rPr>
                  </w:pPr>
                </w:p>
              </w:tc>
              <w:tc>
                <w:tcPr>
                  <w:tcW w:w="925" w:type="pct"/>
                  <w:vAlign w:val="center"/>
                </w:tcPr>
                <w:p w14:paraId="365717D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7DFCD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431" w:type="pct"/>
                  <w:vAlign w:val="center"/>
                </w:tcPr>
                <w:p w14:paraId="4D7C7EA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w:t>
                  </w:r>
                </w:p>
              </w:tc>
              <w:tc>
                <w:tcPr>
                  <w:tcW w:w="579" w:type="pct"/>
                  <w:vMerge w:val="continue"/>
                  <w:vAlign w:val="center"/>
                </w:tcPr>
                <w:p w14:paraId="43261851">
                  <w:pPr>
                    <w:pStyle w:val="138"/>
                    <w:rPr>
                      <w:rFonts w:cs="Times New Roman"/>
                      <w:color w:val="000000" w:themeColor="text1"/>
                      <w14:textFill>
                        <w14:solidFill>
                          <w14:schemeClr w14:val="tx1"/>
                        </w14:solidFill>
                      </w14:textFill>
                    </w:rPr>
                  </w:pPr>
                </w:p>
              </w:tc>
              <w:tc>
                <w:tcPr>
                  <w:tcW w:w="1307" w:type="pct"/>
                  <w:vAlign w:val="center"/>
                </w:tcPr>
                <w:p w14:paraId="4CEC9FE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集中取样装置</w:t>
                  </w:r>
                </w:p>
              </w:tc>
              <w:tc>
                <w:tcPr>
                  <w:tcW w:w="1050" w:type="pct"/>
                  <w:vAlign w:val="center"/>
                </w:tcPr>
                <w:p w14:paraId="57EF905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1×28</w:t>
                  </w:r>
                </w:p>
              </w:tc>
              <w:tc>
                <w:tcPr>
                  <w:tcW w:w="705" w:type="pct"/>
                  <w:vMerge w:val="continue"/>
                  <w:vAlign w:val="center"/>
                </w:tcPr>
                <w:p w14:paraId="05BD356C">
                  <w:pPr>
                    <w:pStyle w:val="138"/>
                    <w:rPr>
                      <w:rFonts w:cs="Times New Roman"/>
                      <w:color w:val="000000" w:themeColor="text1"/>
                      <w14:textFill>
                        <w14:solidFill>
                          <w14:schemeClr w14:val="tx1"/>
                        </w14:solidFill>
                      </w14:textFill>
                    </w:rPr>
                  </w:pPr>
                </w:p>
              </w:tc>
              <w:tc>
                <w:tcPr>
                  <w:tcW w:w="925" w:type="pct"/>
                  <w:vAlign w:val="center"/>
                </w:tcPr>
                <w:p w14:paraId="216CE23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6FFB4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431" w:type="pct"/>
                  <w:vAlign w:val="center"/>
                </w:tcPr>
                <w:p w14:paraId="6088E90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579" w:type="pct"/>
                  <w:vMerge w:val="continue"/>
                  <w:vAlign w:val="center"/>
                </w:tcPr>
                <w:p w14:paraId="15ACFA5A">
                  <w:pPr>
                    <w:pStyle w:val="138"/>
                    <w:rPr>
                      <w:rFonts w:cs="Times New Roman"/>
                      <w:color w:val="000000" w:themeColor="text1"/>
                      <w14:textFill>
                        <w14:solidFill>
                          <w14:schemeClr w14:val="tx1"/>
                        </w14:solidFill>
                      </w14:textFill>
                    </w:rPr>
                  </w:pPr>
                </w:p>
              </w:tc>
              <w:tc>
                <w:tcPr>
                  <w:tcW w:w="1307" w:type="pct"/>
                  <w:vAlign w:val="center"/>
                </w:tcPr>
                <w:p w14:paraId="1A0C361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w:t>
                  </w:r>
                </w:p>
              </w:tc>
              <w:tc>
                <w:tcPr>
                  <w:tcW w:w="1050" w:type="pct"/>
                  <w:vAlign w:val="center"/>
                </w:tcPr>
                <w:p w14:paraId="75C7572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1×10</w:t>
                  </w:r>
                </w:p>
              </w:tc>
              <w:tc>
                <w:tcPr>
                  <w:tcW w:w="705" w:type="pct"/>
                  <w:vMerge w:val="continue"/>
                  <w:vAlign w:val="center"/>
                </w:tcPr>
                <w:p w14:paraId="7FFC9357">
                  <w:pPr>
                    <w:pStyle w:val="138"/>
                    <w:rPr>
                      <w:rFonts w:cs="Times New Roman"/>
                      <w:color w:val="000000" w:themeColor="text1"/>
                      <w14:textFill>
                        <w14:solidFill>
                          <w14:schemeClr w14:val="tx1"/>
                        </w14:solidFill>
                      </w14:textFill>
                    </w:rPr>
                  </w:pPr>
                </w:p>
              </w:tc>
              <w:tc>
                <w:tcPr>
                  <w:tcW w:w="925" w:type="pct"/>
                  <w:vAlign w:val="center"/>
                </w:tcPr>
                <w:p w14:paraId="27716E3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3E6C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2318" w:type="pct"/>
                  <w:gridSpan w:val="3"/>
                  <w:vAlign w:val="center"/>
                </w:tcPr>
                <w:p w14:paraId="34D4ABC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总计</w:t>
                  </w:r>
                </w:p>
              </w:tc>
              <w:tc>
                <w:tcPr>
                  <w:tcW w:w="1050" w:type="pct"/>
                  <w:vAlign w:val="center"/>
                </w:tcPr>
                <w:p w14:paraId="20491691">
                  <w:pPr>
                    <w:pStyle w:val="138"/>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169</w:t>
                  </w:r>
                </w:p>
              </w:tc>
              <w:tc>
                <w:tcPr>
                  <w:tcW w:w="705" w:type="pct"/>
                  <w:vAlign w:val="center"/>
                </w:tcPr>
                <w:p w14:paraId="0A81D19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25" w:type="pct"/>
                  <w:vAlign w:val="center"/>
                </w:tcPr>
                <w:p w14:paraId="599FAC7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2F18F01D">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lang w:bidi="ar"/>
                <w14:textFill>
                  <w14:solidFill>
                    <w14:schemeClr w14:val="tx1"/>
                  </w14:solidFill>
                </w14:textFill>
              </w:rPr>
              <w:t xml:space="preserve"> </w:t>
            </w:r>
            <w:r>
              <w:rPr>
                <w:color w:val="000000" w:themeColor="text1"/>
                <w14:textFill>
                  <w14:solidFill>
                    <w14:schemeClr w14:val="tx1"/>
                  </w14:solidFill>
                </w14:textFill>
              </w:rPr>
              <w:t>25MW余热机组</w:t>
            </w:r>
            <w:r>
              <w:rPr>
                <w:color w:val="000000" w:themeColor="text1"/>
                <w:lang w:bidi="ar"/>
                <w14:textFill>
                  <w14:solidFill>
                    <w14:schemeClr w14:val="tx1"/>
                  </w14:solidFill>
                </w14:textFill>
              </w:rPr>
              <w:t>生产</w:t>
            </w:r>
            <w:r>
              <w:rPr>
                <w:color w:val="000000" w:themeColor="text1"/>
                <w14:textFill>
                  <w14:solidFill>
                    <w14:schemeClr w14:val="tx1"/>
                  </w14:solidFill>
                </w14:textFill>
              </w:rPr>
              <w:t>新</w:t>
            </w:r>
            <w:r>
              <w:rPr>
                <w:color w:val="000000" w:themeColor="text1"/>
                <w:lang w:bidi="ar"/>
                <w14:textFill>
                  <w14:solidFill>
                    <w14:schemeClr w14:val="tx1"/>
                  </w14:solidFill>
                </w14:textFill>
              </w:rPr>
              <w:t>水用水量</w:t>
            </w:r>
            <w:r>
              <w:rPr>
                <w:color w:val="000000" w:themeColor="text1"/>
                <w14:textFill>
                  <w14:solidFill>
                    <w14:schemeClr w14:val="tx1"/>
                  </w14:solidFill>
                </w14:textFill>
              </w:rPr>
              <w:t>一览表</w:t>
            </w:r>
          </w:p>
          <w:tbl>
            <w:tblPr>
              <w:tblStyle w:val="46"/>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11"/>
              <w:gridCol w:w="3167"/>
              <w:gridCol w:w="1885"/>
              <w:gridCol w:w="2476"/>
            </w:tblGrid>
            <w:tr w14:paraId="1700E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375" w:type="pct"/>
                  <w:vAlign w:val="center"/>
                </w:tcPr>
                <w:p w14:paraId="333158E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1944" w:type="pct"/>
                  <w:vAlign w:val="center"/>
                </w:tcPr>
                <w:p w14:paraId="0AE704D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用户名称</w:t>
                  </w:r>
                </w:p>
              </w:tc>
              <w:tc>
                <w:tcPr>
                  <w:tcW w:w="1158" w:type="pct"/>
                  <w:vAlign w:val="center"/>
                </w:tcPr>
                <w:p w14:paraId="1F563A2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用水量（m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w:t>
                  </w:r>
                </w:p>
              </w:tc>
              <w:tc>
                <w:tcPr>
                  <w:tcW w:w="1521" w:type="pct"/>
                  <w:vAlign w:val="center"/>
                </w:tcPr>
                <w:p w14:paraId="2EE4890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备  注</w:t>
                  </w:r>
                </w:p>
              </w:tc>
            </w:tr>
            <w:tr w14:paraId="04DEA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5" w:type="pct"/>
                  <w:vAlign w:val="center"/>
                </w:tcPr>
                <w:p w14:paraId="165F970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1944" w:type="pct"/>
                  <w:vAlign w:val="center"/>
                </w:tcPr>
                <w:p w14:paraId="222579A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凝结水泵轴承</w:t>
                  </w:r>
                </w:p>
              </w:tc>
              <w:tc>
                <w:tcPr>
                  <w:tcW w:w="1158" w:type="pct"/>
                  <w:vAlign w:val="center"/>
                </w:tcPr>
                <w:p w14:paraId="7428578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2×1.5</w:t>
                  </w:r>
                </w:p>
              </w:tc>
              <w:tc>
                <w:tcPr>
                  <w:tcW w:w="1521" w:type="pct"/>
                  <w:vAlign w:val="center"/>
                </w:tcPr>
                <w:p w14:paraId="4A6FC64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14:paraId="49710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5" w:type="pct"/>
                  <w:vAlign w:val="center"/>
                </w:tcPr>
                <w:p w14:paraId="48C4B91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1944" w:type="pct"/>
                  <w:vAlign w:val="center"/>
                </w:tcPr>
                <w:p w14:paraId="172E474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水环真空泵</w:t>
                  </w:r>
                </w:p>
              </w:tc>
              <w:tc>
                <w:tcPr>
                  <w:tcW w:w="1158" w:type="pct"/>
                  <w:vAlign w:val="center"/>
                </w:tcPr>
                <w:p w14:paraId="6F44260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1×16</w:t>
                  </w:r>
                </w:p>
              </w:tc>
              <w:tc>
                <w:tcPr>
                  <w:tcW w:w="1521" w:type="pct"/>
                  <w:vAlign w:val="center"/>
                </w:tcPr>
                <w:p w14:paraId="0236396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14:paraId="59B19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5" w:type="pct"/>
                  <w:vAlign w:val="center"/>
                </w:tcPr>
                <w:p w14:paraId="6FB0465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1944" w:type="pct"/>
                  <w:vAlign w:val="center"/>
                </w:tcPr>
                <w:p w14:paraId="7C2EF94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控制油泵站</w:t>
                  </w:r>
                </w:p>
              </w:tc>
              <w:tc>
                <w:tcPr>
                  <w:tcW w:w="1158" w:type="pct"/>
                  <w:vAlign w:val="center"/>
                </w:tcPr>
                <w:p w14:paraId="55AF179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w:t>
                  </w:r>
                </w:p>
              </w:tc>
              <w:tc>
                <w:tcPr>
                  <w:tcW w:w="1521" w:type="pct"/>
                  <w:vAlign w:val="center"/>
                </w:tcPr>
                <w:p w14:paraId="136A449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14:paraId="7F717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20" w:type="pct"/>
                  <w:gridSpan w:val="2"/>
                  <w:vAlign w:val="center"/>
                </w:tcPr>
                <w:p w14:paraId="1F15C18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总计</w:t>
                  </w:r>
                </w:p>
              </w:tc>
              <w:tc>
                <w:tcPr>
                  <w:tcW w:w="1158" w:type="pct"/>
                  <w:vAlign w:val="center"/>
                </w:tcPr>
                <w:p w14:paraId="42AD5777">
                  <w:pPr>
                    <w:pStyle w:val="138"/>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22</w:t>
                  </w:r>
                </w:p>
              </w:tc>
              <w:tc>
                <w:tcPr>
                  <w:tcW w:w="1521" w:type="pct"/>
                  <w:vAlign w:val="center"/>
                </w:tcPr>
                <w:p w14:paraId="065ABDF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36CEE36D">
            <w:pPr>
              <w:pStyle w:val="353"/>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2.7</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50MW双超机组循环冷却水用水量一览表</w:t>
            </w:r>
          </w:p>
          <w:tbl>
            <w:tblPr>
              <w:tblStyle w:val="46"/>
              <w:tblW w:w="492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84"/>
              <w:gridCol w:w="1947"/>
              <w:gridCol w:w="1087"/>
              <w:gridCol w:w="951"/>
              <w:gridCol w:w="1000"/>
              <w:gridCol w:w="1002"/>
              <w:gridCol w:w="1556"/>
            </w:tblGrid>
            <w:tr w14:paraId="14C3C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 w:type="pct"/>
                  <w:vAlign w:val="center"/>
                </w:tcPr>
                <w:p w14:paraId="09A3F8E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1215" w:type="pct"/>
                  <w:vAlign w:val="center"/>
                </w:tcPr>
                <w:p w14:paraId="7FB26E7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设备名称</w:t>
                  </w:r>
                </w:p>
              </w:tc>
              <w:tc>
                <w:tcPr>
                  <w:tcW w:w="680" w:type="pct"/>
                  <w:vAlign w:val="center"/>
                </w:tcPr>
                <w:p w14:paraId="73E9A84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冷却水量（m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w:t>
                  </w:r>
                </w:p>
              </w:tc>
              <w:tc>
                <w:tcPr>
                  <w:tcW w:w="573" w:type="pct"/>
                  <w:vAlign w:val="center"/>
                </w:tcPr>
                <w:p w14:paraId="2F540C8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水阻（kPa）</w:t>
                  </w:r>
                </w:p>
              </w:tc>
              <w:tc>
                <w:tcPr>
                  <w:tcW w:w="626" w:type="pct"/>
                  <w:vAlign w:val="center"/>
                </w:tcPr>
                <w:p w14:paraId="5108CA3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设计水温（℃）</w:t>
                  </w:r>
                </w:p>
              </w:tc>
              <w:tc>
                <w:tcPr>
                  <w:tcW w:w="627" w:type="pct"/>
                  <w:vAlign w:val="center"/>
                </w:tcPr>
                <w:p w14:paraId="6DC42FD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排水温升（℃）</w:t>
                  </w:r>
                </w:p>
              </w:tc>
              <w:tc>
                <w:tcPr>
                  <w:tcW w:w="970" w:type="pct"/>
                  <w:vAlign w:val="center"/>
                </w:tcPr>
                <w:p w14:paraId="1899D7E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备注</w:t>
                  </w:r>
                </w:p>
              </w:tc>
            </w:tr>
            <w:tr w14:paraId="42F8C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 w:type="pct"/>
                  <w:vAlign w:val="center"/>
                </w:tcPr>
                <w:p w14:paraId="4FCAA6C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1215" w:type="pct"/>
                  <w:vAlign w:val="center"/>
                </w:tcPr>
                <w:p w14:paraId="2DFD669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汽轮机凝汽器</w:t>
                  </w:r>
                </w:p>
              </w:tc>
              <w:tc>
                <w:tcPr>
                  <w:tcW w:w="680" w:type="pct"/>
                  <w:vAlign w:val="center"/>
                </w:tcPr>
                <w:p w14:paraId="4772EAF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1×9900</w:t>
                  </w:r>
                </w:p>
              </w:tc>
              <w:tc>
                <w:tcPr>
                  <w:tcW w:w="573" w:type="pct"/>
                  <w:vAlign w:val="center"/>
                </w:tcPr>
                <w:p w14:paraId="6EFCD2B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626" w:type="pct"/>
                  <w:vAlign w:val="center"/>
                </w:tcPr>
                <w:p w14:paraId="5483875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w:t>
                  </w:r>
                </w:p>
              </w:tc>
              <w:tc>
                <w:tcPr>
                  <w:tcW w:w="627" w:type="pct"/>
                  <w:vAlign w:val="center"/>
                </w:tcPr>
                <w:p w14:paraId="4E57C68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970" w:type="pct"/>
                  <w:vAlign w:val="center"/>
                </w:tcPr>
                <w:p w14:paraId="4AD6A4A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52229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 w:type="pct"/>
                  <w:vAlign w:val="center"/>
                </w:tcPr>
                <w:p w14:paraId="2CBFBBE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1215" w:type="pct"/>
                  <w:vAlign w:val="center"/>
                </w:tcPr>
                <w:p w14:paraId="5B2E423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发电机空冷器</w:t>
                  </w:r>
                </w:p>
              </w:tc>
              <w:tc>
                <w:tcPr>
                  <w:tcW w:w="680" w:type="pct"/>
                  <w:vAlign w:val="center"/>
                </w:tcPr>
                <w:p w14:paraId="58E3E2C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1×350</w:t>
                  </w:r>
                </w:p>
              </w:tc>
              <w:tc>
                <w:tcPr>
                  <w:tcW w:w="573" w:type="pct"/>
                  <w:vAlign w:val="center"/>
                </w:tcPr>
                <w:p w14:paraId="44CBAD9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c>
                <w:tcPr>
                  <w:tcW w:w="626" w:type="pct"/>
                  <w:vAlign w:val="center"/>
                </w:tcPr>
                <w:p w14:paraId="6DA009A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w:t>
                  </w:r>
                </w:p>
              </w:tc>
              <w:tc>
                <w:tcPr>
                  <w:tcW w:w="627" w:type="pct"/>
                  <w:vAlign w:val="center"/>
                </w:tcPr>
                <w:p w14:paraId="50AD3E4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970" w:type="pct"/>
                  <w:vAlign w:val="center"/>
                </w:tcPr>
                <w:p w14:paraId="4BA69C3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1A0CF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 w:type="pct"/>
                  <w:vAlign w:val="center"/>
                </w:tcPr>
                <w:p w14:paraId="6808831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1215" w:type="pct"/>
                  <w:vAlign w:val="center"/>
                </w:tcPr>
                <w:p w14:paraId="1CADD27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润滑油冷油器</w:t>
                  </w:r>
                </w:p>
              </w:tc>
              <w:tc>
                <w:tcPr>
                  <w:tcW w:w="680" w:type="pct"/>
                  <w:vAlign w:val="center"/>
                </w:tcPr>
                <w:p w14:paraId="7A278F5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2×120</w:t>
                  </w:r>
                </w:p>
              </w:tc>
              <w:tc>
                <w:tcPr>
                  <w:tcW w:w="573" w:type="pct"/>
                  <w:vAlign w:val="center"/>
                </w:tcPr>
                <w:p w14:paraId="51B7341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626" w:type="pct"/>
                  <w:vAlign w:val="center"/>
                </w:tcPr>
                <w:p w14:paraId="0222045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w:t>
                  </w:r>
                </w:p>
              </w:tc>
              <w:tc>
                <w:tcPr>
                  <w:tcW w:w="627" w:type="pct"/>
                  <w:vAlign w:val="center"/>
                </w:tcPr>
                <w:p w14:paraId="480576B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970" w:type="pct"/>
                  <w:vAlign w:val="center"/>
                </w:tcPr>
                <w:p w14:paraId="4CD5A9C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1BDB5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21" w:type="pct"/>
                  <w:gridSpan w:val="2"/>
                  <w:vAlign w:val="center"/>
                </w:tcPr>
                <w:p w14:paraId="3D438E2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680" w:type="pct"/>
                  <w:vAlign w:val="center"/>
                </w:tcPr>
                <w:p w14:paraId="34E5337A">
                  <w:pPr>
                    <w:pStyle w:val="138"/>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10490</w:t>
                  </w:r>
                </w:p>
              </w:tc>
              <w:tc>
                <w:tcPr>
                  <w:tcW w:w="2798" w:type="pct"/>
                  <w:gridSpan w:val="4"/>
                  <w:vAlign w:val="center"/>
                </w:tcPr>
                <w:p w14:paraId="0899EDD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7426C604">
            <w:pPr>
              <w:pStyle w:val="97"/>
              <w:spacing w:before="120" w:after="120"/>
              <w:rPr>
                <w:rFonts w:cs="Times New Roman"/>
                <w:color w:val="000000" w:themeColor="text1"/>
                <w:szCs w:val="24"/>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2.7</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 xml:space="preserve">  </w:t>
            </w:r>
            <w:r>
              <w:rPr>
                <w:rFonts w:cs="Times New Roman"/>
                <w:color w:val="000000" w:themeColor="text1"/>
                <w:szCs w:val="24"/>
                <w14:textFill>
                  <w14:solidFill>
                    <w14:schemeClr w14:val="tx1"/>
                  </w14:solidFill>
                </w14:textFill>
              </w:rPr>
              <w:t>25MW余热发电机组循环冷却水用水量一览表</w:t>
            </w:r>
          </w:p>
          <w:tbl>
            <w:tblPr>
              <w:tblStyle w:val="46"/>
              <w:tblW w:w="4991" w:type="pct"/>
              <w:tblInd w:w="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31"/>
              <w:gridCol w:w="1911"/>
              <w:gridCol w:w="1197"/>
              <w:gridCol w:w="869"/>
              <w:gridCol w:w="947"/>
              <w:gridCol w:w="1077"/>
              <w:gridCol w:w="1599"/>
            </w:tblGrid>
            <w:tr w14:paraId="3E7A7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7" w:type="pct"/>
                  <w:vAlign w:val="center"/>
                </w:tcPr>
                <w:p w14:paraId="255D7C2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1175" w:type="pct"/>
                  <w:vAlign w:val="center"/>
                </w:tcPr>
                <w:p w14:paraId="61078AC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设备名称</w:t>
                  </w:r>
                </w:p>
              </w:tc>
              <w:tc>
                <w:tcPr>
                  <w:tcW w:w="736" w:type="pct"/>
                  <w:vAlign w:val="center"/>
                </w:tcPr>
                <w:p w14:paraId="165AF46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冷却水量m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w:t>
                  </w:r>
                </w:p>
              </w:tc>
              <w:tc>
                <w:tcPr>
                  <w:tcW w:w="534" w:type="pct"/>
                  <w:vAlign w:val="center"/>
                </w:tcPr>
                <w:p w14:paraId="2C80313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水阻kPa</w:t>
                  </w:r>
                </w:p>
              </w:tc>
              <w:tc>
                <w:tcPr>
                  <w:tcW w:w="582" w:type="pct"/>
                  <w:vAlign w:val="center"/>
                </w:tcPr>
                <w:p w14:paraId="79A7AE7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设计水温℃</w:t>
                  </w:r>
                </w:p>
              </w:tc>
              <w:tc>
                <w:tcPr>
                  <w:tcW w:w="662" w:type="pct"/>
                  <w:vAlign w:val="center"/>
                </w:tcPr>
                <w:p w14:paraId="2D203DC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排水温升℃</w:t>
                  </w:r>
                </w:p>
              </w:tc>
              <w:tc>
                <w:tcPr>
                  <w:tcW w:w="982" w:type="pct"/>
                  <w:vAlign w:val="center"/>
                </w:tcPr>
                <w:p w14:paraId="2D87964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备 注</w:t>
                  </w:r>
                </w:p>
              </w:tc>
            </w:tr>
            <w:tr w14:paraId="74CD9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7" w:type="pct"/>
                  <w:vAlign w:val="center"/>
                </w:tcPr>
                <w:p w14:paraId="07116D9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1175" w:type="pct"/>
                  <w:vAlign w:val="center"/>
                </w:tcPr>
                <w:p w14:paraId="5514C92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汽轮机凝汽器</w:t>
                  </w:r>
                </w:p>
              </w:tc>
              <w:tc>
                <w:tcPr>
                  <w:tcW w:w="736" w:type="pct"/>
                  <w:vAlign w:val="center"/>
                </w:tcPr>
                <w:p w14:paraId="5CE61B7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1×11500</w:t>
                  </w:r>
                </w:p>
              </w:tc>
              <w:tc>
                <w:tcPr>
                  <w:tcW w:w="534" w:type="pct"/>
                  <w:vAlign w:val="center"/>
                </w:tcPr>
                <w:p w14:paraId="11AB39E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w:t>
                  </w:r>
                </w:p>
              </w:tc>
              <w:tc>
                <w:tcPr>
                  <w:tcW w:w="582" w:type="pct"/>
                  <w:vAlign w:val="center"/>
                </w:tcPr>
                <w:p w14:paraId="7DECBAF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w:t>
                  </w:r>
                </w:p>
              </w:tc>
              <w:tc>
                <w:tcPr>
                  <w:tcW w:w="662" w:type="pct"/>
                  <w:vAlign w:val="center"/>
                </w:tcPr>
                <w:p w14:paraId="53D2683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982" w:type="pct"/>
                  <w:vAlign w:val="center"/>
                </w:tcPr>
                <w:p w14:paraId="1F307E3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419DA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7" w:type="pct"/>
                  <w:vAlign w:val="center"/>
                </w:tcPr>
                <w:p w14:paraId="250CAEC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1175" w:type="pct"/>
                  <w:vAlign w:val="center"/>
                </w:tcPr>
                <w:p w14:paraId="0D71B66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发电机空气冷却器</w:t>
                  </w:r>
                </w:p>
              </w:tc>
              <w:tc>
                <w:tcPr>
                  <w:tcW w:w="736" w:type="pct"/>
                  <w:vAlign w:val="center"/>
                </w:tcPr>
                <w:p w14:paraId="60976BD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1×250</w:t>
                  </w:r>
                </w:p>
              </w:tc>
              <w:tc>
                <w:tcPr>
                  <w:tcW w:w="534" w:type="pct"/>
                  <w:vAlign w:val="center"/>
                </w:tcPr>
                <w:p w14:paraId="4F92D34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582" w:type="pct"/>
                  <w:vAlign w:val="center"/>
                </w:tcPr>
                <w:p w14:paraId="0452257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w:t>
                  </w:r>
                </w:p>
              </w:tc>
              <w:tc>
                <w:tcPr>
                  <w:tcW w:w="662" w:type="pct"/>
                  <w:vAlign w:val="center"/>
                </w:tcPr>
                <w:p w14:paraId="37CADBE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982" w:type="pct"/>
                  <w:vAlign w:val="center"/>
                </w:tcPr>
                <w:p w14:paraId="0791B7B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4D311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7" w:type="pct"/>
                  <w:vAlign w:val="center"/>
                </w:tcPr>
                <w:p w14:paraId="1B15CF3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1175" w:type="pct"/>
                  <w:vAlign w:val="center"/>
                </w:tcPr>
                <w:p w14:paraId="5A088F1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汽机冷油器</w:t>
                  </w:r>
                </w:p>
              </w:tc>
              <w:tc>
                <w:tcPr>
                  <w:tcW w:w="736" w:type="pct"/>
                  <w:vAlign w:val="center"/>
                </w:tcPr>
                <w:p w14:paraId="3566D20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2×120</w:t>
                  </w:r>
                </w:p>
              </w:tc>
              <w:tc>
                <w:tcPr>
                  <w:tcW w:w="534" w:type="pct"/>
                  <w:vAlign w:val="center"/>
                </w:tcPr>
                <w:p w14:paraId="7A537F6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582" w:type="pct"/>
                  <w:vAlign w:val="center"/>
                </w:tcPr>
                <w:p w14:paraId="53F967B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w:t>
                  </w:r>
                </w:p>
              </w:tc>
              <w:tc>
                <w:tcPr>
                  <w:tcW w:w="662" w:type="pct"/>
                  <w:vAlign w:val="center"/>
                </w:tcPr>
                <w:p w14:paraId="10C85EA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8~10</w:t>
                  </w:r>
                </w:p>
              </w:tc>
              <w:tc>
                <w:tcPr>
                  <w:tcW w:w="982" w:type="pct"/>
                  <w:vAlign w:val="center"/>
                </w:tcPr>
                <w:p w14:paraId="2221059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连续（1用1备）</w:t>
                  </w:r>
                </w:p>
              </w:tc>
            </w:tr>
            <w:tr w14:paraId="65972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02" w:type="pct"/>
                  <w:gridSpan w:val="2"/>
                  <w:vAlign w:val="center"/>
                </w:tcPr>
                <w:p w14:paraId="52CD1F8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736" w:type="pct"/>
                  <w:vAlign w:val="center"/>
                </w:tcPr>
                <w:p w14:paraId="65378443">
                  <w:pPr>
                    <w:pStyle w:val="138"/>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11990</w:t>
                  </w:r>
                </w:p>
              </w:tc>
              <w:tc>
                <w:tcPr>
                  <w:tcW w:w="2761" w:type="pct"/>
                  <w:gridSpan w:val="4"/>
                  <w:vAlign w:val="center"/>
                </w:tcPr>
                <w:p w14:paraId="592019F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183927B8">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（7）水平衡分析</w:t>
            </w:r>
          </w:p>
          <w:p w14:paraId="6F6271D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本项目生产及生活废水全部进入中央污水站处理后回用于全厂。拟建项目水平衡和项目拟建后全厂水平衡如下。</w:t>
            </w:r>
          </w:p>
          <w:p w14:paraId="2FC62696">
            <w:pPr>
              <w:pStyle w:val="138"/>
              <w:rPr>
                <w:rFonts w:cs="Times New Roman"/>
                <w:color w:val="000000" w:themeColor="text1"/>
                <w:sz w:val="24"/>
                <w14:textFill>
                  <w14:solidFill>
                    <w14:schemeClr w14:val="tx1"/>
                  </w14:solidFill>
                </w14:textFill>
              </w:rPr>
            </w:pPr>
          </w:p>
          <w:p w14:paraId="7D13CD4B">
            <w:pPr>
              <w:pStyle w:val="304"/>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2.7</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图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本项目水平衡图（单位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w:t>
            </w:r>
          </w:p>
          <w:p w14:paraId="476E8217">
            <w:pPr>
              <w:pStyle w:val="98"/>
              <w:rPr>
                <w:b w:val="0"/>
                <w:bCs w:val="0"/>
                <w:color w:val="000000" w:themeColor="text1"/>
                <w:szCs w:val="24"/>
                <w14:textFill>
                  <w14:solidFill>
                    <w14:schemeClr w14:val="tx1"/>
                  </w14:solidFill>
                </w14:textFill>
              </w:rPr>
            </w:pPr>
          </w:p>
          <w:p w14:paraId="41493521">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图</w:t>
            </w:r>
            <w:r>
              <w:rPr>
                <w:rFonts w:cs="Times New Roman"/>
                <w:b/>
                <w:bCs/>
                <w:color w:val="000000" w:themeColor="text1"/>
                <w14:textFill>
                  <w14:solidFill>
                    <w14:schemeClr w14:val="tx1"/>
                  </w14:solidFill>
                </w14:textFill>
              </w:rPr>
              <w:fldChar w:fldCharType="begin"/>
            </w:r>
            <w:r>
              <w:rPr>
                <w:rFonts w:cs="Times New Roman"/>
                <w:b/>
                <w:bCs/>
                <w:color w:val="000000" w:themeColor="text1"/>
                <w14:textFill>
                  <w14:solidFill>
                    <w14:schemeClr w14:val="tx1"/>
                  </w14:solidFill>
                </w14:textFill>
              </w:rPr>
              <w:instrText xml:space="preserve"> STYLEREF 2 \s </w:instrText>
            </w:r>
            <w:r>
              <w:rPr>
                <w:rFonts w:cs="Times New Roman"/>
                <w:b/>
                <w:bCs/>
                <w:color w:val="000000" w:themeColor="text1"/>
                <w14:textFill>
                  <w14:solidFill>
                    <w14:schemeClr w14:val="tx1"/>
                  </w14:solidFill>
                </w14:textFill>
              </w:rPr>
              <w:fldChar w:fldCharType="separate"/>
            </w:r>
            <w:r>
              <w:rPr>
                <w:rFonts w:cs="Times New Roman"/>
                <w:b/>
                <w:bCs/>
                <w:color w:val="000000" w:themeColor="text1"/>
                <w14:textFill>
                  <w14:solidFill>
                    <w14:schemeClr w14:val="tx1"/>
                  </w14:solidFill>
                </w14:textFill>
              </w:rPr>
              <w:t>2.7</w:t>
            </w:r>
            <w:r>
              <w:rPr>
                <w:rFonts w:cs="Times New Roman"/>
                <w:b/>
                <w:bCs/>
                <w:color w:val="000000" w:themeColor="text1"/>
                <w14:textFill>
                  <w14:solidFill>
                    <w14:schemeClr w14:val="tx1"/>
                  </w14:solidFill>
                </w14:textFill>
              </w:rPr>
              <w:fldChar w:fldCharType="end"/>
            </w:r>
            <w:r>
              <w:rPr>
                <w:rFonts w:cs="Times New Roman"/>
                <w:b/>
                <w:bCs/>
                <w:color w:val="000000" w:themeColor="text1"/>
                <w14:textFill>
                  <w14:solidFill>
                    <w14:schemeClr w14:val="tx1"/>
                  </w14:solidFill>
                </w14:textFill>
              </w:rPr>
              <w:t>-</w:t>
            </w:r>
            <w:r>
              <w:rPr>
                <w:rFonts w:cs="Times New Roman"/>
                <w:b/>
                <w:bCs/>
                <w:color w:val="000000" w:themeColor="text1"/>
                <w14:textFill>
                  <w14:solidFill>
                    <w14:schemeClr w14:val="tx1"/>
                  </w14:solidFill>
                </w14:textFill>
              </w:rPr>
              <w:fldChar w:fldCharType="begin"/>
            </w:r>
            <w:r>
              <w:rPr>
                <w:rFonts w:cs="Times New Roman"/>
                <w:b/>
                <w:bCs/>
                <w:color w:val="000000" w:themeColor="text1"/>
                <w14:textFill>
                  <w14:solidFill>
                    <w14:schemeClr w14:val="tx1"/>
                  </w14:solidFill>
                </w14:textFill>
              </w:rPr>
              <w:instrText xml:space="preserve"> SEQ 图 \* ARABIC \s 2 </w:instrText>
            </w:r>
            <w:r>
              <w:rPr>
                <w:rFonts w:cs="Times New Roman"/>
                <w:b/>
                <w:bCs/>
                <w:color w:val="000000" w:themeColor="text1"/>
                <w14:textFill>
                  <w14:solidFill>
                    <w14:schemeClr w14:val="tx1"/>
                  </w14:solidFill>
                </w14:textFill>
              </w:rPr>
              <w:fldChar w:fldCharType="separate"/>
            </w:r>
            <w:r>
              <w:rPr>
                <w:rFonts w:cs="Times New Roman"/>
                <w:b/>
                <w:bCs/>
                <w:color w:val="000000" w:themeColor="text1"/>
                <w14:textFill>
                  <w14:solidFill>
                    <w14:schemeClr w14:val="tx1"/>
                  </w14:solidFill>
                </w14:textFill>
              </w:rPr>
              <w:t>2</w:t>
            </w:r>
            <w:r>
              <w:rPr>
                <w:rFonts w:cs="Times New Roman"/>
                <w:b/>
                <w:bCs/>
                <w:color w:val="000000" w:themeColor="text1"/>
                <w14:textFill>
                  <w14:solidFill>
                    <w14:schemeClr w14:val="tx1"/>
                  </w14:solidFill>
                </w14:textFill>
              </w:rPr>
              <w:fldChar w:fldCharType="end"/>
            </w:r>
            <w:r>
              <w:rPr>
                <w:rFonts w:cs="Times New Roman"/>
                <w:b/>
                <w:bCs/>
                <w:color w:val="000000" w:themeColor="text1"/>
                <w14:textFill>
                  <w14:solidFill>
                    <w14:schemeClr w14:val="tx1"/>
                  </w14:solidFill>
                </w14:textFill>
              </w:rPr>
              <w:t xml:space="preserve">  项目拟建后全厂水平衡图（理论数据，单位 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/d）</w:t>
            </w:r>
          </w:p>
          <w:p w14:paraId="5A2DD5E2">
            <w:pPr>
              <w:ind w:firstLine="480"/>
              <w:jc w:val="center"/>
              <w:rPr>
                <w:b/>
                <w:bCs/>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1AA09E93">
            <w:pPr>
              <w:pStyle w:val="3"/>
              <w:rPr>
                <w:rFonts w:cs="Times New Roman"/>
                <w:color w:val="000000" w:themeColor="text1"/>
                <w14:textFill>
                  <w14:solidFill>
                    <w14:schemeClr w14:val="tx1"/>
                  </w14:solidFill>
                </w14:textFill>
              </w:rPr>
            </w:pPr>
            <w:bookmarkStart w:id="80" w:name="_Toc230448025"/>
            <w:r>
              <w:rPr>
                <w:rFonts w:cs="Times New Roman"/>
                <w:color w:val="000000" w:themeColor="text1"/>
                <w14:textFill>
                  <w14:solidFill>
                    <w14:schemeClr w14:val="tx1"/>
                  </w14:solidFill>
                </w14:textFill>
              </w:rPr>
              <w:t>拟建项目给排水系统</w:t>
            </w:r>
            <w:bookmarkEnd w:id="78"/>
            <w:bookmarkEnd w:id="80"/>
          </w:p>
          <w:p w14:paraId="03548C1A">
            <w:pPr>
              <w:numPr>
                <w:ilvl w:val="0"/>
                <w:numId w:val="6"/>
              </w:numPr>
              <w:ind w:left="420"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给水系统</w:t>
            </w:r>
          </w:p>
          <w:p w14:paraId="063C9EA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机组配有2台110%BMCR容量的变频调速给水泵，1用1备。</w:t>
            </w:r>
          </w:p>
          <w:p w14:paraId="46D5F258">
            <w:pPr>
              <w:numPr>
                <w:ilvl w:val="0"/>
                <w:numId w:val="6"/>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凝结水系统</w:t>
            </w:r>
          </w:p>
          <w:p w14:paraId="79D011A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凝结水由凝汽器热井经总管引出，2路至2台全容量凝结水泵，凝结水泵出口管合并后一路经汽封冷却器、低压加热至除氧器，1路送至烧结区的除盐水箱。凝结水在进入汽机封冷却器前，1路供给各辅助系统的减温水和补充用水。</w:t>
            </w:r>
          </w:p>
          <w:p w14:paraId="0D993F10">
            <w:pPr>
              <w:numPr>
                <w:ilvl w:val="0"/>
                <w:numId w:val="6"/>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循环冷却水系统</w:t>
            </w:r>
          </w:p>
          <w:p w14:paraId="76832C1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轮机凝汽器、发电机空冷器、汽轮机冷油采用循环冷却水冷却。给水泵油站冷却、凝结水泵轴承冷却、水环真空泵冷却、引送风机轴承等设备冷却水采用工业水。空冷器、冷油器另加一路工业水源。冷却水回水引入循环水池。汽轮机凝汽器设置胶球清洗装置，凝汽器循环水入口设二次滤网。</w:t>
            </w:r>
          </w:p>
          <w:p w14:paraId="2F570E4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轮机凝汽器、空冷器、冷油器的冷却用水经使用后仅温度升高，利用余压经回水管路至冷却塔冷却。冷却后的水经冷水池进入吸水井，再由循环水泵加压，经供水管路送至各用水点循环使用。为防止循环水结垢，避免藻类的产生，系统设有加药装置，连续向循环水中投加缓蚀阻垢剂和杀菌灭藻剂。</w:t>
            </w:r>
          </w:p>
          <w:p w14:paraId="4D2AD41C">
            <w:pPr>
              <w:numPr>
                <w:ilvl w:val="0"/>
                <w:numId w:val="6"/>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生活给水系统</w:t>
            </w:r>
          </w:p>
          <w:p w14:paraId="4D07853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拟建项目区域内生活给水系统就近接厂区现有生活给水管网，用水量约为8.28m³/d。</w:t>
            </w:r>
          </w:p>
          <w:p w14:paraId="2527B186">
            <w:pPr>
              <w:numPr>
                <w:ilvl w:val="0"/>
                <w:numId w:val="6"/>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消防给水系统</w:t>
            </w:r>
          </w:p>
          <w:p w14:paraId="3C31CF8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工程区域内，新增室内消火栓增压稳压泵组一套，包括消防主泵、稳压泵及气压罐，平常由稳压泵和稳压罐来维持管网的压力，当发生火灾时，随着管网压力下降到一定值，自动启动消防主泵，消防泵设有远程启泵按钮。消防增压稳压泵直接室外生产消防管网吸水。</w:t>
            </w:r>
          </w:p>
          <w:p w14:paraId="1274066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新建室外消防管网及设施，室外消火栓用水量25L/s，消防管网布置为环状。</w:t>
            </w:r>
          </w:p>
          <w:p w14:paraId="073A6366">
            <w:pPr>
              <w:numPr>
                <w:ilvl w:val="0"/>
                <w:numId w:val="6"/>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排污、疏水系统</w:t>
            </w:r>
          </w:p>
          <w:p w14:paraId="5B824B9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设1台连续排污扩容器和1台定期排污扩容器。锅炉连排水进入连排扩容器回收二次蒸汽引入除氧器，剩余排污水送定排扩容器。锅炉定排水接入定排扩容器，经扩容降压后再排入锅炉排污池，经降温后的排污水大部分回收利用，系统强排水进入全厂中央污水站；</w:t>
            </w:r>
          </w:p>
          <w:p w14:paraId="63AE860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拟建项目区域屋面雨水由雨水管道独立收集排放，露天硬化路面初期雨水进行收集处理。区域内生活污水经过化粪池预处理后中央污水站进一步处理。</w:t>
            </w:r>
          </w:p>
          <w:p w14:paraId="1E0DD176">
            <w:pPr>
              <w:pStyle w:val="3"/>
              <w:rPr>
                <w:rFonts w:cs="Times New Roman"/>
                <w:color w:val="000000" w:themeColor="text1"/>
                <w14:textFill>
                  <w14:solidFill>
                    <w14:schemeClr w14:val="tx1"/>
                  </w14:solidFill>
                </w14:textFill>
              </w:rPr>
            </w:pPr>
            <w:bookmarkStart w:id="81" w:name="_Toc1160959760"/>
            <w:bookmarkStart w:id="82" w:name="_Toc230448026"/>
            <w:r>
              <w:rPr>
                <w:rFonts w:cs="Times New Roman"/>
                <w:color w:val="000000" w:themeColor="text1"/>
                <w14:textFill>
                  <w14:solidFill>
                    <w14:schemeClr w14:val="tx1"/>
                  </w14:solidFill>
                </w14:textFill>
              </w:rPr>
              <w:t>拟建项目供气系统</w:t>
            </w:r>
            <w:bookmarkEnd w:id="81"/>
            <w:bookmarkEnd w:id="82"/>
          </w:p>
          <w:p w14:paraId="42B2FAE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（1）氮气</w:t>
            </w:r>
          </w:p>
          <w:p w14:paraId="4CB5801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氮气由厂区现有管网提供，本项目界线外1m接点压力为0.4~0.6MPa，最大耗量约为25Nm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/min，主要用于煤气管道吹刷与置换。</w:t>
            </w:r>
          </w:p>
          <w:p w14:paraId="647ACED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煤气管道吹扫及机组充氮保护采用低压氮气。氮气管道管径为DN125。氮气管道上设有压力表及流量测量装置。</w:t>
            </w:r>
          </w:p>
          <w:p w14:paraId="6D50E21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（2）压缩空气</w:t>
            </w:r>
          </w:p>
          <w:p w14:paraId="517BD1C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压缩空气由厂区现有管网提供，本项目界线外1m接点压力为0.6~0.8MPa，最大耗量为10Nm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/min。</w:t>
            </w:r>
          </w:p>
          <w:p w14:paraId="5696B99A">
            <w:pPr>
              <w:pStyle w:val="3"/>
              <w:rPr>
                <w:rFonts w:cs="Times New Roman"/>
                <w:color w:val="000000" w:themeColor="text1"/>
                <w14:textFill>
                  <w14:solidFill>
                    <w14:schemeClr w14:val="tx1"/>
                  </w14:solidFill>
                </w14:textFill>
              </w:rPr>
            </w:pPr>
            <w:bookmarkStart w:id="83" w:name="_Toc230448027"/>
            <w:bookmarkStart w:id="84" w:name="_Toc377845997"/>
            <w:r>
              <w:rPr>
                <w:rFonts w:cs="Times New Roman"/>
                <w:color w:val="000000" w:themeColor="text1"/>
                <w14:textFill>
                  <w14:solidFill>
                    <w14:schemeClr w14:val="tx1"/>
                  </w14:solidFill>
                </w14:textFill>
              </w:rPr>
              <w:t>拟建项目建筑结构</w:t>
            </w:r>
            <w:bookmarkEnd w:id="83"/>
            <w:bookmarkEnd w:id="84"/>
          </w:p>
          <w:p w14:paraId="2687668C">
            <w:pPr>
              <w:pStyle w:val="97"/>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2.10</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主要建筑物特征一览表</w:t>
            </w:r>
          </w:p>
          <w:tbl>
            <w:tblPr>
              <w:tblStyle w:val="46"/>
              <w:tblW w:w="841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781"/>
              <w:gridCol w:w="426"/>
              <w:gridCol w:w="885"/>
              <w:gridCol w:w="1088"/>
              <w:gridCol w:w="1072"/>
              <w:gridCol w:w="928"/>
              <w:gridCol w:w="761"/>
              <w:gridCol w:w="1133"/>
              <w:gridCol w:w="915"/>
            </w:tblGrid>
            <w:tr w14:paraId="73F61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82" w:hRule="atLeast"/>
              </w:trPr>
              <w:tc>
                <w:tcPr>
                  <w:tcW w:w="424" w:type="dxa"/>
                  <w:vAlign w:val="center"/>
                </w:tcPr>
                <w:p w14:paraId="2B3DD9A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782" w:type="dxa"/>
                  <w:vAlign w:val="center"/>
                </w:tcPr>
                <w:p w14:paraId="3EE012D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建筑物名称</w:t>
                  </w:r>
                </w:p>
              </w:tc>
              <w:tc>
                <w:tcPr>
                  <w:tcW w:w="424" w:type="dxa"/>
                  <w:vAlign w:val="center"/>
                </w:tcPr>
                <w:p w14:paraId="6A282C0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火灾危险类别</w:t>
                  </w:r>
                </w:p>
              </w:tc>
              <w:tc>
                <w:tcPr>
                  <w:tcW w:w="886" w:type="dxa"/>
                  <w:vAlign w:val="center"/>
                </w:tcPr>
                <w:p w14:paraId="06A399D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层数</w:t>
                  </w:r>
                </w:p>
              </w:tc>
              <w:tc>
                <w:tcPr>
                  <w:tcW w:w="1088" w:type="dxa"/>
                  <w:vAlign w:val="center"/>
                </w:tcPr>
                <w:p w14:paraId="5412427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建筑面积（m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tc>
              <w:tc>
                <w:tcPr>
                  <w:tcW w:w="1072" w:type="dxa"/>
                  <w:vAlign w:val="center"/>
                </w:tcPr>
                <w:p w14:paraId="2A3629A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平面尺寸</w:t>
                  </w:r>
                </w:p>
                <w:p w14:paraId="0A909EA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（长×宽）（m）</w:t>
                  </w:r>
                </w:p>
              </w:tc>
              <w:tc>
                <w:tcPr>
                  <w:tcW w:w="928" w:type="dxa"/>
                  <w:vAlign w:val="center"/>
                </w:tcPr>
                <w:p w14:paraId="722601C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高度（m）</w:t>
                  </w:r>
                </w:p>
              </w:tc>
              <w:tc>
                <w:tcPr>
                  <w:tcW w:w="762" w:type="dxa"/>
                  <w:vAlign w:val="center"/>
                </w:tcPr>
                <w:p w14:paraId="26A4548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结构型式</w:t>
                  </w:r>
                </w:p>
              </w:tc>
              <w:tc>
                <w:tcPr>
                  <w:tcW w:w="1134" w:type="dxa"/>
                  <w:vAlign w:val="center"/>
                </w:tcPr>
                <w:p w14:paraId="31CA1E4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屋面做法</w:t>
                  </w:r>
                </w:p>
              </w:tc>
              <w:tc>
                <w:tcPr>
                  <w:tcW w:w="915" w:type="dxa"/>
                  <w:vAlign w:val="center"/>
                </w:tcPr>
                <w:p w14:paraId="1FB8129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门窗类型</w:t>
                  </w:r>
                </w:p>
              </w:tc>
            </w:tr>
            <w:tr w14:paraId="2C85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4" w:hRule="atLeast"/>
              </w:trPr>
              <w:tc>
                <w:tcPr>
                  <w:tcW w:w="424" w:type="dxa"/>
                  <w:vAlign w:val="center"/>
                </w:tcPr>
                <w:p w14:paraId="4BC1841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782" w:type="dxa"/>
                  <w:vMerge w:val="restart"/>
                  <w:vAlign w:val="center"/>
                </w:tcPr>
                <w:p w14:paraId="79AF997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主厂房</w:t>
                  </w:r>
                </w:p>
              </w:tc>
              <w:tc>
                <w:tcPr>
                  <w:tcW w:w="424" w:type="dxa"/>
                  <w:vMerge w:val="restart"/>
                  <w:vAlign w:val="center"/>
                </w:tcPr>
                <w:p w14:paraId="241FE15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丁</w:t>
                  </w:r>
                </w:p>
                <w:p w14:paraId="7AEFF1D2">
                  <w:pPr>
                    <w:pStyle w:val="138"/>
                    <w:rPr>
                      <w:rFonts w:cs="Times New Roman"/>
                      <w:color w:val="000000" w:themeColor="text1"/>
                      <w14:textFill>
                        <w14:solidFill>
                          <w14:schemeClr w14:val="tx1"/>
                        </w14:solidFill>
                      </w14:textFill>
                    </w:rPr>
                  </w:pPr>
                </w:p>
              </w:tc>
              <w:tc>
                <w:tcPr>
                  <w:tcW w:w="886" w:type="dxa"/>
                  <w:vAlign w:val="center"/>
                </w:tcPr>
                <w:p w14:paraId="7C9D513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汽机跨2层</w:t>
                  </w:r>
                </w:p>
              </w:tc>
              <w:tc>
                <w:tcPr>
                  <w:tcW w:w="1088" w:type="dxa"/>
                  <w:vMerge w:val="restart"/>
                  <w:vAlign w:val="center"/>
                </w:tcPr>
                <w:p w14:paraId="20AD2FD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264 0</w:t>
                  </w:r>
                </w:p>
              </w:tc>
              <w:tc>
                <w:tcPr>
                  <w:tcW w:w="1072" w:type="dxa"/>
                  <w:vAlign w:val="center"/>
                </w:tcPr>
                <w:p w14:paraId="7752D0D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60×27</w:t>
                  </w:r>
                </w:p>
                <w:p w14:paraId="459C6DD4">
                  <w:pPr>
                    <w:pStyle w:val="138"/>
                    <w:rPr>
                      <w:rFonts w:cs="Times New Roman"/>
                      <w:color w:val="000000" w:themeColor="text1"/>
                      <w14:textFill>
                        <w14:solidFill>
                          <w14:schemeClr w14:val="tx1"/>
                        </w14:solidFill>
                      </w14:textFill>
                    </w:rPr>
                  </w:pPr>
                </w:p>
              </w:tc>
              <w:tc>
                <w:tcPr>
                  <w:tcW w:w="928" w:type="dxa"/>
                  <w:vAlign w:val="center"/>
                </w:tcPr>
                <w:p w14:paraId="16A16DD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762" w:type="dxa"/>
                  <w:vMerge w:val="restart"/>
                  <w:vAlign w:val="center"/>
                </w:tcPr>
                <w:p w14:paraId="33CB3F5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钢筋混凝土结构</w:t>
                  </w:r>
                </w:p>
              </w:tc>
              <w:tc>
                <w:tcPr>
                  <w:tcW w:w="1134" w:type="dxa"/>
                  <w:vMerge w:val="restart"/>
                  <w:vAlign w:val="center"/>
                </w:tcPr>
                <w:p w14:paraId="0C15E9B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主厂房屋面板为压型钢板，除氧跨卷材防水</w:t>
                  </w:r>
                </w:p>
              </w:tc>
              <w:tc>
                <w:tcPr>
                  <w:tcW w:w="915" w:type="dxa"/>
                  <w:vMerge w:val="restart"/>
                  <w:vAlign w:val="center"/>
                </w:tcPr>
                <w:p w14:paraId="13A78FA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彩板门、防火门</w:t>
                  </w:r>
                </w:p>
              </w:tc>
            </w:tr>
            <w:tr w14:paraId="1DDBF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424" w:type="dxa"/>
                  <w:vAlign w:val="center"/>
                </w:tcPr>
                <w:p w14:paraId="0774D07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782" w:type="dxa"/>
                  <w:vMerge w:val="continue"/>
                  <w:vAlign w:val="center"/>
                </w:tcPr>
                <w:p w14:paraId="1C0AC2BF">
                  <w:pPr>
                    <w:pStyle w:val="138"/>
                    <w:rPr>
                      <w:rFonts w:cs="Times New Roman"/>
                      <w:color w:val="000000" w:themeColor="text1"/>
                      <w14:textFill>
                        <w14:solidFill>
                          <w14:schemeClr w14:val="tx1"/>
                        </w14:solidFill>
                      </w14:textFill>
                    </w:rPr>
                  </w:pPr>
                </w:p>
              </w:tc>
              <w:tc>
                <w:tcPr>
                  <w:tcW w:w="424" w:type="dxa"/>
                  <w:vMerge w:val="continue"/>
                  <w:vAlign w:val="center"/>
                </w:tcPr>
                <w:p w14:paraId="02229D88">
                  <w:pPr>
                    <w:pStyle w:val="138"/>
                    <w:rPr>
                      <w:rFonts w:cs="Times New Roman"/>
                      <w:color w:val="000000" w:themeColor="text1"/>
                      <w14:textFill>
                        <w14:solidFill>
                          <w14:schemeClr w14:val="tx1"/>
                        </w14:solidFill>
                      </w14:textFill>
                    </w:rPr>
                  </w:pPr>
                </w:p>
              </w:tc>
              <w:tc>
                <w:tcPr>
                  <w:tcW w:w="886" w:type="dxa"/>
                  <w:vAlign w:val="center"/>
                </w:tcPr>
                <w:p w14:paraId="6DE0F3F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除氧跨4层</w:t>
                  </w:r>
                </w:p>
              </w:tc>
              <w:tc>
                <w:tcPr>
                  <w:tcW w:w="1088" w:type="dxa"/>
                  <w:vMerge w:val="continue"/>
                  <w:vAlign w:val="center"/>
                </w:tcPr>
                <w:p w14:paraId="22106F6D">
                  <w:pPr>
                    <w:pStyle w:val="138"/>
                    <w:rPr>
                      <w:rFonts w:cs="Times New Roman"/>
                      <w:color w:val="000000" w:themeColor="text1"/>
                      <w14:textFill>
                        <w14:solidFill>
                          <w14:schemeClr w14:val="tx1"/>
                        </w14:solidFill>
                      </w14:textFill>
                    </w:rPr>
                  </w:pPr>
                </w:p>
              </w:tc>
              <w:tc>
                <w:tcPr>
                  <w:tcW w:w="1072" w:type="dxa"/>
                  <w:vAlign w:val="center"/>
                </w:tcPr>
                <w:p w14:paraId="31F1965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60×7.5</w:t>
                  </w:r>
                </w:p>
                <w:p w14:paraId="2E987F0E">
                  <w:pPr>
                    <w:pStyle w:val="138"/>
                    <w:rPr>
                      <w:rFonts w:cs="Times New Roman"/>
                      <w:color w:val="000000" w:themeColor="text1"/>
                      <w14:textFill>
                        <w14:solidFill>
                          <w14:schemeClr w14:val="tx1"/>
                        </w14:solidFill>
                      </w14:textFill>
                    </w:rPr>
                  </w:pPr>
                </w:p>
              </w:tc>
              <w:tc>
                <w:tcPr>
                  <w:tcW w:w="928" w:type="dxa"/>
                  <w:vAlign w:val="center"/>
                </w:tcPr>
                <w:p w14:paraId="67456DB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762" w:type="dxa"/>
                  <w:vMerge w:val="continue"/>
                  <w:vAlign w:val="center"/>
                </w:tcPr>
                <w:p w14:paraId="0DFA77B6">
                  <w:pPr>
                    <w:pStyle w:val="138"/>
                    <w:rPr>
                      <w:rFonts w:cs="Times New Roman"/>
                      <w:color w:val="000000" w:themeColor="text1"/>
                      <w14:textFill>
                        <w14:solidFill>
                          <w14:schemeClr w14:val="tx1"/>
                        </w14:solidFill>
                      </w14:textFill>
                    </w:rPr>
                  </w:pPr>
                </w:p>
              </w:tc>
              <w:tc>
                <w:tcPr>
                  <w:tcW w:w="1134" w:type="dxa"/>
                  <w:vMerge w:val="continue"/>
                  <w:vAlign w:val="center"/>
                </w:tcPr>
                <w:p w14:paraId="439F605B">
                  <w:pPr>
                    <w:pStyle w:val="138"/>
                    <w:rPr>
                      <w:rFonts w:cs="Times New Roman"/>
                      <w:color w:val="000000" w:themeColor="text1"/>
                      <w14:textFill>
                        <w14:solidFill>
                          <w14:schemeClr w14:val="tx1"/>
                        </w14:solidFill>
                      </w14:textFill>
                    </w:rPr>
                  </w:pPr>
                </w:p>
              </w:tc>
              <w:tc>
                <w:tcPr>
                  <w:tcW w:w="915" w:type="dxa"/>
                  <w:vMerge w:val="continue"/>
                  <w:vAlign w:val="center"/>
                </w:tcPr>
                <w:p w14:paraId="10DA4E4F">
                  <w:pPr>
                    <w:pStyle w:val="138"/>
                    <w:rPr>
                      <w:rFonts w:cs="Times New Roman"/>
                      <w:color w:val="000000" w:themeColor="text1"/>
                      <w14:textFill>
                        <w14:solidFill>
                          <w14:schemeClr w14:val="tx1"/>
                        </w14:solidFill>
                      </w14:textFill>
                    </w:rPr>
                  </w:pPr>
                </w:p>
              </w:tc>
            </w:tr>
            <w:tr w14:paraId="3D000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424" w:type="dxa"/>
                  <w:vAlign w:val="center"/>
                </w:tcPr>
                <w:p w14:paraId="59C68E2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782" w:type="dxa"/>
                  <w:vAlign w:val="center"/>
                </w:tcPr>
                <w:p w14:paraId="5645435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锅炉房</w:t>
                  </w:r>
                </w:p>
              </w:tc>
              <w:tc>
                <w:tcPr>
                  <w:tcW w:w="424" w:type="dxa"/>
                  <w:vMerge w:val="continue"/>
                  <w:vAlign w:val="center"/>
                </w:tcPr>
                <w:p w14:paraId="3E194EAB">
                  <w:pPr>
                    <w:pStyle w:val="138"/>
                    <w:rPr>
                      <w:rFonts w:cs="Times New Roman"/>
                      <w:color w:val="000000" w:themeColor="text1"/>
                      <w14:textFill>
                        <w14:solidFill>
                          <w14:schemeClr w14:val="tx1"/>
                        </w14:solidFill>
                      </w14:textFill>
                    </w:rPr>
                  </w:pPr>
                </w:p>
              </w:tc>
              <w:tc>
                <w:tcPr>
                  <w:tcW w:w="886" w:type="dxa"/>
                  <w:vAlign w:val="center"/>
                </w:tcPr>
                <w:p w14:paraId="7A88226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1088" w:type="dxa"/>
                  <w:vMerge w:val="continue"/>
                  <w:vAlign w:val="center"/>
                </w:tcPr>
                <w:p w14:paraId="03953A94">
                  <w:pPr>
                    <w:pStyle w:val="138"/>
                    <w:rPr>
                      <w:rFonts w:cs="Times New Roman"/>
                      <w:color w:val="000000" w:themeColor="text1"/>
                      <w14:textFill>
                        <w14:solidFill>
                          <w14:schemeClr w14:val="tx1"/>
                        </w14:solidFill>
                      </w14:textFill>
                    </w:rPr>
                  </w:pPr>
                </w:p>
              </w:tc>
              <w:tc>
                <w:tcPr>
                  <w:tcW w:w="1072" w:type="dxa"/>
                  <w:vAlign w:val="center"/>
                </w:tcPr>
                <w:p w14:paraId="6FE76A9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26×18</w:t>
                  </w:r>
                </w:p>
              </w:tc>
              <w:tc>
                <w:tcPr>
                  <w:tcW w:w="928" w:type="dxa"/>
                  <w:vAlign w:val="center"/>
                </w:tcPr>
                <w:p w14:paraId="2D31415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762" w:type="dxa"/>
                  <w:vMerge w:val="continue"/>
                  <w:vAlign w:val="center"/>
                </w:tcPr>
                <w:p w14:paraId="5732134F">
                  <w:pPr>
                    <w:pStyle w:val="138"/>
                    <w:rPr>
                      <w:rFonts w:cs="Times New Roman"/>
                      <w:color w:val="000000" w:themeColor="text1"/>
                      <w14:textFill>
                        <w14:solidFill>
                          <w14:schemeClr w14:val="tx1"/>
                        </w14:solidFill>
                      </w14:textFill>
                    </w:rPr>
                  </w:pPr>
                </w:p>
              </w:tc>
              <w:tc>
                <w:tcPr>
                  <w:tcW w:w="1134" w:type="dxa"/>
                  <w:vMerge w:val="continue"/>
                  <w:vAlign w:val="center"/>
                </w:tcPr>
                <w:p w14:paraId="5B6ED60F">
                  <w:pPr>
                    <w:pStyle w:val="138"/>
                    <w:rPr>
                      <w:rFonts w:cs="Times New Roman"/>
                      <w:color w:val="000000" w:themeColor="text1"/>
                      <w14:textFill>
                        <w14:solidFill>
                          <w14:schemeClr w14:val="tx1"/>
                        </w14:solidFill>
                      </w14:textFill>
                    </w:rPr>
                  </w:pPr>
                </w:p>
              </w:tc>
              <w:tc>
                <w:tcPr>
                  <w:tcW w:w="915" w:type="dxa"/>
                  <w:vMerge w:val="continue"/>
                  <w:vAlign w:val="center"/>
                </w:tcPr>
                <w:p w14:paraId="3C6F3801">
                  <w:pPr>
                    <w:pStyle w:val="138"/>
                    <w:rPr>
                      <w:rFonts w:cs="Times New Roman"/>
                      <w:color w:val="000000" w:themeColor="text1"/>
                      <w14:textFill>
                        <w14:solidFill>
                          <w14:schemeClr w14:val="tx1"/>
                        </w14:solidFill>
                      </w14:textFill>
                    </w:rPr>
                  </w:pPr>
                </w:p>
              </w:tc>
            </w:tr>
          </w:tbl>
          <w:p w14:paraId="0C7611C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（1）汽机跨、除氧跨</w:t>
            </w:r>
          </w:p>
          <w:p w14:paraId="68C0EFE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汽机跨、除氧跨建筑面积为2650m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p w14:paraId="14A6FF5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①屋面：主厂房屋面板为彩色压型钢板，屋面设有成品通风器。除氧跨屋面为卷材防水。</w:t>
            </w:r>
          </w:p>
          <w:p w14:paraId="1F196E9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②墙体：采用200mm厚蒸压加气混凝土砌块。</w:t>
            </w:r>
          </w:p>
          <w:p w14:paraId="065ABB7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③地面：建筑物楼地面采用混凝土面层、防滑地砖。</w:t>
            </w:r>
          </w:p>
          <w:p w14:paraId="442D5A7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④散水、踏步：散水和踏步采用混凝土制作。</w:t>
            </w:r>
          </w:p>
          <w:p w14:paraId="1DDD516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⑤雨水斗及雨水管：厂房的雨水斗和雨水管采用钢制管。</w:t>
            </w:r>
          </w:p>
          <w:p w14:paraId="25B0883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（2）生产辅助用房</w:t>
            </w:r>
          </w:p>
          <w:p w14:paraId="32B3889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①墙：采用200mm厚蒸压加气混凝土砌块。</w:t>
            </w:r>
          </w:p>
          <w:p w14:paraId="58CD031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②屋面：厂房内建筑的屋面做1:2.5水泥砂浆抹面。厂房外建筑的屋面采用卷材防水。</w:t>
            </w:r>
          </w:p>
          <w:p w14:paraId="567E551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③楼地面：根据建筑物的要求，采用水泥砂浆地面、防滑地砖楼等。</w:t>
            </w:r>
          </w:p>
          <w:p w14:paraId="68BFCBF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④门窗：根据不同建筑物的要求，采用彩板门、防火门窗等。</w:t>
            </w:r>
          </w:p>
          <w:p w14:paraId="57829FB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⑤装修：内、外墙、顶棚一般为普通抹灰，刷优质涂料；有特殊要求的房间采用中高级抹灰，做吊顶。</w:t>
            </w:r>
          </w:p>
          <w:p w14:paraId="5133B7C2">
            <w:pPr>
              <w:pStyle w:val="3"/>
              <w:rPr>
                <w:rFonts w:cs="Times New Roman"/>
                <w:color w:val="000000" w:themeColor="text1"/>
                <w14:textFill>
                  <w14:solidFill>
                    <w14:schemeClr w14:val="tx1"/>
                  </w14:solidFill>
                </w14:textFill>
              </w:rPr>
            </w:pPr>
            <w:bookmarkStart w:id="85" w:name="_Toc230448028"/>
            <w:bookmarkStart w:id="86" w:name="_Toc2091958274"/>
            <w:r>
              <w:rPr>
                <w:rFonts w:cs="Times New Roman"/>
                <w:color w:val="000000" w:themeColor="text1"/>
                <w14:textFill>
                  <w14:solidFill>
                    <w14:schemeClr w14:val="tx1"/>
                  </w14:solidFill>
                </w14:textFill>
              </w:rPr>
              <w:t>工作制度及定员</w:t>
            </w:r>
            <w:bookmarkEnd w:id="85"/>
            <w:bookmarkEnd w:id="86"/>
          </w:p>
          <w:p w14:paraId="41ACB8A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拟建项目年有效工作时间为8200h，总发电量为5.3亿kWh/a，劳动定员共46人，见下表。</w:t>
            </w:r>
          </w:p>
          <w:p w14:paraId="046B6FC1">
            <w:pPr>
              <w:pStyle w:val="98"/>
              <w:rPr>
                <w:color w:val="000000" w:themeColor="text1"/>
                <w14:textFill>
                  <w14:solidFill>
                    <w14:schemeClr w14:val="tx1"/>
                  </w14:solidFill>
                </w14:textFill>
              </w:rPr>
            </w:pPr>
            <w:r>
              <w:rPr>
                <w:color w:val="000000" w:themeColor="text1"/>
                <w14:textFill>
                  <w14:solidFill>
                    <w14:schemeClr w14:val="tx1"/>
                  </w14:solidFill>
                </w14:textFill>
              </w:rPr>
              <w:t>表</w:t>
            </w:r>
            <w:bookmarkStart w:id="87" w:name="劳动定员"/>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劳</w:t>
            </w:r>
            <w:bookmarkEnd w:id="87"/>
            <w:r>
              <w:rPr>
                <w:color w:val="000000" w:themeColor="text1"/>
                <w14:textFill>
                  <w14:solidFill>
                    <w14:schemeClr w14:val="tx1"/>
                  </w14:solidFill>
                </w14:textFill>
              </w:rPr>
              <w:t>动定员一览表</w:t>
            </w:r>
          </w:p>
          <w:tbl>
            <w:tblPr>
              <w:tblStyle w:val="46"/>
              <w:tblW w:w="498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2472"/>
              <w:gridCol w:w="2045"/>
              <w:gridCol w:w="2066"/>
              <w:gridCol w:w="1539"/>
            </w:tblGrid>
            <w:tr w14:paraId="05BA2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1522" w:type="pct"/>
                  <w:vAlign w:val="center"/>
                </w:tcPr>
                <w:p w14:paraId="314E679A">
                  <w:pPr>
                    <w:pStyle w:val="90"/>
                    <w:rPr>
                      <w:b/>
                      <w:bCs/>
                      <w:color w:val="000000" w:themeColor="text1"/>
                      <w14:textFill>
                        <w14:solidFill>
                          <w14:schemeClr w14:val="tx1"/>
                        </w14:solidFill>
                      </w14:textFill>
                    </w:rPr>
                  </w:pPr>
                  <w:r>
                    <w:rPr>
                      <w:b/>
                      <w:bCs/>
                      <w:color w:val="000000" w:themeColor="text1"/>
                      <w14:textFill>
                        <w14:solidFill>
                          <w14:schemeClr w14:val="tx1"/>
                        </w14:solidFill>
                      </w14:textFill>
                    </w:rPr>
                    <w:t>岗位</w:t>
                  </w:r>
                </w:p>
              </w:tc>
              <w:tc>
                <w:tcPr>
                  <w:tcW w:w="1259" w:type="pct"/>
                  <w:vAlign w:val="center"/>
                </w:tcPr>
                <w:p w14:paraId="15469775">
                  <w:pPr>
                    <w:pStyle w:val="90"/>
                    <w:rPr>
                      <w:b/>
                      <w:bCs/>
                      <w:color w:val="000000" w:themeColor="text1"/>
                      <w14:textFill>
                        <w14:solidFill>
                          <w14:schemeClr w14:val="tx1"/>
                        </w14:solidFill>
                      </w14:textFill>
                    </w:rPr>
                  </w:pPr>
                  <w:r>
                    <w:rPr>
                      <w:b/>
                      <w:bCs/>
                      <w:color w:val="000000" w:themeColor="text1"/>
                      <w14:textFill>
                        <w14:solidFill>
                          <w14:schemeClr w14:val="tx1"/>
                        </w14:solidFill>
                      </w14:textFill>
                    </w:rPr>
                    <w:t>50MW煤气机组</w:t>
                  </w:r>
                </w:p>
              </w:tc>
              <w:tc>
                <w:tcPr>
                  <w:tcW w:w="1272" w:type="pct"/>
                  <w:vAlign w:val="center"/>
                </w:tcPr>
                <w:p w14:paraId="1E5213A8">
                  <w:pPr>
                    <w:pStyle w:val="90"/>
                    <w:rPr>
                      <w:b/>
                      <w:bCs/>
                      <w:color w:val="000000" w:themeColor="text1"/>
                      <w14:textFill>
                        <w14:solidFill>
                          <w14:schemeClr w14:val="tx1"/>
                        </w14:solidFill>
                      </w14:textFill>
                    </w:rPr>
                  </w:pPr>
                  <w:r>
                    <w:rPr>
                      <w:b/>
                      <w:bCs/>
                      <w:color w:val="000000" w:themeColor="text1"/>
                      <w14:textFill>
                        <w14:solidFill>
                          <w14:schemeClr w14:val="tx1"/>
                        </w14:solidFill>
                      </w14:textFill>
                    </w:rPr>
                    <w:t>25MW余热机组</w:t>
                  </w:r>
                </w:p>
              </w:tc>
              <w:tc>
                <w:tcPr>
                  <w:tcW w:w="946" w:type="pct"/>
                  <w:vAlign w:val="center"/>
                </w:tcPr>
                <w:p w14:paraId="671AF9CB">
                  <w:pPr>
                    <w:pStyle w:val="90"/>
                    <w:rPr>
                      <w:b/>
                      <w:bCs/>
                      <w:color w:val="000000" w:themeColor="text1"/>
                      <w14:textFill>
                        <w14:solidFill>
                          <w14:schemeClr w14:val="tx1"/>
                        </w14:solidFill>
                      </w14:textFill>
                    </w:rPr>
                  </w:pPr>
                  <w:r>
                    <w:rPr>
                      <w:b/>
                      <w:bCs/>
                      <w:color w:val="000000" w:themeColor="text1"/>
                      <w14:textFill>
                        <w14:solidFill>
                          <w14:schemeClr w14:val="tx1"/>
                        </w14:solidFill>
                      </w14:textFill>
                    </w:rPr>
                    <w:t>备注</w:t>
                  </w:r>
                </w:p>
              </w:tc>
            </w:tr>
            <w:tr w14:paraId="3B138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4"/>
                  <w:vAlign w:val="center"/>
                </w:tcPr>
                <w:p w14:paraId="55768529">
                  <w:pPr>
                    <w:pStyle w:val="90"/>
                    <w:jc w:val="left"/>
                    <w:rPr>
                      <w:color w:val="000000" w:themeColor="text1"/>
                      <w14:textFill>
                        <w14:solidFill>
                          <w14:schemeClr w14:val="tx1"/>
                        </w14:solidFill>
                      </w14:textFill>
                    </w:rPr>
                  </w:pPr>
                  <w:r>
                    <w:rPr>
                      <w:b/>
                      <w:bCs/>
                      <w:color w:val="000000" w:themeColor="text1"/>
                      <w14:textFill>
                        <w14:solidFill>
                          <w14:schemeClr w14:val="tx1"/>
                        </w14:solidFill>
                      </w14:textFill>
                    </w:rPr>
                    <w:t>一、生产人员</w:t>
                  </w:r>
                </w:p>
              </w:tc>
            </w:tr>
            <w:tr w14:paraId="2AEC1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29725FF4">
                  <w:pPr>
                    <w:pStyle w:val="90"/>
                    <w:rPr>
                      <w:color w:val="000000" w:themeColor="text1"/>
                      <w14:textFill>
                        <w14:solidFill>
                          <w14:schemeClr w14:val="tx1"/>
                        </w14:solidFill>
                      </w14:textFill>
                    </w:rPr>
                  </w:pPr>
                  <w:r>
                    <w:rPr>
                      <w:color w:val="000000" w:themeColor="text1"/>
                      <w14:textFill>
                        <w14:solidFill>
                          <w14:schemeClr w14:val="tx1"/>
                        </w14:solidFill>
                      </w14:textFill>
                    </w:rPr>
                    <w:t>（一）机组运行</w:t>
                  </w:r>
                </w:p>
              </w:tc>
              <w:tc>
                <w:tcPr>
                  <w:tcW w:w="2531" w:type="pct"/>
                  <w:gridSpan w:val="2"/>
                  <w:vAlign w:val="center"/>
                </w:tcPr>
                <w:p w14:paraId="0F1D1B32">
                  <w:pPr>
                    <w:pStyle w:val="90"/>
                    <w:rPr>
                      <w:color w:val="000000" w:themeColor="text1"/>
                      <w14:textFill>
                        <w14:solidFill>
                          <w14:schemeClr w14:val="tx1"/>
                        </w14:solidFill>
                      </w14:textFill>
                    </w:rPr>
                  </w:pPr>
                  <w:r>
                    <w:rPr>
                      <w:color w:val="000000" w:themeColor="text1"/>
                      <w14:textFill>
                        <w14:solidFill>
                          <w14:schemeClr w14:val="tx1"/>
                        </w14:solidFill>
                      </w14:textFill>
                    </w:rPr>
                    <w:t>人数</w:t>
                  </w:r>
                </w:p>
              </w:tc>
              <w:tc>
                <w:tcPr>
                  <w:tcW w:w="946" w:type="pct"/>
                  <w:vAlign w:val="center"/>
                </w:tcPr>
                <w:p w14:paraId="028F3A1E">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01198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2165CF7C">
                  <w:pPr>
                    <w:pStyle w:val="90"/>
                    <w:rPr>
                      <w:color w:val="000000" w:themeColor="text1"/>
                      <w14:textFill>
                        <w14:solidFill>
                          <w14:schemeClr w14:val="tx1"/>
                        </w14:solidFill>
                      </w14:textFill>
                    </w:rPr>
                  </w:pPr>
                  <w:r>
                    <w:rPr>
                      <w:color w:val="000000" w:themeColor="text1"/>
                      <w14:textFill>
                        <w14:solidFill>
                          <w14:schemeClr w14:val="tx1"/>
                        </w14:solidFill>
                      </w14:textFill>
                    </w:rPr>
                    <w:t>锅炉</w:t>
                  </w:r>
                </w:p>
              </w:tc>
              <w:tc>
                <w:tcPr>
                  <w:tcW w:w="1259" w:type="pct"/>
                  <w:vAlign w:val="center"/>
                </w:tcPr>
                <w:p w14:paraId="02B8699E">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72" w:type="pct"/>
                  <w:vAlign w:val="center"/>
                </w:tcPr>
                <w:p w14:paraId="022CA8CE">
                  <w:pPr>
                    <w:pStyle w:val="90"/>
                    <w:rPr>
                      <w:color w:val="000000" w:themeColor="text1"/>
                      <w14:textFill>
                        <w14:solidFill>
                          <w14:schemeClr w14:val="tx1"/>
                        </w14:solidFill>
                      </w14:textFill>
                    </w:rPr>
                  </w:pPr>
                  <w:r>
                    <w:rPr>
                      <w:color w:val="000000" w:themeColor="text1"/>
                      <w14:textFill>
                        <w14:solidFill>
                          <w14:schemeClr w14:val="tx1"/>
                        </w14:solidFill>
                      </w14:textFill>
                    </w:rPr>
                    <w:t>8</w:t>
                  </w:r>
                </w:p>
              </w:tc>
              <w:tc>
                <w:tcPr>
                  <w:tcW w:w="946" w:type="pct"/>
                  <w:vAlign w:val="center"/>
                </w:tcPr>
                <w:p w14:paraId="56C79BFD">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3BB25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22177A5E">
                  <w:pPr>
                    <w:pStyle w:val="90"/>
                    <w:rPr>
                      <w:color w:val="000000" w:themeColor="text1"/>
                      <w14:textFill>
                        <w14:solidFill>
                          <w14:schemeClr w14:val="tx1"/>
                        </w14:solidFill>
                      </w14:textFill>
                    </w:rPr>
                  </w:pPr>
                  <w:r>
                    <w:rPr>
                      <w:color w:val="000000" w:themeColor="text1"/>
                      <w14:textFill>
                        <w14:solidFill>
                          <w14:schemeClr w14:val="tx1"/>
                        </w14:solidFill>
                      </w14:textFill>
                    </w:rPr>
                    <w:t>汽机</w:t>
                  </w:r>
                </w:p>
              </w:tc>
              <w:tc>
                <w:tcPr>
                  <w:tcW w:w="1259" w:type="pct"/>
                  <w:vAlign w:val="center"/>
                </w:tcPr>
                <w:p w14:paraId="1D0AFED5">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72" w:type="pct"/>
                  <w:vAlign w:val="center"/>
                </w:tcPr>
                <w:p w14:paraId="6F6AF041">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946" w:type="pct"/>
                  <w:vAlign w:val="center"/>
                </w:tcPr>
                <w:p w14:paraId="0F76199B">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21A6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49D29259">
                  <w:pPr>
                    <w:pStyle w:val="90"/>
                    <w:rPr>
                      <w:color w:val="000000" w:themeColor="text1"/>
                      <w14:textFill>
                        <w14:solidFill>
                          <w14:schemeClr w14:val="tx1"/>
                        </w14:solidFill>
                      </w14:textFill>
                    </w:rPr>
                  </w:pPr>
                  <w:r>
                    <w:rPr>
                      <w:color w:val="000000" w:themeColor="text1"/>
                      <w14:textFill>
                        <w14:solidFill>
                          <w14:schemeClr w14:val="tx1"/>
                        </w14:solidFill>
                      </w14:textFill>
                    </w:rPr>
                    <w:t>电气/仪表</w:t>
                  </w:r>
                </w:p>
              </w:tc>
              <w:tc>
                <w:tcPr>
                  <w:tcW w:w="2531" w:type="pct"/>
                  <w:gridSpan w:val="2"/>
                  <w:vAlign w:val="center"/>
                </w:tcPr>
                <w:p w14:paraId="4FAA51B6">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946" w:type="pct"/>
                  <w:vMerge w:val="restart"/>
                  <w:vAlign w:val="center"/>
                </w:tcPr>
                <w:p w14:paraId="7B6033AF">
                  <w:pPr>
                    <w:pStyle w:val="90"/>
                    <w:rPr>
                      <w:color w:val="000000" w:themeColor="text1"/>
                      <w14:textFill>
                        <w14:solidFill>
                          <w14:schemeClr w14:val="tx1"/>
                        </w14:solidFill>
                      </w14:textFill>
                    </w:rPr>
                  </w:pPr>
                  <w:r>
                    <w:rPr>
                      <w:color w:val="000000" w:themeColor="text1"/>
                      <w14:textFill>
                        <w14:solidFill>
                          <w14:schemeClr w14:val="tx1"/>
                        </w14:solidFill>
                      </w14:textFill>
                    </w:rPr>
                    <w:t>人员共用</w:t>
                  </w:r>
                </w:p>
              </w:tc>
            </w:tr>
            <w:tr w14:paraId="75F83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5C1EEE3E">
                  <w:pPr>
                    <w:pStyle w:val="90"/>
                    <w:rPr>
                      <w:color w:val="000000" w:themeColor="text1"/>
                      <w14:textFill>
                        <w14:solidFill>
                          <w14:schemeClr w14:val="tx1"/>
                        </w14:solidFill>
                      </w14:textFill>
                    </w:rPr>
                  </w:pPr>
                  <w:r>
                    <w:rPr>
                      <w:color w:val="000000" w:themeColor="text1"/>
                      <w14:textFill>
                        <w14:solidFill>
                          <w14:schemeClr w14:val="tx1"/>
                        </w14:solidFill>
                      </w14:textFill>
                    </w:rPr>
                    <w:t>脱硫脱硝</w:t>
                  </w:r>
                </w:p>
              </w:tc>
              <w:tc>
                <w:tcPr>
                  <w:tcW w:w="2531" w:type="pct"/>
                  <w:gridSpan w:val="2"/>
                  <w:vAlign w:val="center"/>
                </w:tcPr>
                <w:p w14:paraId="42B83F4F">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946" w:type="pct"/>
                  <w:vMerge w:val="continue"/>
                  <w:vAlign w:val="center"/>
                </w:tcPr>
                <w:p w14:paraId="7E5848FA">
                  <w:pPr>
                    <w:pStyle w:val="90"/>
                    <w:rPr>
                      <w:color w:val="000000" w:themeColor="text1"/>
                      <w14:textFill>
                        <w14:solidFill>
                          <w14:schemeClr w14:val="tx1"/>
                        </w14:solidFill>
                      </w14:textFill>
                    </w:rPr>
                  </w:pPr>
                </w:p>
              </w:tc>
            </w:tr>
            <w:tr w14:paraId="03629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46B0C7F1">
                  <w:pPr>
                    <w:pStyle w:val="90"/>
                    <w:rPr>
                      <w:color w:val="000000" w:themeColor="text1"/>
                      <w14:textFill>
                        <w14:solidFill>
                          <w14:schemeClr w14:val="tx1"/>
                        </w14:solidFill>
                      </w14:textFill>
                    </w:rPr>
                  </w:pPr>
                  <w:r>
                    <w:rPr>
                      <w:color w:val="000000" w:themeColor="text1"/>
                      <w14:textFill>
                        <w14:solidFill>
                          <w14:schemeClr w14:val="tx1"/>
                        </w14:solidFill>
                      </w14:textFill>
                    </w:rPr>
                    <w:t>化学</w:t>
                  </w:r>
                </w:p>
              </w:tc>
              <w:tc>
                <w:tcPr>
                  <w:tcW w:w="2531" w:type="pct"/>
                  <w:gridSpan w:val="2"/>
                  <w:vAlign w:val="center"/>
                </w:tcPr>
                <w:p w14:paraId="25BC2B74">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946" w:type="pct"/>
                  <w:vMerge w:val="continue"/>
                  <w:vAlign w:val="center"/>
                </w:tcPr>
                <w:p w14:paraId="2660AF73">
                  <w:pPr>
                    <w:pStyle w:val="90"/>
                    <w:rPr>
                      <w:color w:val="000000" w:themeColor="text1"/>
                      <w14:textFill>
                        <w14:solidFill>
                          <w14:schemeClr w14:val="tx1"/>
                        </w14:solidFill>
                      </w14:textFill>
                    </w:rPr>
                  </w:pPr>
                </w:p>
              </w:tc>
            </w:tr>
            <w:tr w14:paraId="10F57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184E343C">
                  <w:pPr>
                    <w:pStyle w:val="90"/>
                    <w:rPr>
                      <w:color w:val="000000" w:themeColor="text1"/>
                      <w14:textFill>
                        <w14:solidFill>
                          <w14:schemeClr w14:val="tx1"/>
                        </w14:solidFill>
                      </w14:textFill>
                    </w:rPr>
                  </w:pPr>
                  <w:r>
                    <w:rPr>
                      <w:color w:val="000000" w:themeColor="text1"/>
                      <w14:textFill>
                        <w14:solidFill>
                          <w14:schemeClr w14:val="tx1"/>
                        </w14:solidFill>
                      </w14:textFill>
                    </w:rPr>
                    <w:t>（二）机组维修</w:t>
                  </w:r>
                </w:p>
              </w:tc>
              <w:tc>
                <w:tcPr>
                  <w:tcW w:w="2531" w:type="pct"/>
                  <w:gridSpan w:val="2"/>
                  <w:vAlign w:val="center"/>
                </w:tcPr>
                <w:p w14:paraId="49E38B2E">
                  <w:pPr>
                    <w:pStyle w:val="90"/>
                    <w:rPr>
                      <w:color w:val="000000" w:themeColor="text1"/>
                      <w14:textFill>
                        <w14:solidFill>
                          <w14:schemeClr w14:val="tx1"/>
                        </w14:solidFill>
                      </w14:textFill>
                    </w:rPr>
                  </w:pPr>
                  <w:r>
                    <w:rPr>
                      <w:color w:val="000000" w:themeColor="text1"/>
                      <w14:textFill>
                        <w14:solidFill>
                          <w14:schemeClr w14:val="tx1"/>
                        </w14:solidFill>
                      </w14:textFill>
                    </w:rPr>
                    <w:t>人数</w:t>
                  </w:r>
                </w:p>
              </w:tc>
              <w:tc>
                <w:tcPr>
                  <w:tcW w:w="946" w:type="pct"/>
                  <w:vAlign w:val="center"/>
                </w:tcPr>
                <w:p w14:paraId="79642963">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51063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1BD3DD38">
                  <w:pPr>
                    <w:pStyle w:val="90"/>
                    <w:rPr>
                      <w:color w:val="000000" w:themeColor="text1"/>
                      <w14:textFill>
                        <w14:solidFill>
                          <w14:schemeClr w14:val="tx1"/>
                        </w14:solidFill>
                      </w14:textFill>
                    </w:rPr>
                  </w:pPr>
                  <w:r>
                    <w:rPr>
                      <w:color w:val="000000" w:themeColor="text1"/>
                      <w14:textFill>
                        <w14:solidFill>
                          <w14:schemeClr w14:val="tx1"/>
                        </w14:solidFill>
                      </w14:textFill>
                    </w:rPr>
                    <w:t>热机</w:t>
                  </w:r>
                </w:p>
              </w:tc>
              <w:tc>
                <w:tcPr>
                  <w:tcW w:w="2531" w:type="pct"/>
                  <w:gridSpan w:val="2"/>
                  <w:vAlign w:val="center"/>
                </w:tcPr>
                <w:p w14:paraId="2DA132CB">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946" w:type="pct"/>
                  <w:vMerge w:val="restart"/>
                  <w:vAlign w:val="center"/>
                </w:tcPr>
                <w:p w14:paraId="7039B2F4">
                  <w:pPr>
                    <w:pStyle w:val="90"/>
                    <w:rPr>
                      <w:color w:val="000000" w:themeColor="text1"/>
                      <w14:textFill>
                        <w14:solidFill>
                          <w14:schemeClr w14:val="tx1"/>
                        </w14:solidFill>
                      </w14:textFill>
                    </w:rPr>
                  </w:pPr>
                  <w:r>
                    <w:rPr>
                      <w:color w:val="000000" w:themeColor="text1"/>
                      <w14:textFill>
                        <w14:solidFill>
                          <w14:schemeClr w14:val="tx1"/>
                        </w14:solidFill>
                      </w14:textFill>
                    </w:rPr>
                    <w:t>人员共用</w:t>
                  </w:r>
                </w:p>
              </w:tc>
            </w:tr>
            <w:tr w14:paraId="028F7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0138CF55">
                  <w:pPr>
                    <w:pStyle w:val="90"/>
                    <w:rPr>
                      <w:color w:val="000000" w:themeColor="text1"/>
                      <w14:textFill>
                        <w14:solidFill>
                          <w14:schemeClr w14:val="tx1"/>
                        </w14:solidFill>
                      </w14:textFill>
                    </w:rPr>
                  </w:pPr>
                  <w:r>
                    <w:rPr>
                      <w:color w:val="000000" w:themeColor="text1"/>
                      <w14:textFill>
                        <w14:solidFill>
                          <w14:schemeClr w14:val="tx1"/>
                        </w14:solidFill>
                      </w14:textFill>
                    </w:rPr>
                    <w:t>电气</w:t>
                  </w:r>
                </w:p>
              </w:tc>
              <w:tc>
                <w:tcPr>
                  <w:tcW w:w="2531" w:type="pct"/>
                  <w:gridSpan w:val="2"/>
                  <w:vAlign w:val="center"/>
                </w:tcPr>
                <w:p w14:paraId="2EF44A56">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46" w:type="pct"/>
                  <w:vMerge w:val="continue"/>
                  <w:vAlign w:val="center"/>
                </w:tcPr>
                <w:p w14:paraId="75EB5EEA">
                  <w:pPr>
                    <w:pStyle w:val="90"/>
                    <w:rPr>
                      <w:color w:val="000000" w:themeColor="text1"/>
                      <w14:textFill>
                        <w14:solidFill>
                          <w14:schemeClr w14:val="tx1"/>
                        </w14:solidFill>
                      </w14:textFill>
                    </w:rPr>
                  </w:pPr>
                </w:p>
              </w:tc>
            </w:tr>
            <w:tr w14:paraId="26C20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14484CF7">
                  <w:pPr>
                    <w:pStyle w:val="90"/>
                    <w:rPr>
                      <w:color w:val="000000" w:themeColor="text1"/>
                      <w14:textFill>
                        <w14:solidFill>
                          <w14:schemeClr w14:val="tx1"/>
                        </w14:solidFill>
                      </w14:textFill>
                    </w:rPr>
                  </w:pPr>
                  <w:r>
                    <w:rPr>
                      <w:color w:val="000000" w:themeColor="text1"/>
                      <w14:textFill>
                        <w14:solidFill>
                          <w14:schemeClr w14:val="tx1"/>
                        </w14:solidFill>
                      </w14:textFill>
                    </w:rPr>
                    <w:t>热控</w:t>
                  </w:r>
                </w:p>
              </w:tc>
              <w:tc>
                <w:tcPr>
                  <w:tcW w:w="2531" w:type="pct"/>
                  <w:gridSpan w:val="2"/>
                  <w:vAlign w:val="center"/>
                </w:tcPr>
                <w:p w14:paraId="73FAE8C5">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46" w:type="pct"/>
                  <w:vMerge w:val="continue"/>
                  <w:vAlign w:val="center"/>
                </w:tcPr>
                <w:p w14:paraId="4897E608">
                  <w:pPr>
                    <w:pStyle w:val="90"/>
                    <w:rPr>
                      <w:color w:val="000000" w:themeColor="text1"/>
                      <w14:textFill>
                        <w14:solidFill>
                          <w14:schemeClr w14:val="tx1"/>
                        </w14:solidFill>
                      </w14:textFill>
                    </w:rPr>
                  </w:pPr>
                </w:p>
              </w:tc>
            </w:tr>
            <w:tr w14:paraId="7BCC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2BECF5E8">
                  <w:pPr>
                    <w:pStyle w:val="90"/>
                    <w:jc w:val="left"/>
                    <w:rPr>
                      <w:color w:val="000000" w:themeColor="text1"/>
                      <w14:textFill>
                        <w14:solidFill>
                          <w14:schemeClr w14:val="tx1"/>
                        </w14:solidFill>
                      </w14:textFill>
                    </w:rPr>
                  </w:pPr>
                  <w:r>
                    <w:rPr>
                      <w:b/>
                      <w:bCs/>
                      <w:color w:val="000000" w:themeColor="text1"/>
                      <w14:textFill>
                        <w14:solidFill>
                          <w14:schemeClr w14:val="tx1"/>
                        </w14:solidFill>
                      </w14:textFill>
                    </w:rPr>
                    <w:t>二、管理人员</w:t>
                  </w:r>
                </w:p>
              </w:tc>
              <w:tc>
                <w:tcPr>
                  <w:tcW w:w="2531" w:type="pct"/>
                  <w:gridSpan w:val="2"/>
                  <w:vAlign w:val="center"/>
                </w:tcPr>
                <w:p w14:paraId="2276948C">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46" w:type="pct"/>
                  <w:vMerge w:val="continue"/>
                  <w:vAlign w:val="center"/>
                </w:tcPr>
                <w:p w14:paraId="310E6A54">
                  <w:pPr>
                    <w:pStyle w:val="90"/>
                    <w:rPr>
                      <w:color w:val="000000" w:themeColor="text1"/>
                      <w14:textFill>
                        <w14:solidFill>
                          <w14:schemeClr w14:val="tx1"/>
                        </w14:solidFill>
                      </w14:textFill>
                    </w:rPr>
                  </w:pPr>
                </w:p>
              </w:tc>
            </w:tr>
            <w:tr w14:paraId="2D2D1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27EBDE67">
                  <w:pPr>
                    <w:pStyle w:val="90"/>
                    <w:jc w:val="left"/>
                    <w:rPr>
                      <w:color w:val="000000" w:themeColor="text1"/>
                      <w14:textFill>
                        <w14:solidFill>
                          <w14:schemeClr w14:val="tx1"/>
                        </w14:solidFill>
                      </w14:textFill>
                    </w:rPr>
                  </w:pPr>
                  <w:r>
                    <w:rPr>
                      <w:b/>
                      <w:bCs/>
                      <w:color w:val="000000" w:themeColor="text1"/>
                      <w14:textFill>
                        <w14:solidFill>
                          <w14:schemeClr w14:val="tx1"/>
                        </w14:solidFill>
                      </w14:textFill>
                    </w:rPr>
                    <w:t>三、专工人员</w:t>
                  </w:r>
                </w:p>
              </w:tc>
              <w:tc>
                <w:tcPr>
                  <w:tcW w:w="2531" w:type="pct"/>
                  <w:gridSpan w:val="2"/>
                  <w:vAlign w:val="center"/>
                </w:tcPr>
                <w:p w14:paraId="6E618F5D">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c>
                <w:tcPr>
                  <w:tcW w:w="946" w:type="pct"/>
                  <w:vMerge w:val="continue"/>
                  <w:vAlign w:val="center"/>
                </w:tcPr>
                <w:p w14:paraId="5662DDC3">
                  <w:pPr>
                    <w:pStyle w:val="90"/>
                    <w:rPr>
                      <w:color w:val="000000" w:themeColor="text1"/>
                      <w14:textFill>
                        <w14:solidFill>
                          <w14:schemeClr w14:val="tx1"/>
                        </w14:solidFill>
                      </w14:textFill>
                    </w:rPr>
                  </w:pPr>
                </w:p>
              </w:tc>
            </w:tr>
            <w:tr w14:paraId="28F4B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522" w:type="pct"/>
                  <w:vAlign w:val="center"/>
                </w:tcPr>
                <w:p w14:paraId="5E118BAC">
                  <w:pPr>
                    <w:pStyle w:val="90"/>
                    <w:rPr>
                      <w:color w:val="000000" w:themeColor="text1"/>
                      <w14:textFill>
                        <w14:solidFill>
                          <w14:schemeClr w14:val="tx1"/>
                        </w14:solidFill>
                      </w14:textFill>
                    </w:rPr>
                  </w:pPr>
                  <w:r>
                    <w:rPr>
                      <w:b/>
                      <w:bCs/>
                      <w:color w:val="000000" w:themeColor="text1"/>
                      <w14:textFill>
                        <w14:solidFill>
                          <w14:schemeClr w14:val="tx1"/>
                        </w14:solidFill>
                      </w14:textFill>
                    </w:rPr>
                    <w:t>合计</w:t>
                  </w:r>
                </w:p>
              </w:tc>
              <w:tc>
                <w:tcPr>
                  <w:tcW w:w="2531" w:type="pct"/>
                  <w:gridSpan w:val="2"/>
                  <w:vAlign w:val="center"/>
                </w:tcPr>
                <w:p w14:paraId="69BC3631">
                  <w:pPr>
                    <w:pStyle w:val="90"/>
                    <w:rPr>
                      <w:color w:val="000000" w:themeColor="text1"/>
                      <w14:textFill>
                        <w14:solidFill>
                          <w14:schemeClr w14:val="tx1"/>
                        </w14:solidFill>
                      </w14:textFill>
                    </w:rPr>
                  </w:pPr>
                  <w:r>
                    <w:rPr>
                      <w:b/>
                      <w:bCs/>
                      <w:color w:val="000000" w:themeColor="text1"/>
                      <w14:textFill>
                        <w14:solidFill>
                          <w14:schemeClr w14:val="tx1"/>
                        </w14:solidFill>
                      </w14:textFill>
                    </w:rPr>
                    <w:t>46</w:t>
                  </w:r>
                </w:p>
              </w:tc>
              <w:tc>
                <w:tcPr>
                  <w:tcW w:w="946" w:type="pct"/>
                  <w:vAlign w:val="center"/>
                </w:tcPr>
                <w:p w14:paraId="2B6220D1">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5B3751FB">
            <w:pPr>
              <w:pStyle w:val="3"/>
              <w:rPr>
                <w:rFonts w:cs="Times New Roman"/>
                <w:color w:val="000000" w:themeColor="text1"/>
                <w14:textFill>
                  <w14:solidFill>
                    <w14:schemeClr w14:val="tx1"/>
                  </w14:solidFill>
                </w14:textFill>
              </w:rPr>
            </w:pPr>
            <w:bookmarkStart w:id="88" w:name="_Toc230448029"/>
            <w:bookmarkStart w:id="89" w:name="_Toc664852317"/>
            <w:r>
              <w:rPr>
                <w:rFonts w:cs="Times New Roman"/>
                <w:color w:val="000000" w:themeColor="text1"/>
                <w14:textFill>
                  <w14:solidFill>
                    <w14:schemeClr w14:val="tx1"/>
                  </w14:solidFill>
                </w14:textFill>
              </w:rPr>
              <w:t>建设进度</w:t>
            </w:r>
            <w:bookmarkEnd w:id="88"/>
            <w:bookmarkEnd w:id="89"/>
          </w:p>
          <w:p w14:paraId="5501D3E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拟建项目建设进度安排为从设计到设备投入使用，总工期18个月。</w:t>
            </w:r>
          </w:p>
        </w:tc>
      </w:tr>
      <w:tr w14:paraId="60512E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1" w:hRule="atLeast"/>
        </w:trPr>
        <w:tc>
          <w:tcPr>
            <w:tcW w:w="455" w:type="dxa"/>
            <w:vAlign w:val="center"/>
          </w:tcPr>
          <w:p w14:paraId="29BAED8C">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工艺流程和产排污环节</w:t>
            </w:r>
          </w:p>
        </w:tc>
        <w:tc>
          <w:tcPr>
            <w:tcW w:w="8606" w:type="dxa"/>
          </w:tcPr>
          <w:p w14:paraId="2B637755">
            <w:pPr>
              <w:pStyle w:val="3"/>
              <w:rPr>
                <w:rFonts w:cs="Times New Roman"/>
                <w:color w:val="000000" w:themeColor="text1"/>
                <w14:textFill>
                  <w14:solidFill>
                    <w14:schemeClr w14:val="tx1"/>
                  </w14:solidFill>
                </w14:textFill>
              </w:rPr>
            </w:pPr>
            <w:bookmarkStart w:id="90" w:name="_Toc1845402335"/>
            <w:bookmarkStart w:id="91" w:name="_Toc230448030"/>
            <w:r>
              <w:rPr>
                <w:rFonts w:cs="Times New Roman"/>
                <w:color w:val="000000" w:themeColor="text1"/>
                <w14:textFill>
                  <w14:solidFill>
                    <w14:schemeClr w14:val="tx1"/>
                  </w14:solidFill>
                </w14:textFill>
              </w:rPr>
              <w:t>拟建项目工艺流程和产排污环节</w:t>
            </w:r>
            <w:bookmarkEnd w:id="90"/>
            <w:bookmarkEnd w:id="91"/>
          </w:p>
          <w:p w14:paraId="526F2669">
            <w:pPr>
              <w:pStyle w:val="4"/>
              <w:rPr>
                <w:rFonts w:cs="Times New Roman"/>
                <w:color w:val="000000" w:themeColor="text1"/>
                <w14:textFill>
                  <w14:solidFill>
                    <w14:schemeClr w14:val="tx1"/>
                  </w14:solidFill>
                </w14:textFill>
              </w:rPr>
            </w:pPr>
            <w:bookmarkStart w:id="92" w:name="_Toc429992827"/>
            <w:bookmarkStart w:id="93" w:name="_Toc468784365"/>
            <w:r>
              <w:rPr>
                <w:rFonts w:cs="Times New Roman"/>
                <w:color w:val="000000" w:themeColor="text1"/>
                <w14:textFill>
                  <w14:solidFill>
                    <w14:schemeClr w14:val="tx1"/>
                  </w14:solidFill>
                </w14:textFill>
              </w:rPr>
              <w:t>余气发电生产工艺流程及产排污环节</w:t>
            </w:r>
          </w:p>
          <w:p w14:paraId="5BE41D0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p w14:paraId="779CE52B">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余热发电生产工艺流程及产排污环节</w:t>
            </w:r>
          </w:p>
          <w:p w14:paraId="3FB7D896">
            <w:pPr>
              <w:ind w:firstLine="199" w:firstLineChars="83"/>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w:t>
            </w:r>
            <w:bookmarkEnd w:id="92"/>
            <w:bookmarkEnd w:id="93"/>
          </w:p>
          <w:p w14:paraId="41B03991">
            <w:pPr>
              <w:pStyle w:val="97"/>
              <w:spacing w:before="120" w:after="120"/>
              <w:rPr>
                <w:rFonts w:cs="Times New Roman"/>
                <w:bCs w:val="0"/>
                <w:color w:val="000000" w:themeColor="text1"/>
                <w:szCs w:val="24"/>
                <w:lang w:val="en-US"/>
                <w14:textFill>
                  <w14:solidFill>
                    <w14:schemeClr w14:val="tx1"/>
                  </w14:solidFill>
                </w14:textFill>
              </w:rPr>
            </w:pPr>
            <w:r>
              <w:rPr>
                <w:rFonts w:cs="Times New Roman"/>
                <w:bCs w:val="0"/>
                <w:color w:val="000000" w:themeColor="text1"/>
                <w:szCs w:val="24"/>
                <w:lang w:val="en-US"/>
                <w14:textFill>
                  <w14:solidFill>
                    <w14:schemeClr w14:val="tx1"/>
                  </w14:solidFill>
                </w14:textFill>
              </w:rPr>
              <w:t>图</w:t>
            </w:r>
            <w:r>
              <w:rPr>
                <w:rFonts w:cs="Times New Roman"/>
                <w:bCs w:val="0"/>
                <w:color w:val="000000" w:themeColor="text1"/>
                <w:szCs w:val="24"/>
                <w:lang w:val="en-US"/>
                <w14:textFill>
                  <w14:solidFill>
                    <w14:schemeClr w14:val="tx1"/>
                  </w14:solidFill>
                </w14:textFill>
              </w:rPr>
              <w:fldChar w:fldCharType="begin"/>
            </w:r>
            <w:r>
              <w:rPr>
                <w:rFonts w:cs="Times New Roman"/>
                <w:bCs w:val="0"/>
                <w:color w:val="000000" w:themeColor="text1"/>
                <w:szCs w:val="24"/>
                <w:lang w:val="en-US"/>
                <w14:textFill>
                  <w14:solidFill>
                    <w14:schemeClr w14:val="tx1"/>
                  </w14:solidFill>
                </w14:textFill>
              </w:rPr>
              <w:instrText xml:space="preserve"> STYLEREF 2 \s </w:instrText>
            </w:r>
            <w:r>
              <w:rPr>
                <w:rFonts w:cs="Times New Roman"/>
                <w:bCs w:val="0"/>
                <w:color w:val="000000" w:themeColor="text1"/>
                <w:szCs w:val="24"/>
                <w:lang w:val="en-US"/>
                <w14:textFill>
                  <w14:solidFill>
                    <w14:schemeClr w14:val="tx1"/>
                  </w14:solidFill>
                </w14:textFill>
              </w:rPr>
              <w:fldChar w:fldCharType="separate"/>
            </w:r>
            <w:r>
              <w:rPr>
                <w:rFonts w:cs="Times New Roman"/>
                <w:bCs w:val="0"/>
                <w:color w:val="000000" w:themeColor="text1"/>
                <w:szCs w:val="24"/>
                <w:lang w:val="en-US"/>
                <w14:textFill>
                  <w14:solidFill>
                    <w14:schemeClr w14:val="tx1"/>
                  </w14:solidFill>
                </w14:textFill>
              </w:rPr>
              <w:t>2.13</w:t>
            </w:r>
            <w:r>
              <w:rPr>
                <w:rFonts w:cs="Times New Roman"/>
                <w:bCs w:val="0"/>
                <w:color w:val="000000" w:themeColor="text1"/>
                <w:szCs w:val="24"/>
                <w:lang w:val="en-US"/>
                <w14:textFill>
                  <w14:solidFill>
                    <w14:schemeClr w14:val="tx1"/>
                  </w14:solidFill>
                </w14:textFill>
              </w:rPr>
              <w:fldChar w:fldCharType="end"/>
            </w:r>
            <w:r>
              <w:rPr>
                <w:rFonts w:cs="Times New Roman"/>
                <w:bCs w:val="0"/>
                <w:color w:val="000000" w:themeColor="text1"/>
                <w:szCs w:val="24"/>
                <w:lang w:val="en-US"/>
                <w14:textFill>
                  <w14:solidFill>
                    <w14:schemeClr w14:val="tx1"/>
                  </w14:solidFill>
                </w14:textFill>
              </w:rPr>
              <w:t>-</w:t>
            </w:r>
            <w:r>
              <w:rPr>
                <w:rFonts w:cs="Times New Roman"/>
                <w:bCs w:val="0"/>
                <w:color w:val="000000" w:themeColor="text1"/>
                <w:szCs w:val="24"/>
                <w:lang w:val="en-US"/>
                <w14:textFill>
                  <w14:solidFill>
                    <w14:schemeClr w14:val="tx1"/>
                  </w14:solidFill>
                </w14:textFill>
              </w:rPr>
              <w:fldChar w:fldCharType="begin"/>
            </w:r>
            <w:r>
              <w:rPr>
                <w:rFonts w:cs="Times New Roman"/>
                <w:bCs w:val="0"/>
                <w:color w:val="000000" w:themeColor="text1"/>
                <w:szCs w:val="24"/>
                <w:lang w:val="en-US"/>
                <w14:textFill>
                  <w14:solidFill>
                    <w14:schemeClr w14:val="tx1"/>
                  </w14:solidFill>
                </w14:textFill>
              </w:rPr>
              <w:instrText xml:space="preserve"> SEQ 图 \* ARABIC \s 2 </w:instrText>
            </w:r>
            <w:r>
              <w:rPr>
                <w:rFonts w:cs="Times New Roman"/>
                <w:bCs w:val="0"/>
                <w:color w:val="000000" w:themeColor="text1"/>
                <w:szCs w:val="24"/>
                <w:lang w:val="en-US"/>
                <w14:textFill>
                  <w14:solidFill>
                    <w14:schemeClr w14:val="tx1"/>
                  </w14:solidFill>
                </w14:textFill>
              </w:rPr>
              <w:fldChar w:fldCharType="separate"/>
            </w:r>
            <w:r>
              <w:rPr>
                <w:rFonts w:cs="Times New Roman"/>
                <w:bCs w:val="0"/>
                <w:color w:val="000000" w:themeColor="text1"/>
                <w:szCs w:val="24"/>
                <w:lang w:val="en-US"/>
                <w14:textFill>
                  <w14:solidFill>
                    <w14:schemeClr w14:val="tx1"/>
                  </w14:solidFill>
                </w14:textFill>
              </w:rPr>
              <w:t>1</w:t>
            </w:r>
            <w:r>
              <w:rPr>
                <w:rFonts w:cs="Times New Roman"/>
                <w:bCs w:val="0"/>
                <w:color w:val="000000" w:themeColor="text1"/>
                <w:szCs w:val="24"/>
                <w:lang w:val="en-US"/>
                <w14:textFill>
                  <w14:solidFill>
                    <w14:schemeClr w14:val="tx1"/>
                  </w14:solidFill>
                </w14:textFill>
              </w:rPr>
              <w:fldChar w:fldCharType="end"/>
            </w:r>
            <w:r>
              <w:rPr>
                <w:rFonts w:cs="Times New Roman"/>
                <w:bCs w:val="0"/>
                <w:color w:val="000000" w:themeColor="text1"/>
                <w:szCs w:val="24"/>
                <w:lang w:val="en-US"/>
                <w14:textFill>
                  <w14:solidFill>
                    <w14:schemeClr w14:val="tx1"/>
                  </w14:solidFill>
                </w14:textFill>
              </w:rPr>
              <w:t xml:space="preserve"> 煤气发电及余热发电工程生产工艺流程图及产污环节</w:t>
            </w:r>
          </w:p>
          <w:p w14:paraId="5666CA83">
            <w:pPr>
              <w:pStyle w:val="97"/>
              <w:spacing w:before="120" w:after="120"/>
              <w:rPr>
                <w:rFonts w:cs="Times New Roman"/>
                <w:bCs w:val="0"/>
                <w:color w:val="000000" w:themeColor="text1"/>
                <w:szCs w:val="24"/>
                <w:lang w:val="en-US"/>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7E7D37CC">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拟建项目产污环节及污染控制措施</w:t>
            </w:r>
          </w:p>
          <w:p w14:paraId="7088880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（1）废气</w:t>
            </w:r>
          </w:p>
          <w:p w14:paraId="50918DD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锅炉燃烧废气（G1）</w:t>
            </w:r>
          </w:p>
          <w:p w14:paraId="7AF5510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锅炉燃烧煤气过程中产生的大量烟气，烟气中含颗粒物、SO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和NO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污染物；上述锅炉出口烟气进入SCR脱硝装置、干法脱硫装置和一套布袋除尘系统，系统最大风量19万N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/h，净化后颗粒物浓度≤5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浓度≤35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浓度≤50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、氨浓度≤8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的尾气经1根60m高排气筒达标排放。</w:t>
            </w:r>
          </w:p>
          <w:p w14:paraId="7AE7D61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（2）废水</w:t>
            </w:r>
          </w:p>
          <w:p w14:paraId="376DBEE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①净循环水强排水（W1、W7）</w:t>
            </w:r>
          </w:p>
          <w:p w14:paraId="07306DB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设备冷却水在使用过程中仅温度升高，未受其它污染，各设备的冷却回水直接利用余压上冷却塔冷却，冷却后的水再经泵加压供用户循环使用；强排污水排入中央污水处理站。</w:t>
            </w:r>
          </w:p>
          <w:p w14:paraId="3DE345D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②除盐水系统浓排水（W2）</w:t>
            </w:r>
          </w:p>
          <w:p w14:paraId="73B6638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除盐系统设置2套EDI系统化学清洗装置，1用1备，单套产水量≥20m³/h，排放清洗水排入厂区中央污水处理站处理回用。</w:t>
            </w:r>
          </w:p>
          <w:p w14:paraId="74621DB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③锅炉排污水（W3、W4、W5、W6）</w:t>
            </w:r>
          </w:p>
          <w:p w14:paraId="088C6D1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锅炉排污水温度80℃～90℃，为纯水冷凝水，水质较好，多余锅炉排污水至净环水系统冷水池后排入厂区中央污水处理站处理回用。</w:t>
            </w:r>
          </w:p>
          <w:p w14:paraId="106CECF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④生活污水</w:t>
            </w:r>
          </w:p>
          <w:p w14:paraId="31F38B0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生活污水经预处理后排入厂区中央污水处理站处理回用。</w:t>
            </w:r>
          </w:p>
          <w:p w14:paraId="439C71F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⑤雨水</w:t>
            </w:r>
          </w:p>
          <w:p w14:paraId="494783B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拟建项目区域</w:t>
            </w:r>
            <w:r>
              <w:rPr>
                <w:rFonts w:cs="Times New Roman"/>
                <w:color w:val="000000" w:themeColor="text1"/>
                <w:szCs w:val="18"/>
                <w14:textFill>
                  <w14:solidFill>
                    <w14:schemeClr w14:val="tx1"/>
                  </w14:solidFill>
                </w14:textFill>
              </w:rPr>
              <w:t>屋面的雨水通过雨水管道独立收集排放</w:t>
            </w:r>
            <w:r>
              <w:rPr>
                <w:rFonts w:cs="Times New Roman"/>
                <w:color w:val="000000" w:themeColor="text1"/>
                <w14:textFill>
                  <w14:solidFill>
                    <w14:schemeClr w14:val="tx1"/>
                  </w14:solidFill>
                </w14:textFill>
              </w:rPr>
              <w:t>；露天硬化道路区域室外初期雨水经雨水篦进入初期雨水收集池后送中央污水处理站处理。</w:t>
            </w:r>
          </w:p>
          <w:p w14:paraId="112717A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（3）噪声</w:t>
            </w:r>
          </w:p>
          <w:p w14:paraId="23509FB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本工程主要噪声源主要来自锅炉、汽轮机、发电机、除尘设施、各类泵等生产设备。</w:t>
            </w:r>
          </w:p>
          <w:p w14:paraId="5D4B3D4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（4）固废</w:t>
            </w:r>
          </w:p>
          <w:p w14:paraId="13742D6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固体废物主要为燃气锅炉烟气治理除尘灰（S1）、脱硫灰（S2）、废催化剂（S3）、废除尘布袋（S4）和废机油等。除尘灰为烟气除尘器中截留颗粒物产生；脱硫灰为利用干法脱硫过程中产生；废催化剂和废除尘布袋为阶段性更新产生；废机油为机械用油更换产生。</w:t>
            </w:r>
          </w:p>
          <w:p w14:paraId="35E45671">
            <w:pPr>
              <w:pStyle w:val="3"/>
              <w:rPr>
                <w:rFonts w:cs="Times New Roman"/>
                <w:color w:val="000000" w:themeColor="text1"/>
                <w14:textFill>
                  <w14:solidFill>
                    <w14:schemeClr w14:val="tx1"/>
                  </w14:solidFill>
                </w14:textFill>
              </w:rPr>
            </w:pPr>
            <w:bookmarkStart w:id="94" w:name="_Toc230448031"/>
            <w:bookmarkStart w:id="95" w:name="_Toc481989110"/>
            <w:r>
              <w:rPr>
                <w:rFonts w:cs="Times New Roman"/>
                <w:color w:val="000000" w:themeColor="text1"/>
                <w14:textFill>
                  <w14:solidFill>
                    <w14:schemeClr w14:val="tx1"/>
                  </w14:solidFill>
                </w14:textFill>
              </w:rPr>
              <w:t>物料平衡</w:t>
            </w:r>
            <w:bookmarkEnd w:id="94"/>
            <w:bookmarkEnd w:id="95"/>
          </w:p>
          <w:p w14:paraId="7344E0AC">
            <w:pPr>
              <w:pStyle w:val="4"/>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煤气平衡</w:t>
            </w:r>
          </w:p>
          <w:p w14:paraId="25BC52B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拟建项目建成后宝钢德盛全厂高炉、转炉、焦炉煤气平衡如下。</w:t>
            </w:r>
          </w:p>
          <w:p w14:paraId="14E71B31">
            <w:pPr>
              <w:pStyle w:val="304"/>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2.14</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高炉煤气用量平衡表</w:t>
            </w:r>
          </w:p>
          <w:p w14:paraId="7DA6B588">
            <w:pPr>
              <w:pStyle w:val="304"/>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2.14</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转炉煤气用量平衡表</w:t>
            </w:r>
          </w:p>
          <w:p w14:paraId="13C4527D">
            <w:pPr>
              <w:pStyle w:val="304"/>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2.14</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焦炉煤气用量平衡表</w:t>
            </w:r>
          </w:p>
          <w:p w14:paraId="527CDD1D">
            <w:pPr>
              <w:pStyle w:val="304"/>
              <w:spacing w:before="120"/>
              <w:rPr>
                <w:rFonts w:cs="Times New Roman"/>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2996742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新增煤气管道严格执行气密性试验、吹扫置换制度，投产前经第三方检测合格，运行期间每年开展一次全面管网检测。全厂煤气平衡统一调度，富余煤气进入本项目消纳，煤气供应不足时，第一时间降负荷或停机，杜绝生产车间供气中断。</w:t>
            </w:r>
          </w:p>
          <w:p w14:paraId="4ED936B6">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蒸汽平衡</w:t>
            </w:r>
          </w:p>
          <w:p w14:paraId="7CCFB8EC">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本项目扩建后全厂蒸汽平衡一览</w:t>
            </w:r>
          </w:p>
          <w:p w14:paraId="08C49AD4">
            <w:pPr>
              <w:pStyle w:val="351"/>
              <w:spacing w:before="120"/>
              <w:rPr>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569A10EE">
            <w:pPr>
              <w:ind w:firstLine="480"/>
              <w:rPr>
                <w:rFonts w:cs="Times New Roman"/>
                <w:color w:val="000000" w:themeColor="text1"/>
                <w14:textFill>
                  <w14:solidFill>
                    <w14:schemeClr w14:val="tx1"/>
                  </w14:solidFill>
                </w14:textFill>
              </w:rPr>
            </w:pPr>
          </w:p>
        </w:tc>
      </w:tr>
      <w:tr w14:paraId="64FE8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7" w:hRule="atLeast"/>
        </w:trPr>
        <w:tc>
          <w:tcPr>
            <w:tcW w:w="455" w:type="dxa"/>
            <w:vAlign w:val="center"/>
          </w:tcPr>
          <w:p w14:paraId="4C96A01A">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与项目有关的原有环境污染问题</w:t>
            </w:r>
          </w:p>
        </w:tc>
        <w:tc>
          <w:tcPr>
            <w:tcW w:w="8606" w:type="dxa"/>
          </w:tcPr>
          <w:p w14:paraId="46574449">
            <w:pPr>
              <w:pStyle w:val="3"/>
              <w:rPr>
                <w:rFonts w:cs="Times New Roman"/>
                <w:color w:val="000000" w:themeColor="text1"/>
                <w14:textFill>
                  <w14:solidFill>
                    <w14:schemeClr w14:val="tx1"/>
                  </w14:solidFill>
                </w14:textFill>
              </w:rPr>
            </w:pPr>
            <w:bookmarkStart w:id="96" w:name="_Toc14779"/>
            <w:bookmarkStart w:id="97" w:name="_Toc86954813"/>
            <w:bookmarkStart w:id="98" w:name="_Toc86954706"/>
            <w:bookmarkStart w:id="99" w:name="_Toc820536615"/>
            <w:bookmarkStart w:id="100" w:name="_Toc71984735"/>
            <w:bookmarkStart w:id="101" w:name="_Toc230448032"/>
            <w:bookmarkStart w:id="102" w:name="_Toc2056164238"/>
            <w:r>
              <w:rPr>
                <w:rFonts w:cs="Times New Roman"/>
                <w:color w:val="000000" w:themeColor="text1"/>
                <w14:textFill>
                  <w14:solidFill>
                    <w14:schemeClr w14:val="tx1"/>
                  </w14:solidFill>
                </w14:textFill>
              </w:rPr>
              <w:t>已建工程环保手续执行情况</w:t>
            </w:r>
            <w:bookmarkEnd w:id="96"/>
            <w:bookmarkEnd w:id="97"/>
            <w:bookmarkEnd w:id="98"/>
            <w:bookmarkEnd w:id="99"/>
            <w:bookmarkEnd w:id="100"/>
            <w:bookmarkEnd w:id="101"/>
          </w:p>
          <w:p w14:paraId="5C5BEFE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宝钢德盛已审批项目包含“年产92万吨镍合金项目、不锈钢精炼、热轧宽带（异地搬迁）项目、全连续直接轧制退火酸洗生产线项目（冷轧项目）、一期镍合金精炼厂配套（合金熔化炉）项目、宝钢德盛不锈钢有限公司黑卷轧制退火酸洗工程(HRAPL)技术改造项目、宝钢德盛不锈钢有限公司炼钢品种结构调整技术改造项目、宝钢德盛不锈钢有限公司1780mm热轧工程、宝钢德盛精品不锈钢绿色产业基地项目1600mm酸洗项目、宝钢德盛能源综合利用项目、宝钢德盛能源综合利用-高炉煤气发电项目、宝钢德盛精品不锈钢绿色产业基地项目-钢铁产能置换项目、宝钢德盛精品不锈钢绿色产业基地项目-原有炼钢连铸转型升级技术改造项目”。</w:t>
            </w:r>
          </w:p>
          <w:p w14:paraId="09E59E3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其中年产92万吨镍合金项目包括12万吨/年镍25合金生产线和80万吨/年镍5合金生产线；镍5合金生产线主要工艺流程包含烧结工序（3台126m2带式烧结机）与高炉炼铁工序（3台600m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高炉）；镍25合金生产线已拆除；上述工序产出镍铁水进入炼钢工序（2台600t 混铁炉、3台30 t合金熔化炉、一座80t脱硅站、1台70t GOR转炉、3台80t GOR转炉、2台80t LF精炼炉、2台R8直弧连铸机）进行精炼连铸，年产200系和300系不锈钢坯共计82万吨/年。钢铁产能置换项目主要建设1台360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烧结机、1座2500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的高炉、1座KR铁水脱硫装置、1座150t转炉、1座150 t脱磷预处理炉、3座90t合金熔化炉、2座120t AOD炉、1座120 t和1座150t LF炉(双工位)、2座120t VOD(单工位)和1座150t RH炉(单工位)、3台1600mm不锈钢连铸机，年产优特钢、300系和400系不锈钢坯共计311.2万吨/年上述产出的不锈钢坯根据市场需要再进入热轧工序、冷轧工序或退火酸洗工序生产热轧不锈钢带、冷轧不锈钢带和No.1白卷等产品。“原有炼钢连铸转型升级技术改造项目”于2023年3月通过环评审批，还未建设。</w:t>
            </w:r>
          </w:p>
          <w:p w14:paraId="780299C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宝钢德盛于2024年8月重新申领排污许可证，现有工程的环评审批及竣工环保验收情况如下表所示。</w:t>
            </w:r>
          </w:p>
          <w:p w14:paraId="7E5BDF14">
            <w:pPr>
              <w:pStyle w:val="351"/>
              <w:spacing w:before="120"/>
              <w:rPr>
                <w:bCs/>
                <w:color w:val="000000" w:themeColor="text1"/>
                <w14:textFill>
                  <w14:solidFill>
                    <w14:schemeClr w14:val="tx1"/>
                  </w14:solidFill>
                </w14:textFill>
              </w:rPr>
            </w:pPr>
          </w:p>
          <w:p w14:paraId="19D8B3D6">
            <w:pPr>
              <w:pStyle w:val="351"/>
              <w:spacing w:before="120"/>
              <w:rPr>
                <w:bCs/>
                <w:color w:val="000000" w:themeColor="text1"/>
                <w14:textFill>
                  <w14:solidFill>
                    <w14:schemeClr w14:val="tx1"/>
                  </w14:solidFill>
                </w14:textFill>
              </w:rPr>
            </w:pPr>
            <w:r>
              <w:rPr>
                <w:bCs/>
                <w:color w:val="000000" w:themeColor="text1"/>
                <w14:textFill>
                  <w14:solidFill>
                    <w14:schemeClr w14:val="tx1"/>
                  </w14:solidFill>
                </w14:textFill>
              </w:rPr>
              <w:t>表</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STYLEREF 2 \s </w:instrText>
            </w:r>
            <w:r>
              <w:rPr>
                <w:bCs/>
                <w:color w:val="000000" w:themeColor="text1"/>
                <w14:textFill>
                  <w14:solidFill>
                    <w14:schemeClr w14:val="tx1"/>
                  </w14:solidFill>
                </w14:textFill>
              </w:rPr>
              <w:fldChar w:fldCharType="separate"/>
            </w:r>
            <w:r>
              <w:rPr>
                <w:bCs/>
                <w:color w:val="000000" w:themeColor="text1"/>
                <w14:textFill>
                  <w14:solidFill>
                    <w14:schemeClr w14:val="tx1"/>
                  </w14:solidFill>
                </w14:textFill>
              </w:rPr>
              <w:t>2.15</w:t>
            </w:r>
            <w:r>
              <w:rPr>
                <w:bCs/>
                <w:color w:val="000000" w:themeColor="text1"/>
                <w14:textFill>
                  <w14:solidFill>
                    <w14:schemeClr w14:val="tx1"/>
                  </w14:solidFill>
                </w14:textFill>
              </w:rPr>
              <w:fldChar w:fldCharType="end"/>
            </w:r>
            <w:r>
              <w:rPr>
                <w:bCs/>
                <w:color w:val="000000" w:themeColor="text1"/>
                <w14:textFill>
                  <w14:solidFill>
                    <w14:schemeClr w14:val="tx1"/>
                  </w14:solidFill>
                </w14:textFill>
              </w:rPr>
              <w:t>-</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SEQ 表 \* ARABIC \s 2 </w:instrText>
            </w:r>
            <w:r>
              <w:rPr>
                <w:bCs/>
                <w:color w:val="000000" w:themeColor="text1"/>
                <w14:textFill>
                  <w14:solidFill>
                    <w14:schemeClr w14:val="tx1"/>
                  </w14:solidFill>
                </w14:textFill>
              </w:rPr>
              <w:fldChar w:fldCharType="separate"/>
            </w:r>
            <w:r>
              <w:rPr>
                <w:bCs/>
                <w:color w:val="000000" w:themeColor="text1"/>
                <w14:textFill>
                  <w14:solidFill>
                    <w14:schemeClr w14:val="tx1"/>
                  </w14:solidFill>
                </w14:textFill>
              </w:rPr>
              <w:t>1</w:t>
            </w:r>
            <w:r>
              <w:rPr>
                <w:bCs/>
                <w:color w:val="000000" w:themeColor="text1"/>
                <w14:textFill>
                  <w14:solidFill>
                    <w14:schemeClr w14:val="tx1"/>
                  </w14:solidFill>
                </w14:textFill>
              </w:rPr>
              <w:fldChar w:fldCharType="end"/>
            </w:r>
            <w:r>
              <w:rPr>
                <w:bCs/>
                <w:color w:val="000000" w:themeColor="text1"/>
                <w14:textFill>
                  <w14:solidFill>
                    <w14:schemeClr w14:val="tx1"/>
                  </w14:solidFill>
                </w14:textFill>
              </w:rPr>
              <w:t xml:space="preserve"> 已建工程环评审批及竣工环保验收情况一览表</w:t>
            </w:r>
          </w:p>
          <w:tbl>
            <w:tblPr>
              <w:tblStyle w:val="46"/>
              <w:tblW w:w="491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045"/>
              <w:gridCol w:w="2371"/>
              <w:gridCol w:w="1371"/>
              <w:gridCol w:w="1378"/>
              <w:gridCol w:w="1423"/>
            </w:tblGrid>
            <w:tr w14:paraId="5A96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9" w:hRule="atLeast"/>
                <w:tblHeader/>
                <w:jc w:val="center"/>
              </w:trPr>
              <w:tc>
                <w:tcPr>
                  <w:tcW w:w="261" w:type="pct"/>
                  <w:tcBorders>
                    <w:tl2br w:val="nil"/>
                    <w:tr2bl w:val="nil"/>
                  </w:tcBorders>
                  <w:vAlign w:val="center"/>
                </w:tcPr>
                <w:p w14:paraId="4CAB493C">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640" w:type="pct"/>
                  <w:tcBorders>
                    <w:tl2br w:val="nil"/>
                    <w:tr2bl w:val="nil"/>
                  </w:tcBorders>
                  <w:vAlign w:val="center"/>
                </w:tcPr>
                <w:p w14:paraId="1D13D6C2">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建设工程</w:t>
                  </w:r>
                </w:p>
              </w:tc>
              <w:tc>
                <w:tcPr>
                  <w:tcW w:w="1488" w:type="pct"/>
                  <w:tcBorders>
                    <w:tl2br w:val="nil"/>
                    <w:tr2bl w:val="nil"/>
                  </w:tcBorders>
                  <w:vAlign w:val="center"/>
                </w:tcPr>
                <w:p w14:paraId="3B9D4D09">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规模及建设内容</w:t>
                  </w:r>
                </w:p>
              </w:tc>
              <w:tc>
                <w:tcPr>
                  <w:tcW w:w="847" w:type="pct"/>
                  <w:tcBorders>
                    <w:tl2br w:val="nil"/>
                    <w:tr2bl w:val="nil"/>
                  </w:tcBorders>
                  <w:vAlign w:val="center"/>
                </w:tcPr>
                <w:p w14:paraId="3D7C097A">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环评批复时间、单位、文号</w:t>
                  </w:r>
                </w:p>
              </w:tc>
              <w:tc>
                <w:tcPr>
                  <w:tcW w:w="868" w:type="pct"/>
                  <w:tcBorders>
                    <w:tl2br w:val="nil"/>
                    <w:tr2bl w:val="nil"/>
                  </w:tcBorders>
                  <w:vAlign w:val="center"/>
                </w:tcPr>
                <w:p w14:paraId="2D57EF0B">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环保验收情况及文号</w:t>
                  </w:r>
                </w:p>
              </w:tc>
              <w:tc>
                <w:tcPr>
                  <w:tcW w:w="896" w:type="pct"/>
                  <w:tcBorders>
                    <w:tl2br w:val="nil"/>
                    <w:tr2bl w:val="nil"/>
                  </w:tcBorders>
                  <w:vAlign w:val="center"/>
                </w:tcPr>
                <w:p w14:paraId="0E761567">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备注</w:t>
                  </w:r>
                </w:p>
              </w:tc>
            </w:tr>
            <w:tr w14:paraId="104F7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 w:hRule="atLeast"/>
                <w:jc w:val="center"/>
              </w:trPr>
              <w:tc>
                <w:tcPr>
                  <w:tcW w:w="261" w:type="pct"/>
                  <w:vMerge w:val="restart"/>
                  <w:tcBorders>
                    <w:tl2br w:val="nil"/>
                    <w:tr2bl w:val="nil"/>
                  </w:tcBorders>
                  <w:vAlign w:val="center"/>
                </w:tcPr>
                <w:p w14:paraId="35E94254">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640" w:type="pct"/>
                  <w:vMerge w:val="restart"/>
                  <w:tcBorders>
                    <w:tl2br w:val="nil"/>
                    <w:tr2bl w:val="nil"/>
                  </w:tcBorders>
                  <w:vAlign w:val="center"/>
                </w:tcPr>
                <w:p w14:paraId="5E2BD2FB">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年产92万吨镍合金项目</w:t>
                  </w:r>
                </w:p>
              </w:tc>
              <w:tc>
                <w:tcPr>
                  <w:tcW w:w="1488" w:type="pct"/>
                  <w:vMerge w:val="restart"/>
                  <w:tcBorders>
                    <w:tl2br w:val="nil"/>
                    <w:tr2bl w:val="nil"/>
                  </w:tcBorders>
                  <w:vAlign w:val="center"/>
                </w:tcPr>
                <w:p w14:paraId="071FB497">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年产92万吨镍合金，其中镍25</w:t>
                  </w:r>
                  <w:bookmarkStart w:id="103" w:name="_Hlk20161186"/>
                  <w:r>
                    <w:rPr>
                      <w:color w:val="000000" w:themeColor="text1"/>
                      <w:kern w:val="0"/>
                      <w:szCs w:val="21"/>
                      <w14:textFill>
                        <w14:solidFill>
                          <w14:schemeClr w14:val="tx1"/>
                        </w14:solidFill>
                      </w14:textFill>
                    </w:rPr>
                    <w:t>合金</w:t>
                  </w:r>
                  <w:bookmarkEnd w:id="103"/>
                  <w:r>
                    <w:rPr>
                      <w:color w:val="000000" w:themeColor="text1"/>
                      <w:kern w:val="0"/>
                      <w:szCs w:val="21"/>
                      <w14:textFill>
                        <w14:solidFill>
                          <w14:schemeClr w14:val="tx1"/>
                        </w14:solidFill>
                      </w14:textFill>
                    </w:rPr>
                    <w:t>12万吨/年，镍5合金80万吨/年。</w:t>
                  </w:r>
                </w:p>
                <w:p w14:paraId="7650321D">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①镍5合金生产线：主要生产设施包括3座126m2带式烧结机，3座600m3高炉；2座600t混铁炉（1备1用）；1台70t GOR转炉、3台80t GOR转炉。</w:t>
                  </w:r>
                </w:p>
                <w:p w14:paraId="34EF0B05">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②镍25合金生产线：主要生产设施4座25000kVA矿热炉、4座Ф4.75m×75m回转窑、2座Ф5m×40m干燥窑；</w:t>
                  </w:r>
                </w:p>
              </w:tc>
              <w:tc>
                <w:tcPr>
                  <w:tcW w:w="847" w:type="pct"/>
                  <w:vMerge w:val="restart"/>
                  <w:tcBorders>
                    <w:tl2br w:val="nil"/>
                    <w:tr2bl w:val="nil"/>
                  </w:tcBorders>
                  <w:vAlign w:val="center"/>
                </w:tcPr>
                <w:p w14:paraId="2A93AB27">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2006.3.14，福建省环境保护局，闽环保监[2006]18号</w:t>
                  </w:r>
                </w:p>
              </w:tc>
              <w:tc>
                <w:tcPr>
                  <w:tcW w:w="868" w:type="pct"/>
                  <w:tcBorders>
                    <w:tl2br w:val="nil"/>
                    <w:tr2bl w:val="nil"/>
                  </w:tcBorders>
                  <w:vAlign w:val="center"/>
                </w:tcPr>
                <w:p w14:paraId="31A68E2F">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2012年8月完成“80万吨/年镍5合金生产线”验收（其中3#高炉未验收）；“福建省环境保护厅，闽环评验[2012]5号”</w:t>
                  </w:r>
                </w:p>
              </w:tc>
              <w:tc>
                <w:tcPr>
                  <w:tcW w:w="896" w:type="pct"/>
                  <w:tcBorders>
                    <w:tl2br w:val="nil"/>
                    <w:tr2bl w:val="nil"/>
                  </w:tcBorders>
                  <w:vAlign w:val="center"/>
                </w:tcPr>
                <w:p w14:paraId="3B6AEF64">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451A7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1" w:type="pct"/>
                  <w:vMerge w:val="continue"/>
                  <w:tcBorders>
                    <w:tl2br w:val="nil"/>
                    <w:tr2bl w:val="nil"/>
                  </w:tcBorders>
                  <w:vAlign w:val="center"/>
                </w:tcPr>
                <w:p w14:paraId="3689A934">
                  <w:pPr>
                    <w:pStyle w:val="90"/>
                    <w:rPr>
                      <w:color w:val="000000" w:themeColor="text1"/>
                      <w:kern w:val="0"/>
                      <w:szCs w:val="21"/>
                      <w14:textFill>
                        <w14:solidFill>
                          <w14:schemeClr w14:val="tx1"/>
                        </w14:solidFill>
                      </w14:textFill>
                    </w:rPr>
                  </w:pPr>
                </w:p>
              </w:tc>
              <w:tc>
                <w:tcPr>
                  <w:tcW w:w="640" w:type="pct"/>
                  <w:vMerge w:val="continue"/>
                  <w:tcBorders>
                    <w:tl2br w:val="nil"/>
                    <w:tr2bl w:val="nil"/>
                  </w:tcBorders>
                  <w:vAlign w:val="center"/>
                </w:tcPr>
                <w:p w14:paraId="4F77B981">
                  <w:pPr>
                    <w:pStyle w:val="90"/>
                    <w:rPr>
                      <w:color w:val="000000" w:themeColor="text1"/>
                      <w:kern w:val="0"/>
                      <w:szCs w:val="21"/>
                      <w14:textFill>
                        <w14:solidFill>
                          <w14:schemeClr w14:val="tx1"/>
                        </w14:solidFill>
                      </w14:textFill>
                    </w:rPr>
                  </w:pPr>
                </w:p>
              </w:tc>
              <w:tc>
                <w:tcPr>
                  <w:tcW w:w="1488" w:type="pct"/>
                  <w:vMerge w:val="continue"/>
                  <w:tcBorders>
                    <w:tl2br w:val="nil"/>
                    <w:tr2bl w:val="nil"/>
                  </w:tcBorders>
                  <w:vAlign w:val="center"/>
                </w:tcPr>
                <w:p w14:paraId="6CF19C7D">
                  <w:pPr>
                    <w:pStyle w:val="90"/>
                    <w:rPr>
                      <w:color w:val="000000" w:themeColor="text1"/>
                      <w:kern w:val="0"/>
                      <w:szCs w:val="21"/>
                      <w14:textFill>
                        <w14:solidFill>
                          <w14:schemeClr w14:val="tx1"/>
                        </w14:solidFill>
                      </w14:textFill>
                    </w:rPr>
                  </w:pPr>
                </w:p>
              </w:tc>
              <w:tc>
                <w:tcPr>
                  <w:tcW w:w="847" w:type="pct"/>
                  <w:vMerge w:val="continue"/>
                  <w:tcBorders>
                    <w:tl2br w:val="nil"/>
                    <w:tr2bl w:val="nil"/>
                  </w:tcBorders>
                  <w:vAlign w:val="center"/>
                </w:tcPr>
                <w:p w14:paraId="6411F4B7">
                  <w:pPr>
                    <w:pStyle w:val="90"/>
                    <w:rPr>
                      <w:color w:val="000000" w:themeColor="text1"/>
                      <w:kern w:val="0"/>
                      <w:szCs w:val="21"/>
                      <w14:textFill>
                        <w14:solidFill>
                          <w14:schemeClr w14:val="tx1"/>
                        </w14:solidFill>
                      </w14:textFill>
                    </w:rPr>
                  </w:pPr>
                </w:p>
              </w:tc>
              <w:tc>
                <w:tcPr>
                  <w:tcW w:w="868" w:type="pct"/>
                  <w:tcBorders>
                    <w:tl2br w:val="nil"/>
                    <w:tr2bl w:val="nil"/>
                  </w:tcBorders>
                  <w:vAlign w:val="center"/>
                </w:tcPr>
                <w:p w14:paraId="6E54A780">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2017年12月完成3#高炉及镍25车间1#、2#生产线自行验收</w:t>
                  </w:r>
                </w:p>
              </w:tc>
              <w:tc>
                <w:tcPr>
                  <w:tcW w:w="896" w:type="pct"/>
                  <w:tcBorders>
                    <w:tl2br w:val="nil"/>
                    <w:tr2bl w:val="nil"/>
                  </w:tcBorders>
                  <w:vAlign w:val="center"/>
                </w:tcPr>
                <w:p w14:paraId="224E4605">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镍25车间3#、4#生产线未验收；镍25生产线于2023年已完成拆除；该产线拆除工程污染防治控制方案已备案至福州市罗源生态环境局</w:t>
                  </w:r>
                </w:p>
              </w:tc>
            </w:tr>
            <w:tr w14:paraId="25922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2" w:hRule="atLeast"/>
                <w:jc w:val="center"/>
              </w:trPr>
              <w:tc>
                <w:tcPr>
                  <w:tcW w:w="261" w:type="pct"/>
                  <w:tcBorders>
                    <w:tl2br w:val="nil"/>
                    <w:tr2bl w:val="nil"/>
                  </w:tcBorders>
                  <w:vAlign w:val="center"/>
                </w:tcPr>
                <w:p w14:paraId="184001F1">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640" w:type="pct"/>
                  <w:tcBorders>
                    <w:tl2br w:val="nil"/>
                    <w:tr2bl w:val="nil"/>
                  </w:tcBorders>
                  <w:vAlign w:val="center"/>
                </w:tcPr>
                <w:p w14:paraId="7170B08E">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不锈钢精炼、热轧宽带（异地搬迁）项目</w:t>
                  </w:r>
                </w:p>
              </w:tc>
              <w:tc>
                <w:tcPr>
                  <w:tcW w:w="1488" w:type="pct"/>
                  <w:tcBorders>
                    <w:tl2br w:val="nil"/>
                    <w:tr2bl w:val="nil"/>
                  </w:tcBorders>
                  <w:vAlign w:val="center"/>
                </w:tcPr>
                <w:p w14:paraId="272387EC">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利用年产92万吨镍合金项目提供的镍5、镍25合金热态母液，采用热装热送和连铸连轧生产工艺，年产不锈钢宽带82万吨/年。包括精炼工序、1150mm热轧工序和固溶工序；</w:t>
                  </w:r>
                </w:p>
                <w:p w14:paraId="26A5CB76">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主要生产设施：精炼工序包括2座80t LF精炼炉、2台R8直弧连铸机；1150mm热轧工序包含2座加热炉、1套精轧机组、1套粗轧机组以及2台卷取机；固溶工序包含6座卧式连续退火炉，6座抛丸机、6套酸洗设备。</w:t>
                  </w:r>
                </w:p>
              </w:tc>
              <w:tc>
                <w:tcPr>
                  <w:tcW w:w="847" w:type="pct"/>
                  <w:tcBorders>
                    <w:tl2br w:val="nil"/>
                    <w:tr2bl w:val="nil"/>
                  </w:tcBorders>
                  <w:vAlign w:val="center"/>
                </w:tcPr>
                <w:p w14:paraId="46E189E6">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2008.12.4，福建省环境保护局，闽环保监[2008]126号</w:t>
                  </w:r>
                </w:p>
              </w:tc>
              <w:tc>
                <w:tcPr>
                  <w:tcW w:w="868" w:type="pct"/>
                  <w:tcBorders>
                    <w:tl2br w:val="nil"/>
                    <w:tr2bl w:val="nil"/>
                  </w:tcBorders>
                  <w:vAlign w:val="center"/>
                </w:tcPr>
                <w:p w14:paraId="35B798C1">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2013年9月，福建省环境保护厅，闽环评验[2013]8号</w:t>
                  </w:r>
                </w:p>
              </w:tc>
              <w:tc>
                <w:tcPr>
                  <w:tcW w:w="896" w:type="pct"/>
                  <w:tcBorders>
                    <w:tl2br w:val="nil"/>
                    <w:tr2bl w:val="nil"/>
                  </w:tcBorders>
                  <w:vAlign w:val="center"/>
                </w:tcPr>
                <w:p w14:paraId="21274C78">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1F82E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7" w:hRule="atLeast"/>
                <w:jc w:val="center"/>
              </w:trPr>
              <w:tc>
                <w:tcPr>
                  <w:tcW w:w="261" w:type="pct"/>
                  <w:tcBorders>
                    <w:tl2br w:val="nil"/>
                    <w:tr2bl w:val="nil"/>
                  </w:tcBorders>
                  <w:vAlign w:val="center"/>
                </w:tcPr>
                <w:p w14:paraId="0036A606">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640" w:type="pct"/>
                  <w:tcBorders>
                    <w:tl2br w:val="nil"/>
                    <w:tr2bl w:val="nil"/>
                  </w:tcBorders>
                  <w:vAlign w:val="center"/>
                </w:tcPr>
                <w:p w14:paraId="5E0844A3">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全连续直接轧制退火酸洗生产线项目（冷轧项目）</w:t>
                  </w:r>
                </w:p>
              </w:tc>
              <w:tc>
                <w:tcPr>
                  <w:tcW w:w="1488" w:type="pct"/>
                  <w:tcBorders>
                    <w:tl2br w:val="nil"/>
                    <w:tr2bl w:val="nil"/>
                  </w:tcBorders>
                  <w:vAlign w:val="center"/>
                </w:tcPr>
                <w:p w14:paraId="157FE6EB">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4台十八辊冷连轧机、1座连续退火炉、1套连续酸洗机组和3台平整机、4台开卷机，采用直接轧制、退火、酸洗和平整矫正的生产工艺及废酸再生装置，年产冷轧不锈钢带40万吨/年。</w:t>
                  </w:r>
                </w:p>
              </w:tc>
              <w:tc>
                <w:tcPr>
                  <w:tcW w:w="847" w:type="pct"/>
                  <w:tcBorders>
                    <w:tl2br w:val="nil"/>
                    <w:tr2bl w:val="nil"/>
                  </w:tcBorders>
                  <w:vAlign w:val="center"/>
                </w:tcPr>
                <w:p w14:paraId="73BD3117">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2009.7.23，福建省环境保护局</w:t>
                  </w:r>
                </w:p>
              </w:tc>
              <w:tc>
                <w:tcPr>
                  <w:tcW w:w="868" w:type="pct"/>
                  <w:tcBorders>
                    <w:tl2br w:val="nil"/>
                    <w:tr2bl w:val="nil"/>
                  </w:tcBorders>
                  <w:vAlign w:val="center"/>
                </w:tcPr>
                <w:p w14:paraId="157691DC">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2016年8月，福州市环境保护局，榕环评验[2016]64号</w:t>
                  </w:r>
                </w:p>
              </w:tc>
              <w:tc>
                <w:tcPr>
                  <w:tcW w:w="896" w:type="pct"/>
                  <w:tcBorders>
                    <w:tl2br w:val="nil"/>
                    <w:tr2bl w:val="nil"/>
                  </w:tcBorders>
                  <w:vAlign w:val="center"/>
                </w:tcPr>
                <w:p w14:paraId="7CABE7A8">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3E15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9" w:hRule="atLeast"/>
                <w:jc w:val="center"/>
              </w:trPr>
              <w:tc>
                <w:tcPr>
                  <w:tcW w:w="261" w:type="pct"/>
                  <w:tcBorders>
                    <w:tl2br w:val="nil"/>
                    <w:tr2bl w:val="nil"/>
                  </w:tcBorders>
                  <w:vAlign w:val="center"/>
                </w:tcPr>
                <w:p w14:paraId="40C57246">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640" w:type="pct"/>
                  <w:tcBorders>
                    <w:tl2br w:val="nil"/>
                    <w:tr2bl w:val="nil"/>
                  </w:tcBorders>
                  <w:vAlign w:val="center"/>
                </w:tcPr>
                <w:p w14:paraId="258D643F">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一期镍合金精炼厂配套（合金熔化炉）项目</w:t>
                  </w:r>
                </w:p>
              </w:tc>
              <w:tc>
                <w:tcPr>
                  <w:tcW w:w="1488" w:type="pct"/>
                  <w:tcBorders>
                    <w:tl2br w:val="nil"/>
                    <w:tr2bl w:val="nil"/>
                  </w:tcBorders>
                  <w:vAlign w:val="center"/>
                </w:tcPr>
                <w:p w14:paraId="56E28334">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建设3套30吨合金熔化炉，年产镍铁水30万吨。</w:t>
                  </w:r>
                </w:p>
              </w:tc>
              <w:tc>
                <w:tcPr>
                  <w:tcW w:w="847" w:type="pct"/>
                  <w:tcBorders>
                    <w:tl2br w:val="nil"/>
                    <w:tr2bl w:val="nil"/>
                  </w:tcBorders>
                  <w:vAlign w:val="center"/>
                </w:tcPr>
                <w:p w14:paraId="44D019C8">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2012.6.5，罗源县环境保护局</w:t>
                  </w:r>
                </w:p>
              </w:tc>
              <w:tc>
                <w:tcPr>
                  <w:tcW w:w="868" w:type="pct"/>
                  <w:tcBorders>
                    <w:tl2br w:val="nil"/>
                    <w:tr2bl w:val="nil"/>
                  </w:tcBorders>
                  <w:vAlign w:val="center"/>
                </w:tcPr>
                <w:p w14:paraId="5BB6D975">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2018年2月完成自行验收</w:t>
                  </w:r>
                </w:p>
              </w:tc>
              <w:tc>
                <w:tcPr>
                  <w:tcW w:w="896" w:type="pct"/>
                  <w:tcBorders>
                    <w:tl2br w:val="nil"/>
                    <w:tr2bl w:val="nil"/>
                  </w:tcBorders>
                  <w:vAlign w:val="center"/>
                </w:tcPr>
                <w:p w14:paraId="1CD7046C">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02618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1" w:type="pct"/>
                  <w:tcBorders>
                    <w:tl2br w:val="nil"/>
                    <w:tr2bl w:val="nil"/>
                  </w:tcBorders>
                  <w:vAlign w:val="center"/>
                </w:tcPr>
                <w:p w14:paraId="01D01352">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640" w:type="pct"/>
                  <w:tcBorders>
                    <w:tl2br w:val="nil"/>
                    <w:tr2bl w:val="nil"/>
                  </w:tcBorders>
                  <w:vAlign w:val="center"/>
                </w:tcPr>
                <w:p w14:paraId="7CC2ADC9">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宝钢德盛不锈钢有限公司黑卷轧制退火酸洗工程(HRAPL)技术改造项目</w:t>
                  </w:r>
                </w:p>
              </w:tc>
              <w:tc>
                <w:tcPr>
                  <w:tcW w:w="1488" w:type="pct"/>
                  <w:tcBorders>
                    <w:tl2br w:val="nil"/>
                    <w:tr2bl w:val="nil"/>
                  </w:tcBorders>
                  <w:vAlign w:val="center"/>
                </w:tcPr>
                <w:p w14:paraId="11A01A98">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黑卷轧制退火酸洗机组（HRAPL），包括2台开卷机、1台破鳞机、5台抛丸机、1座退火炉和1套连续酸洗机组，用于完成黑卷的轧制、退火和酸洗工序，生产规模为70万吨/年。</w:t>
                  </w:r>
                </w:p>
              </w:tc>
              <w:tc>
                <w:tcPr>
                  <w:tcW w:w="847" w:type="pct"/>
                  <w:tcBorders>
                    <w:tl2br w:val="nil"/>
                    <w:tr2bl w:val="nil"/>
                  </w:tcBorders>
                  <w:vAlign w:val="center"/>
                </w:tcPr>
                <w:p w14:paraId="7910D83B">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2016年12.31，福州市环境保护，闽环保评[2016]171号</w:t>
                  </w:r>
                </w:p>
              </w:tc>
              <w:tc>
                <w:tcPr>
                  <w:tcW w:w="868" w:type="pct"/>
                  <w:tcBorders>
                    <w:tl2br w:val="nil"/>
                    <w:tr2bl w:val="nil"/>
                  </w:tcBorders>
                  <w:vAlign w:val="center"/>
                </w:tcPr>
                <w:p w14:paraId="47586E73">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2019年12月完成自行验收</w:t>
                  </w:r>
                </w:p>
              </w:tc>
              <w:tc>
                <w:tcPr>
                  <w:tcW w:w="896" w:type="pct"/>
                  <w:tcBorders>
                    <w:tl2br w:val="nil"/>
                    <w:tr2bl w:val="nil"/>
                  </w:tcBorders>
                  <w:vAlign w:val="center"/>
                </w:tcPr>
                <w:p w14:paraId="6A3A8EE4">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3FBC6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7" w:hRule="atLeast"/>
                <w:jc w:val="center"/>
              </w:trPr>
              <w:tc>
                <w:tcPr>
                  <w:tcW w:w="261" w:type="pct"/>
                  <w:tcBorders>
                    <w:tl2br w:val="nil"/>
                    <w:tr2bl w:val="nil"/>
                  </w:tcBorders>
                  <w:vAlign w:val="center"/>
                </w:tcPr>
                <w:p w14:paraId="37198578">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640" w:type="pct"/>
                  <w:tcBorders>
                    <w:tl2br w:val="nil"/>
                    <w:tr2bl w:val="nil"/>
                  </w:tcBorders>
                  <w:vAlign w:val="center"/>
                </w:tcPr>
                <w:p w14:paraId="23E11D82">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宝钢德盛不锈钢有限公司炼钢品种结构调整技术改造项目</w:t>
                  </w:r>
                </w:p>
              </w:tc>
              <w:tc>
                <w:tcPr>
                  <w:tcW w:w="1488" w:type="pct"/>
                  <w:tcBorders>
                    <w:tl2br w:val="nil"/>
                    <w:tr2bl w:val="nil"/>
                  </w:tcBorders>
                  <w:vAlign w:val="center"/>
                </w:tcPr>
                <w:p w14:paraId="210F8EA1">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建设1座80t脱硅站及配套公辅设施，改造起重设施及台车运行系统</w:t>
                  </w:r>
                </w:p>
              </w:tc>
              <w:tc>
                <w:tcPr>
                  <w:tcW w:w="847" w:type="pct"/>
                  <w:tcBorders>
                    <w:tl2br w:val="nil"/>
                    <w:tr2bl w:val="nil"/>
                  </w:tcBorders>
                  <w:vAlign w:val="center"/>
                </w:tcPr>
                <w:p w14:paraId="54BDA1F0">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2018.8.14，罗源县环境保护局，罗环保评[2018]23号</w:t>
                  </w:r>
                </w:p>
              </w:tc>
              <w:tc>
                <w:tcPr>
                  <w:tcW w:w="868" w:type="pct"/>
                  <w:tcBorders>
                    <w:tl2br w:val="nil"/>
                    <w:tr2bl w:val="nil"/>
                  </w:tcBorders>
                  <w:vAlign w:val="center"/>
                </w:tcPr>
                <w:p w14:paraId="15CC37B7">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2019年12月完成自行验收</w:t>
                  </w:r>
                </w:p>
              </w:tc>
              <w:tc>
                <w:tcPr>
                  <w:tcW w:w="896" w:type="pct"/>
                  <w:tcBorders>
                    <w:tl2br w:val="nil"/>
                    <w:tr2bl w:val="nil"/>
                  </w:tcBorders>
                  <w:vAlign w:val="center"/>
                </w:tcPr>
                <w:p w14:paraId="75984442">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70AA4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7" w:hRule="atLeast"/>
                <w:jc w:val="center"/>
              </w:trPr>
              <w:tc>
                <w:tcPr>
                  <w:tcW w:w="261" w:type="pct"/>
                  <w:tcBorders>
                    <w:tl2br w:val="nil"/>
                    <w:tr2bl w:val="nil"/>
                  </w:tcBorders>
                  <w:vAlign w:val="center"/>
                </w:tcPr>
                <w:p w14:paraId="0AC3842D">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640" w:type="pct"/>
                  <w:tcBorders>
                    <w:tl2br w:val="nil"/>
                    <w:tr2bl w:val="nil"/>
                  </w:tcBorders>
                  <w:vAlign w:val="center"/>
                </w:tcPr>
                <w:p w14:paraId="58BB0E1A">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宝钢德盛不锈钢有限公司1780mm热轧工程</w:t>
                  </w:r>
                </w:p>
              </w:tc>
              <w:tc>
                <w:tcPr>
                  <w:tcW w:w="1488" w:type="pct"/>
                  <w:tcBorders>
                    <w:tl2br w:val="nil"/>
                    <w:tr2bl w:val="nil"/>
                  </w:tcBorders>
                  <w:vAlign w:val="center"/>
                </w:tcPr>
                <w:p w14:paraId="00018C35">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建设3座板坯加热炉、2架粗轧机、7架精轧机、2套地下卷取机和1套平整分卷机，年产约417.2万吨1780mm型热轧钢卷；</w:t>
                  </w:r>
                </w:p>
              </w:tc>
              <w:tc>
                <w:tcPr>
                  <w:tcW w:w="847" w:type="pct"/>
                  <w:tcBorders>
                    <w:tl2br w:val="nil"/>
                    <w:tr2bl w:val="nil"/>
                  </w:tcBorders>
                  <w:vAlign w:val="center"/>
                </w:tcPr>
                <w:p w14:paraId="05F553C6">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2018.12.24，罗源县环境保护局，罗环保评[2018]43号</w:t>
                  </w:r>
                </w:p>
              </w:tc>
              <w:tc>
                <w:tcPr>
                  <w:tcW w:w="868" w:type="pct"/>
                  <w:tcBorders>
                    <w:tl2br w:val="nil"/>
                    <w:tr2bl w:val="nil"/>
                  </w:tcBorders>
                  <w:vAlign w:val="center"/>
                </w:tcPr>
                <w:p w14:paraId="1C98D7A7">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2022年4月完成自行验收</w:t>
                  </w:r>
                </w:p>
              </w:tc>
              <w:tc>
                <w:tcPr>
                  <w:tcW w:w="896" w:type="pct"/>
                  <w:tcBorders>
                    <w:tl2br w:val="nil"/>
                    <w:tr2bl w:val="nil"/>
                  </w:tcBorders>
                  <w:vAlign w:val="center"/>
                </w:tcPr>
                <w:p w14:paraId="3F3C7C06">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33630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7" w:hRule="atLeast"/>
                <w:jc w:val="center"/>
              </w:trPr>
              <w:tc>
                <w:tcPr>
                  <w:tcW w:w="261" w:type="pct"/>
                  <w:tcBorders>
                    <w:tl2br w:val="nil"/>
                    <w:tr2bl w:val="nil"/>
                  </w:tcBorders>
                  <w:vAlign w:val="center"/>
                </w:tcPr>
                <w:p w14:paraId="131EC5B2">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640" w:type="pct"/>
                  <w:tcBorders>
                    <w:tl2br w:val="nil"/>
                    <w:tr2bl w:val="nil"/>
                  </w:tcBorders>
                  <w:vAlign w:val="center"/>
                </w:tcPr>
                <w:p w14:paraId="0B3D1A48">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宝钢德盛精品不锈钢绿色产业基地项目1600mm酸洗项目</w:t>
                  </w:r>
                </w:p>
              </w:tc>
              <w:tc>
                <w:tcPr>
                  <w:tcW w:w="1488" w:type="pct"/>
                  <w:tcBorders>
                    <w:tl2br w:val="nil"/>
                    <w:tr2bl w:val="nil"/>
                  </w:tcBorders>
                  <w:vAlign w:val="center"/>
                </w:tcPr>
                <w:p w14:paraId="4DFCE07D">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建设1套1600mm HAPL机组，包括1座连续卧式退火炉、30座罩式退火炉、5台抛丸机、1套连续酸洗机组、1台卷取机、辅助及配套的公辅设施；主要生产热带退火酸洗产品和部分罩退产品，HAPL机组的年生产规模(机组通板量)80万t，罩式炉的退火能力30万t。</w:t>
                  </w:r>
                </w:p>
              </w:tc>
              <w:tc>
                <w:tcPr>
                  <w:tcW w:w="847" w:type="pct"/>
                  <w:tcBorders>
                    <w:tl2br w:val="nil"/>
                    <w:tr2bl w:val="nil"/>
                  </w:tcBorders>
                  <w:vAlign w:val="center"/>
                </w:tcPr>
                <w:p w14:paraId="54FD9611">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2020.3.16，福州市罗源生态环境局、罗环保评[2020]4号</w:t>
                  </w:r>
                </w:p>
              </w:tc>
              <w:tc>
                <w:tcPr>
                  <w:tcW w:w="868" w:type="pct"/>
                  <w:tcBorders>
                    <w:tl2br w:val="nil"/>
                    <w:tr2bl w:val="nil"/>
                  </w:tcBorders>
                  <w:vAlign w:val="center"/>
                </w:tcPr>
                <w:p w14:paraId="20BB0977">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2022年3月完成自行验收</w:t>
                  </w:r>
                </w:p>
              </w:tc>
              <w:tc>
                <w:tcPr>
                  <w:tcW w:w="896" w:type="pct"/>
                  <w:tcBorders>
                    <w:tl2br w:val="nil"/>
                    <w:tr2bl w:val="nil"/>
                  </w:tcBorders>
                  <w:vAlign w:val="center"/>
                </w:tcPr>
                <w:p w14:paraId="0707E321">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7C9BF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7" w:hRule="atLeast"/>
                <w:jc w:val="center"/>
              </w:trPr>
              <w:tc>
                <w:tcPr>
                  <w:tcW w:w="261" w:type="pct"/>
                  <w:tcBorders>
                    <w:tl2br w:val="nil"/>
                    <w:tr2bl w:val="nil"/>
                  </w:tcBorders>
                  <w:vAlign w:val="center"/>
                </w:tcPr>
                <w:p w14:paraId="4171267A">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640" w:type="pct"/>
                  <w:tcBorders>
                    <w:tl2br w:val="nil"/>
                    <w:tr2bl w:val="nil"/>
                  </w:tcBorders>
                  <w:vAlign w:val="center"/>
                </w:tcPr>
                <w:p w14:paraId="5C9642D6">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宝钢德盛能源综合利用项目</w:t>
                  </w:r>
                </w:p>
              </w:tc>
              <w:tc>
                <w:tcPr>
                  <w:tcW w:w="1488" w:type="pct"/>
                  <w:tcBorders>
                    <w:tl2br w:val="nil"/>
                    <w:tr2bl w:val="nil"/>
                  </w:tcBorders>
                  <w:vAlign w:val="center"/>
                </w:tcPr>
                <w:p w14:paraId="5262899D">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新建1台200 t/h超高温超高压燃气锅炉、1台65MW超高温超高压抽汽凝汽式汽轮发电机组、1台18 MW高炉煤气全干式余压回收透平（TRT）发电装置、1套1.9MW低压蒸汽回收利用发电机组。</w:t>
                  </w:r>
                </w:p>
              </w:tc>
              <w:tc>
                <w:tcPr>
                  <w:tcW w:w="847" w:type="pct"/>
                  <w:tcBorders>
                    <w:tl2br w:val="nil"/>
                    <w:tr2bl w:val="nil"/>
                  </w:tcBorders>
                  <w:vAlign w:val="center"/>
                </w:tcPr>
                <w:p w14:paraId="03634563">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2020.4.26，福州市罗源生态环境局、罗环保评[2020]12号</w:t>
                  </w:r>
                </w:p>
              </w:tc>
              <w:tc>
                <w:tcPr>
                  <w:tcW w:w="868" w:type="pct"/>
                  <w:tcBorders>
                    <w:tl2br w:val="nil"/>
                    <w:tr2bl w:val="nil"/>
                  </w:tcBorders>
                  <w:vAlign w:val="center"/>
                </w:tcPr>
                <w:p w14:paraId="7512FEE3">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2023年7月完成自行验收</w:t>
                  </w:r>
                </w:p>
              </w:tc>
              <w:tc>
                <w:tcPr>
                  <w:tcW w:w="896" w:type="pct"/>
                  <w:tcBorders>
                    <w:tl2br w:val="nil"/>
                    <w:tr2bl w:val="nil"/>
                  </w:tcBorders>
                  <w:vAlign w:val="center"/>
                </w:tcPr>
                <w:p w14:paraId="4E9E9964">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096BD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261" w:type="pct"/>
                  <w:tcBorders>
                    <w:tl2br w:val="nil"/>
                    <w:tr2bl w:val="nil"/>
                  </w:tcBorders>
                  <w:vAlign w:val="center"/>
                </w:tcPr>
                <w:p w14:paraId="29C2E3BC">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c>
                <w:tcPr>
                  <w:tcW w:w="640" w:type="pct"/>
                  <w:tcBorders>
                    <w:tl2br w:val="nil"/>
                    <w:tr2bl w:val="nil"/>
                  </w:tcBorders>
                  <w:vAlign w:val="center"/>
                </w:tcPr>
                <w:p w14:paraId="1159B866">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宝钢德盛精品不锈钢绿色产业基地项目-钢铁产能置换项目。</w:t>
                  </w:r>
                </w:p>
              </w:tc>
              <w:tc>
                <w:tcPr>
                  <w:tcW w:w="1488" w:type="pct"/>
                  <w:tcBorders>
                    <w:tl2br w:val="nil"/>
                    <w:tr2bl w:val="nil"/>
                  </w:tcBorders>
                  <w:vAlign w:val="center"/>
                </w:tcPr>
                <w:p w14:paraId="2988D531">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建设1台360 m2烧结机、1座2500 m3的高炉、1×KR、1×150t转炉、1×150 t脱磷预处理炉、3×90t合金熔化炉、2×120t AOD炉、1×120t LF炉、1×150t LF炉、2×120t VOD炉和1×150t RH炉、3套600 t/d活性石灰窑、3台1600mm不锈钢连铸机、B型与ECIA型料场大棚各一座。</w:t>
                  </w:r>
                </w:p>
              </w:tc>
              <w:tc>
                <w:tcPr>
                  <w:tcW w:w="847" w:type="pct"/>
                  <w:tcBorders>
                    <w:tl2br w:val="nil"/>
                    <w:tr2bl w:val="nil"/>
                  </w:tcBorders>
                  <w:vAlign w:val="center"/>
                </w:tcPr>
                <w:p w14:paraId="147B4EA1">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2022.1.24，福建省生态环境厅、闽环评审[2022]1号</w:t>
                  </w:r>
                </w:p>
              </w:tc>
              <w:tc>
                <w:tcPr>
                  <w:tcW w:w="868" w:type="pct"/>
                  <w:tcBorders>
                    <w:tl2br w:val="nil"/>
                    <w:tr2bl w:val="nil"/>
                  </w:tcBorders>
                  <w:vAlign w:val="center"/>
                </w:tcPr>
                <w:p w14:paraId="6DACBB0F">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2024年7月完成自行验收</w:t>
                  </w:r>
                </w:p>
              </w:tc>
              <w:tc>
                <w:tcPr>
                  <w:tcW w:w="896" w:type="pct"/>
                  <w:tcBorders>
                    <w:tl2br w:val="nil"/>
                    <w:tr2bl w:val="nil"/>
                  </w:tcBorders>
                  <w:vAlign w:val="center"/>
                </w:tcPr>
                <w:p w14:paraId="0E8DB3C9">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02804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1" w:hRule="atLeast"/>
                <w:jc w:val="center"/>
              </w:trPr>
              <w:tc>
                <w:tcPr>
                  <w:tcW w:w="261" w:type="pct"/>
                  <w:tcBorders>
                    <w:tl2br w:val="nil"/>
                    <w:tr2bl w:val="nil"/>
                  </w:tcBorders>
                  <w:vAlign w:val="center"/>
                </w:tcPr>
                <w:p w14:paraId="0041F0C4">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w:t>
                  </w:r>
                </w:p>
              </w:tc>
              <w:tc>
                <w:tcPr>
                  <w:tcW w:w="640" w:type="pct"/>
                  <w:tcBorders>
                    <w:tl2br w:val="nil"/>
                    <w:tr2bl w:val="nil"/>
                  </w:tcBorders>
                  <w:vAlign w:val="center"/>
                </w:tcPr>
                <w:p w14:paraId="2F2705A5">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宝钢德盛精品不锈钢绿色产业基地项目-原有炼钢连铸转型升级技术改造项目</w:t>
                  </w:r>
                </w:p>
              </w:tc>
              <w:tc>
                <w:tcPr>
                  <w:tcW w:w="1488" w:type="pct"/>
                  <w:tcBorders>
                    <w:tl2br w:val="nil"/>
                    <w:tr2bl w:val="nil"/>
                  </w:tcBorders>
                  <w:vAlign w:val="center"/>
                </w:tcPr>
                <w:p w14:paraId="435338C7">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镍5生产线炼钢车间拆除现有3座80吨转炉、1座70吨转炉，建设2座110吨AOD炉，配套建设1座脱硅站，现有的合金熔化炉改建为3座45吨合金熔化炉，2座80吨LF炉、2条连铸机等炼钢配套设施的环保措施进行升级改造；</w:t>
                  </w:r>
                </w:p>
                <w:p w14:paraId="1A014208">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新炼钢车间建设1座110吨AOD炉、1座120吨AOD炉，配套建设1座预处理炉、3座90吨合金熔化炉、2座150吨LF炉、1座120吨VOD炉、3条1650mm连铸机，配套建设相关公辅、环保设施。</w:t>
                  </w:r>
                </w:p>
              </w:tc>
              <w:tc>
                <w:tcPr>
                  <w:tcW w:w="847" w:type="pct"/>
                  <w:tcBorders>
                    <w:tl2br w:val="nil"/>
                    <w:tr2bl w:val="nil"/>
                  </w:tcBorders>
                  <w:vAlign w:val="center"/>
                </w:tcPr>
                <w:p w14:paraId="15140837">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2023.3.7，福州市生态环境局、榕环评[2023]2号</w:t>
                  </w:r>
                </w:p>
              </w:tc>
              <w:tc>
                <w:tcPr>
                  <w:tcW w:w="868" w:type="pct"/>
                  <w:tcBorders>
                    <w:tl2br w:val="nil"/>
                    <w:tr2bl w:val="nil"/>
                  </w:tcBorders>
                  <w:vAlign w:val="center"/>
                </w:tcPr>
                <w:p w14:paraId="3D6F62E0">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未建</w:t>
                  </w:r>
                </w:p>
              </w:tc>
              <w:tc>
                <w:tcPr>
                  <w:tcW w:w="896" w:type="pct"/>
                  <w:tcBorders>
                    <w:tl2br w:val="nil"/>
                    <w:tr2bl w:val="nil"/>
                  </w:tcBorders>
                  <w:vAlign w:val="center"/>
                </w:tcPr>
                <w:p w14:paraId="5072DE65">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64838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1" w:hRule="atLeast"/>
                <w:jc w:val="center"/>
              </w:trPr>
              <w:tc>
                <w:tcPr>
                  <w:tcW w:w="261" w:type="pct"/>
                  <w:tcBorders>
                    <w:tl2br w:val="nil"/>
                    <w:tr2bl w:val="nil"/>
                  </w:tcBorders>
                  <w:vAlign w:val="center"/>
                </w:tcPr>
                <w:p w14:paraId="679FDBBB">
                  <w:pPr>
                    <w:pStyle w:val="90"/>
                    <w:rPr>
                      <w:color w:val="000000" w:themeColor="text1"/>
                      <w:kern w:val="0"/>
                      <w:szCs w:val="21"/>
                      <w14:textFill>
                        <w14:solidFill>
                          <w14:schemeClr w14:val="tx1"/>
                        </w14:solidFill>
                      </w14:textFill>
                    </w:rPr>
                  </w:pPr>
                  <w:bookmarkStart w:id="104" w:name="_Toc1586593522"/>
                  <w:r>
                    <w:rPr>
                      <w:color w:val="000000" w:themeColor="text1"/>
                      <w:kern w:val="0"/>
                      <w:szCs w:val="21"/>
                      <w14:textFill>
                        <w14:solidFill>
                          <w14:schemeClr w14:val="tx1"/>
                        </w14:solidFill>
                      </w14:textFill>
                    </w:rPr>
                    <w:t>12</w:t>
                  </w:r>
                </w:p>
              </w:tc>
              <w:tc>
                <w:tcPr>
                  <w:tcW w:w="640" w:type="pct"/>
                  <w:tcBorders>
                    <w:tl2br w:val="nil"/>
                    <w:tr2bl w:val="nil"/>
                  </w:tcBorders>
                  <w:vAlign w:val="center"/>
                </w:tcPr>
                <w:p w14:paraId="7C16D84E">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宝钢德盛能源综合利用-高炉煤气发电项目</w:t>
                  </w:r>
                </w:p>
              </w:tc>
              <w:tc>
                <w:tcPr>
                  <w:tcW w:w="1488" w:type="pct"/>
                  <w:tcBorders>
                    <w:tl2br w:val="nil"/>
                    <w:tr2bl w:val="nil"/>
                  </w:tcBorders>
                  <w:vAlign w:val="center"/>
                </w:tcPr>
                <w:p w14:paraId="454AE803">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建设1座170t/h超高温超高压煤气锅炉、1座50MW中间一次再热、补汽、凝汽式汽轮机、1座55MW 发电机及配套辅助设施，利用烧结环冷机余热锅炉的富裕蒸汽，利用高炉煤气为燃料</w:t>
                  </w:r>
                </w:p>
              </w:tc>
              <w:tc>
                <w:tcPr>
                  <w:tcW w:w="847" w:type="pct"/>
                  <w:tcBorders>
                    <w:tl2br w:val="nil"/>
                    <w:tr2bl w:val="nil"/>
                  </w:tcBorders>
                  <w:vAlign w:val="center"/>
                </w:tcPr>
                <w:p w14:paraId="4D15D014">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2023.11.13，福州市罗源生态环境局、榕罗环评(2023)33号</w:t>
                  </w:r>
                </w:p>
              </w:tc>
              <w:tc>
                <w:tcPr>
                  <w:tcW w:w="868" w:type="pct"/>
                  <w:tcBorders>
                    <w:tl2br w:val="nil"/>
                    <w:tr2bl w:val="nil"/>
                  </w:tcBorders>
                  <w:vAlign w:val="center"/>
                </w:tcPr>
                <w:p w14:paraId="57538839">
                  <w:pPr>
                    <w:pStyle w:val="9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2024年7月完成自行验收</w:t>
                  </w:r>
                </w:p>
              </w:tc>
              <w:tc>
                <w:tcPr>
                  <w:tcW w:w="896" w:type="pct"/>
                  <w:tcBorders>
                    <w:tl2br w:val="nil"/>
                    <w:tr2bl w:val="nil"/>
                  </w:tcBorders>
                  <w:vAlign w:val="center"/>
                </w:tcPr>
                <w:p w14:paraId="61BF93C1">
                  <w:pPr>
                    <w:pStyle w:val="90"/>
                    <w:rPr>
                      <w:color w:val="000000" w:themeColor="text1"/>
                      <w:kern w:val="0"/>
                      <w:szCs w:val="21"/>
                      <w14:textFill>
                        <w14:solidFill>
                          <w14:schemeClr w14:val="tx1"/>
                        </w14:solidFill>
                      </w14:textFill>
                    </w:rPr>
                  </w:pPr>
                </w:p>
              </w:tc>
            </w:tr>
          </w:tbl>
          <w:p w14:paraId="659DE809">
            <w:pPr>
              <w:pStyle w:val="3"/>
              <w:rPr>
                <w:rFonts w:cs="Times New Roman"/>
                <w:b w:val="0"/>
                <w:bCs w:val="0"/>
                <w:color w:val="000000" w:themeColor="text1"/>
                <w:szCs w:val="24"/>
                <w14:textFill>
                  <w14:solidFill>
                    <w14:schemeClr w14:val="tx1"/>
                  </w14:solidFill>
                </w14:textFill>
              </w:rPr>
            </w:pPr>
            <w:bookmarkStart w:id="105" w:name="_Toc230448033"/>
            <w:r>
              <w:rPr>
                <w:rFonts w:cs="Times New Roman"/>
                <w:b w:val="0"/>
                <w:bCs w:val="0"/>
                <w:color w:val="000000" w:themeColor="text1"/>
                <w:szCs w:val="24"/>
                <w14:textFill>
                  <w14:solidFill>
                    <w14:schemeClr w14:val="tx1"/>
                  </w14:solidFill>
                </w14:textFill>
              </w:rPr>
              <w:t>现有工程污染物实际排放总量</w:t>
            </w:r>
            <w:bookmarkEnd w:id="104"/>
            <w:bookmarkEnd w:id="105"/>
          </w:p>
          <w:p w14:paraId="6BEDF35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（1）废气</w:t>
            </w:r>
          </w:p>
          <w:p w14:paraId="3811FE5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根据企业2025年排污许可证执行报告，各废气治理设施排口各类污染物均可达标排放（详见表2.1</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-1），2025年SO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、颗粒物排放量分别为752.836吨/年、1409.287吨/年、1069.314吨/年，未突破SO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（1011.35 吨/年）、NO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（2664.91吨/年）、颗粒物（2459.29吨/年）的排污许可量；</w:t>
            </w:r>
          </w:p>
          <w:p w14:paraId="16DA269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（2）固废</w:t>
            </w:r>
          </w:p>
          <w:p w14:paraId="7145B3A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现有工程固体废物产生量3484664.05吨/年，其中一般工业固体废物3418339.91吨/年，危险废物66324.14吨/年，均有效回用、处理和处置（详见表2.1</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-2）。</w:t>
            </w:r>
          </w:p>
          <w:p w14:paraId="641D164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（3）废水</w:t>
            </w:r>
          </w:p>
          <w:p w14:paraId="54D217C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全厂生产废水全部进入厂区中央污水处理站处理后回用，零排放。</w:t>
            </w:r>
          </w:p>
          <w:p w14:paraId="65EA47B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（4）噪声</w:t>
            </w:r>
          </w:p>
          <w:p w14:paraId="1CDD964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根据企业2025年第四季度厂界噪声监测结果，企业厂外区域昼间和夜间噪声监测结果均符合《工业企业厂界环境噪声排放标准》(GB12348-2008)中3类标准的环境噪声限值。</w:t>
            </w:r>
          </w:p>
          <w:p w14:paraId="488F39F9">
            <w:pPr>
              <w:pStyle w:val="3"/>
              <w:rPr>
                <w:rFonts w:cs="Times New Roman"/>
                <w:color w:val="000000" w:themeColor="text1"/>
                <w14:textFill>
                  <w14:solidFill>
                    <w14:schemeClr w14:val="tx1"/>
                  </w14:solidFill>
                </w14:textFill>
              </w:rPr>
            </w:pPr>
            <w:bookmarkStart w:id="106" w:name="_Toc230448034"/>
            <w:r>
              <w:rPr>
                <w:rFonts w:cs="Times New Roman"/>
                <w:color w:val="000000" w:themeColor="text1"/>
                <w14:textFill>
                  <w14:solidFill>
                    <w14:schemeClr w14:val="tx1"/>
                  </w14:solidFill>
                </w14:textFill>
              </w:rPr>
              <w:t>与该项目有关的主要环境问题及整改措施</w:t>
            </w:r>
            <w:bookmarkEnd w:id="102"/>
            <w:bookmarkEnd w:id="106"/>
          </w:p>
          <w:p w14:paraId="53F84D47">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主要环境问题</w:t>
            </w:r>
          </w:p>
          <w:p w14:paraId="6C8F0A3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（1）规范性封闭式事故灰库建设滞后。</w:t>
            </w:r>
          </w:p>
          <w:p w14:paraId="0C3E6A2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（2）各雨水总排口在线监测设备处于安装调试。</w:t>
            </w:r>
          </w:p>
          <w:p w14:paraId="7D6BBA32">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整改措施</w:t>
            </w:r>
          </w:p>
          <w:p w14:paraId="46B718B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（1）封闭式事故灰库建设要求</w:t>
            </w:r>
          </w:p>
          <w:p w14:paraId="7534797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①规模要求：宝钢德盛已在西侧红土镍矿原料大棚内规划建设约为1000 m³的事故灰库，满足7~30 天的灰渣产生量（应对运输中断、检修）。</w:t>
            </w:r>
          </w:p>
          <w:p w14:paraId="68C3A31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②设施形式：建设的封闭式事故灰库符合《一般工业固体废物贮存和填埋污染控制标准》（GB 18599）“三防” 要求。</w:t>
            </w:r>
          </w:p>
          <w:p w14:paraId="595840D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③管理要求：建立事故灰/渣等贮存、转运、处置闭环方案，纳入企业突发环境事件应急预案。</w:t>
            </w:r>
          </w:p>
          <w:p w14:paraId="63F642C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cs="Times New Roman"/>
                <w:color w:val="000000" w:themeColor="text1"/>
                <w:lang w:eastAsia="ja-JP"/>
                <w14:textFill>
                  <w14:solidFill>
                    <w14:schemeClr w14:val="tx1"/>
                  </w14:solidFill>
                </w14:textFill>
              </w:rPr>
              <w:t>各雨水总排口在线监测设备</w:t>
            </w:r>
            <w:r>
              <w:rPr>
                <w:rFonts w:cs="Times New Roman"/>
                <w:color w:val="000000" w:themeColor="text1"/>
                <w14:textFill>
                  <w14:solidFill>
                    <w14:schemeClr w14:val="tx1"/>
                  </w14:solidFill>
                </w14:textFill>
              </w:rPr>
              <w:t>尽快投用，监测总镍、流量等，并</w:t>
            </w:r>
            <w:r>
              <w:rPr>
                <w:rFonts w:cs="Times New Roman"/>
                <w:color w:val="000000" w:themeColor="text1"/>
                <w:lang w:eastAsia="ja-JP"/>
                <w14:textFill>
                  <w14:solidFill>
                    <w14:schemeClr w14:val="tx1"/>
                  </w14:solidFill>
                </w14:textFill>
              </w:rPr>
              <w:t>与</w:t>
            </w:r>
            <w:r>
              <w:rPr>
                <w:rFonts w:cs="Times New Roman"/>
                <w:color w:val="000000" w:themeColor="text1"/>
                <w14:textFill>
                  <w14:solidFill>
                    <w14:schemeClr w14:val="tx1"/>
                  </w14:solidFill>
                </w14:textFill>
              </w:rPr>
              <w:t>生态环境主管</w:t>
            </w:r>
            <w:r>
              <w:rPr>
                <w:rFonts w:cs="Times New Roman"/>
                <w:color w:val="000000" w:themeColor="text1"/>
                <w:lang w:eastAsia="ja-JP"/>
                <w14:textFill>
                  <w14:solidFill>
                    <w14:schemeClr w14:val="tx1"/>
                  </w14:solidFill>
                </w14:textFill>
              </w:rPr>
              <w:t>部门联网</w:t>
            </w:r>
            <w:r>
              <w:rPr>
                <w:rFonts w:cs="Times New Roman"/>
                <w:color w:val="000000" w:themeColor="text1"/>
                <w14:textFill>
                  <w14:solidFill>
                    <w14:schemeClr w14:val="tx1"/>
                  </w14:solidFill>
                </w14:textFill>
              </w:rPr>
              <w:t>。</w:t>
            </w:r>
          </w:p>
          <w:p w14:paraId="0E979790">
            <w:pPr>
              <w:ind w:firstLine="480"/>
              <w:rPr>
                <w:rFonts w:cs="Times New Roman"/>
                <w:color w:val="000000" w:themeColor="text1"/>
                <w14:textFill>
                  <w14:solidFill>
                    <w14:schemeClr w14:val="tx1"/>
                  </w14:solidFill>
                </w14:textFill>
              </w:rPr>
            </w:pPr>
          </w:p>
        </w:tc>
      </w:tr>
    </w:tbl>
    <w:p w14:paraId="35C718D8">
      <w:pPr>
        <w:ind w:firstLine="480"/>
        <w:rPr>
          <w:rFonts w:cs="Times New Roman"/>
          <w:color w:val="000000" w:themeColor="text1"/>
          <w14:textFill>
            <w14:solidFill>
              <w14:schemeClr w14:val="tx1"/>
            </w14:solidFill>
          </w14:textFill>
        </w:rPr>
      </w:pPr>
    </w:p>
    <w:p w14:paraId="3B275AB9">
      <w:pPr>
        <w:ind w:firstLine="480"/>
        <w:rPr>
          <w:rFonts w:cs="Times New Roman"/>
          <w:color w:val="000000" w:themeColor="text1"/>
          <w14:textFill>
            <w14:solidFill>
              <w14:schemeClr w14:val="tx1"/>
            </w14:solidFill>
          </w14:textFill>
        </w:rPr>
      </w:pPr>
    </w:p>
    <w:p w14:paraId="3424E18C">
      <w:pPr>
        <w:ind w:firstLine="480"/>
        <w:rPr>
          <w:rFonts w:cs="Times New Roman"/>
          <w:color w:val="000000" w:themeColor="text1"/>
          <w14:textFill>
            <w14:solidFill>
              <w14:schemeClr w14:val="tx1"/>
            </w14:solidFill>
          </w14:textFill>
        </w:rPr>
      </w:pPr>
    </w:p>
    <w:p w14:paraId="66CD8791">
      <w:pPr>
        <w:ind w:firstLine="480"/>
        <w:rPr>
          <w:rFonts w:cs="Times New Roman"/>
          <w:color w:val="000000" w:themeColor="text1"/>
          <w14:textFill>
            <w14:solidFill>
              <w14:schemeClr w14:val="tx1"/>
            </w14:solidFill>
          </w14:textFill>
        </w:rPr>
      </w:pPr>
    </w:p>
    <w:p w14:paraId="6D7EB233">
      <w:pPr>
        <w:ind w:firstLine="480"/>
        <w:rPr>
          <w:rFonts w:cs="Times New Roman"/>
          <w:color w:val="000000" w:themeColor="text1"/>
          <w14:textFill>
            <w14:solidFill>
              <w14:schemeClr w14:val="tx1"/>
            </w14:solidFill>
          </w14:textFill>
        </w:rPr>
      </w:pPr>
    </w:p>
    <w:p w14:paraId="4507FBFA">
      <w:pPr>
        <w:ind w:firstLine="480"/>
        <w:rPr>
          <w:rFonts w:cs="Times New Roman"/>
          <w:color w:val="000000" w:themeColor="text1"/>
          <w14:textFill>
            <w14:solidFill>
              <w14:schemeClr w14:val="tx1"/>
            </w14:solidFill>
          </w14:textFill>
        </w:rPr>
      </w:pPr>
    </w:p>
    <w:p w14:paraId="0F373522">
      <w:pPr>
        <w:ind w:firstLine="480"/>
        <w:rPr>
          <w:rFonts w:cs="Times New Roman"/>
          <w:color w:val="000000" w:themeColor="text1"/>
          <w14:textFill>
            <w14:solidFill>
              <w14:schemeClr w14:val="tx1"/>
            </w14:solidFill>
          </w14:textFill>
        </w:rPr>
      </w:pPr>
    </w:p>
    <w:p w14:paraId="3A96586D">
      <w:pPr>
        <w:ind w:firstLine="480"/>
        <w:rPr>
          <w:rFonts w:cs="Times New Roman"/>
          <w:color w:val="000000" w:themeColor="text1"/>
          <w14:textFill>
            <w14:solidFill>
              <w14:schemeClr w14:val="tx1"/>
            </w14:solidFill>
          </w14:textFill>
        </w:rPr>
      </w:pPr>
    </w:p>
    <w:p w14:paraId="24904C48">
      <w:pPr>
        <w:ind w:firstLine="480"/>
        <w:rPr>
          <w:rFonts w:cs="Times New Roman"/>
          <w:color w:val="000000" w:themeColor="text1"/>
          <w14:textFill>
            <w14:solidFill>
              <w14:schemeClr w14:val="tx1"/>
            </w14:solidFill>
          </w14:textFill>
        </w:rPr>
      </w:pPr>
    </w:p>
    <w:p w14:paraId="39118ED3">
      <w:pPr>
        <w:ind w:firstLine="480"/>
        <w:rPr>
          <w:rFonts w:cs="Times New Roman"/>
          <w:color w:val="000000" w:themeColor="text1"/>
          <w14:textFill>
            <w14:solidFill>
              <w14:schemeClr w14:val="tx1"/>
            </w14:solidFill>
          </w14:textFill>
        </w:rPr>
      </w:pPr>
    </w:p>
    <w:p w14:paraId="1EFB0B55">
      <w:pPr>
        <w:pStyle w:val="2"/>
        <w:rPr>
          <w:rFonts w:cs="Times New Roman"/>
          <w:color w:val="000000" w:themeColor="text1"/>
          <w14:textFill>
            <w14:solidFill>
              <w14:schemeClr w14:val="tx1"/>
            </w14:solidFill>
          </w14:textFill>
        </w:rPr>
      </w:pPr>
      <w:bookmarkStart w:id="107" w:name="_Toc230448035"/>
      <w:bookmarkStart w:id="108" w:name="_Toc1042650782"/>
      <w:r>
        <w:rPr>
          <w:rFonts w:cs="Times New Roman"/>
          <w:color w:val="000000" w:themeColor="text1"/>
          <w14:textFill>
            <w14:solidFill>
              <w14:schemeClr w14:val="tx1"/>
            </w14:solidFill>
          </w14:textFill>
        </w:rPr>
        <w:t>（三）区域环境质量现状、环境保护目标及评价标准</w:t>
      </w:r>
      <w:bookmarkEnd w:id="107"/>
      <w:bookmarkEnd w:id="108"/>
    </w:p>
    <w:tbl>
      <w:tblPr>
        <w:tblStyle w:val="4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6"/>
        <w:gridCol w:w="8449"/>
      </w:tblGrid>
      <w:tr w14:paraId="5EA84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376" w:type="dxa"/>
            <w:vAlign w:val="center"/>
          </w:tcPr>
          <w:p w14:paraId="56390590">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区域</w:t>
            </w:r>
          </w:p>
          <w:p w14:paraId="26A887C5">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w:t>
            </w:r>
          </w:p>
          <w:p w14:paraId="04AAE62A">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质量</w:t>
            </w:r>
          </w:p>
          <w:p w14:paraId="6924099A">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w:t>
            </w:r>
          </w:p>
        </w:tc>
        <w:tc>
          <w:tcPr>
            <w:tcW w:w="8449" w:type="dxa"/>
            <w:vAlign w:val="center"/>
          </w:tcPr>
          <w:p w14:paraId="329BBEED">
            <w:pPr>
              <w:pStyle w:val="3"/>
              <w:rPr>
                <w:rFonts w:cs="Times New Roman"/>
                <w:color w:val="000000" w:themeColor="text1"/>
                <w14:textFill>
                  <w14:solidFill>
                    <w14:schemeClr w14:val="tx1"/>
                  </w14:solidFill>
                </w14:textFill>
              </w:rPr>
            </w:pPr>
            <w:bookmarkStart w:id="109" w:name="_Toc230448036"/>
            <w:bookmarkStart w:id="110" w:name="_Toc1442705164"/>
            <w:bookmarkStart w:id="111" w:name="_Toc11610"/>
            <w:bookmarkStart w:id="112" w:name="_Toc1219477313"/>
            <w:r>
              <w:rPr>
                <w:rFonts w:cs="Times New Roman"/>
                <w:color w:val="000000" w:themeColor="text1"/>
                <w14:textFill>
                  <w14:solidFill>
                    <w14:schemeClr w14:val="tx1"/>
                  </w14:solidFill>
                </w14:textFill>
              </w:rPr>
              <w:t>环境空气质量现状调查与评价</w:t>
            </w:r>
            <w:bookmarkEnd w:id="109"/>
            <w:bookmarkEnd w:id="110"/>
            <w:bookmarkEnd w:id="111"/>
          </w:p>
          <w:p w14:paraId="75C6C603">
            <w:pPr>
              <w:ind w:firstLine="48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项目位于福州市罗源县金港工业区内，环境空气功能规划为二类区，PM</w:t>
            </w:r>
            <w:r>
              <w:rPr>
                <w:rFonts w:cs="Times New Roman"/>
                <w:color w:val="000000" w:themeColor="text1"/>
                <w:szCs w:val="32"/>
                <w:vertAlign w:val="subscript"/>
                <w14:textFill>
                  <w14:solidFill>
                    <w14:schemeClr w14:val="tx1"/>
                  </w14:solidFill>
                </w14:textFill>
              </w:rPr>
              <w:t>10</w:t>
            </w:r>
            <w:r>
              <w:rPr>
                <w:rFonts w:cs="Times New Roman"/>
                <w:color w:val="000000" w:themeColor="text1"/>
                <w:szCs w:val="32"/>
                <w14:textFill>
                  <w14:solidFill>
                    <w14:schemeClr w14:val="tx1"/>
                  </w14:solidFill>
                </w14:textFill>
              </w:rPr>
              <w:t>、PM</w:t>
            </w:r>
            <w:r>
              <w:rPr>
                <w:rFonts w:cs="Times New Roman"/>
                <w:color w:val="000000" w:themeColor="text1"/>
                <w:szCs w:val="32"/>
                <w:vertAlign w:val="subscript"/>
                <w14:textFill>
                  <w14:solidFill>
                    <w14:schemeClr w14:val="tx1"/>
                  </w14:solidFill>
                </w14:textFill>
              </w:rPr>
              <w:t>2.5</w:t>
            </w:r>
            <w:r>
              <w:rPr>
                <w:rFonts w:cs="Times New Roman"/>
                <w:color w:val="000000" w:themeColor="text1"/>
                <w:szCs w:val="32"/>
                <w14:textFill>
                  <w14:solidFill>
                    <w14:schemeClr w14:val="tx1"/>
                  </w14:solidFill>
                </w14:textFill>
              </w:rPr>
              <w:t>、SO</w:t>
            </w:r>
            <w:r>
              <w:rPr>
                <w:rFonts w:cs="Times New Roman"/>
                <w:color w:val="000000" w:themeColor="text1"/>
                <w:szCs w:val="32"/>
                <w:vertAlign w:val="subscript"/>
                <w14:textFill>
                  <w14:solidFill>
                    <w14:schemeClr w14:val="tx1"/>
                  </w14:solidFill>
                </w14:textFill>
              </w:rPr>
              <w:t>2</w:t>
            </w:r>
            <w:r>
              <w:rPr>
                <w:rFonts w:cs="Times New Roman"/>
                <w:color w:val="000000" w:themeColor="text1"/>
                <w:szCs w:val="32"/>
                <w14:textFill>
                  <w14:solidFill>
                    <w14:schemeClr w14:val="tx1"/>
                  </w14:solidFill>
                </w14:textFill>
              </w:rPr>
              <w:t>、NO</w:t>
            </w:r>
            <w:r>
              <w:rPr>
                <w:rFonts w:cs="Times New Roman"/>
                <w:color w:val="000000" w:themeColor="text1"/>
                <w:szCs w:val="32"/>
                <w:vertAlign w:val="subscript"/>
                <w14:textFill>
                  <w14:solidFill>
                    <w14:schemeClr w14:val="tx1"/>
                  </w14:solidFill>
                </w14:textFill>
              </w:rPr>
              <w:t>2</w:t>
            </w:r>
            <w:r>
              <w:rPr>
                <w:rFonts w:cs="Times New Roman"/>
                <w:color w:val="000000" w:themeColor="text1"/>
                <w:szCs w:val="32"/>
                <w14:textFill>
                  <w14:solidFill>
                    <w14:schemeClr w14:val="tx1"/>
                  </w14:solidFill>
                </w14:textFill>
              </w:rPr>
              <w:t>、CO和O</w:t>
            </w:r>
            <w:r>
              <w:rPr>
                <w:rFonts w:cs="Times New Roman"/>
                <w:color w:val="000000" w:themeColor="text1"/>
                <w:szCs w:val="32"/>
                <w:vertAlign w:val="subscript"/>
                <w14:textFill>
                  <w14:solidFill>
                    <w14:schemeClr w14:val="tx1"/>
                  </w14:solidFill>
                </w14:textFill>
              </w:rPr>
              <w:t>3</w:t>
            </w:r>
            <w:r>
              <w:rPr>
                <w:rFonts w:cs="Times New Roman"/>
                <w:color w:val="000000" w:themeColor="text1"/>
                <w:szCs w:val="32"/>
                <w14:textFill>
                  <w14:solidFill>
                    <w14:schemeClr w14:val="tx1"/>
                  </w14:solidFill>
                </w14:textFill>
              </w:rPr>
              <w:t>执行《环境空气质量标准》（GB 3095-2026）表1过渡阶段浓度限值二级标准，TSP执行《环境空气质量标准》（GB 3095-2026）表2浓度限值。</w:t>
            </w:r>
          </w:p>
          <w:p w14:paraId="4EEEC215">
            <w:pPr>
              <w:pStyle w:val="351"/>
              <w:spacing w:before="12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 xml:space="preserve">表 </w:t>
            </w:r>
            <w:r>
              <w:rPr>
                <w:rFonts w:eastAsiaTheme="minorEastAsia"/>
                <w:color w:val="000000" w:themeColor="text1"/>
                <w14:textFill>
                  <w14:solidFill>
                    <w14:schemeClr w14:val="tx1"/>
                  </w14:solidFill>
                </w14:textFill>
              </w:rPr>
              <w:fldChar w:fldCharType="begin"/>
            </w:r>
            <w:r>
              <w:rPr>
                <w:rFonts w:eastAsiaTheme="minorEastAsia"/>
                <w:color w:val="000000" w:themeColor="text1"/>
                <w14:textFill>
                  <w14:solidFill>
                    <w14:schemeClr w14:val="tx1"/>
                  </w14:solidFill>
                </w14:textFill>
              </w:rPr>
              <w:instrText xml:space="preserve"> STYLEREF 2 \s </w:instrText>
            </w:r>
            <w:r>
              <w:rPr>
                <w:rFonts w:eastAsiaTheme="minorEastAsia"/>
                <w:color w:val="000000" w:themeColor="text1"/>
                <w14:textFill>
                  <w14:solidFill>
                    <w14:schemeClr w14:val="tx1"/>
                  </w14:solidFill>
                </w14:textFill>
              </w:rPr>
              <w:fldChar w:fldCharType="separate"/>
            </w:r>
            <w:r>
              <w:rPr>
                <w:rFonts w:eastAsiaTheme="minorEastAsia"/>
                <w:color w:val="000000" w:themeColor="text1"/>
                <w14:textFill>
                  <w14:solidFill>
                    <w14:schemeClr w14:val="tx1"/>
                  </w14:solidFill>
                </w14:textFill>
              </w:rPr>
              <w:t>3.1</w:t>
            </w:r>
            <w:r>
              <w:rPr>
                <w:rFonts w:eastAsiaTheme="minorEastAsia"/>
                <w:color w:val="000000" w:themeColor="text1"/>
                <w14:textFill>
                  <w14:solidFill>
                    <w14:schemeClr w14:val="tx1"/>
                  </w14:solidFill>
                </w14:textFill>
              </w:rPr>
              <w:fldChar w:fldCharType="end"/>
            </w:r>
            <w:r>
              <w:rPr>
                <w:rFonts w:eastAsiaTheme="minorEastAsia"/>
                <w:color w:val="000000" w:themeColor="text1"/>
                <w14:textFill>
                  <w14:solidFill>
                    <w14:schemeClr w14:val="tx1"/>
                  </w14:solidFill>
                </w14:textFill>
              </w:rPr>
              <w:noBreakHyphen/>
            </w:r>
            <w:r>
              <w:rPr>
                <w:rFonts w:eastAsiaTheme="minorEastAsia"/>
                <w:color w:val="000000" w:themeColor="text1"/>
                <w14:textFill>
                  <w14:solidFill>
                    <w14:schemeClr w14:val="tx1"/>
                  </w14:solidFill>
                </w14:textFill>
              </w:rPr>
              <w:fldChar w:fldCharType="begin"/>
            </w:r>
            <w:r>
              <w:rPr>
                <w:rFonts w:eastAsiaTheme="minorEastAsia"/>
                <w:color w:val="000000" w:themeColor="text1"/>
                <w14:textFill>
                  <w14:solidFill>
                    <w14:schemeClr w14:val="tx1"/>
                  </w14:solidFill>
                </w14:textFill>
              </w:rPr>
              <w:instrText xml:space="preserve"> SEQ 表 \* ARABIC \s 2 </w:instrText>
            </w:r>
            <w:r>
              <w:rPr>
                <w:rFonts w:eastAsiaTheme="minorEastAsia"/>
                <w:color w:val="000000" w:themeColor="text1"/>
                <w14:textFill>
                  <w14:solidFill>
                    <w14:schemeClr w14:val="tx1"/>
                  </w14:solidFill>
                </w14:textFill>
              </w:rPr>
              <w:fldChar w:fldCharType="separate"/>
            </w:r>
            <w:r>
              <w:rPr>
                <w:rFonts w:eastAsiaTheme="minorEastAsia"/>
                <w:color w:val="000000" w:themeColor="text1"/>
                <w14:textFill>
                  <w14:solidFill>
                    <w14:schemeClr w14:val="tx1"/>
                  </w14:solidFill>
                </w14:textFill>
              </w:rPr>
              <w:t>1</w:t>
            </w:r>
            <w:r>
              <w:rPr>
                <w:rFonts w:eastAsiaTheme="minorEastAsia"/>
                <w:color w:val="000000" w:themeColor="text1"/>
                <w14:textFill>
                  <w14:solidFill>
                    <w14:schemeClr w14:val="tx1"/>
                  </w14:solidFill>
                </w14:textFill>
              </w:rPr>
              <w:fldChar w:fldCharType="end"/>
            </w:r>
            <w:r>
              <w:rPr>
                <w:rFonts w:eastAsiaTheme="minorEastAsia"/>
                <w:color w:val="000000" w:themeColor="text1"/>
                <w14:textFill>
                  <w14:solidFill>
                    <w14:schemeClr w14:val="tx1"/>
                  </w14:solidFill>
                </w14:textFill>
              </w:rPr>
              <w:t xml:space="preserve">  环境空气质量标准（单位：μg/m</w:t>
            </w:r>
            <w:r>
              <w:rPr>
                <w:rFonts w:eastAsiaTheme="minorEastAsia"/>
                <w:color w:val="000000" w:themeColor="text1"/>
                <w:vertAlign w:val="superscript"/>
                <w14:textFill>
                  <w14:solidFill>
                    <w14:schemeClr w14:val="tx1"/>
                  </w14:solidFill>
                </w14:textFill>
              </w:rPr>
              <w:t>3</w:t>
            </w:r>
            <w:r>
              <w:rPr>
                <w:rFonts w:eastAsiaTheme="minorEastAsia"/>
                <w:color w:val="000000" w:themeColor="text1"/>
                <w14:textFill>
                  <w14:solidFill>
                    <w14:schemeClr w14:val="tx1"/>
                  </w14:solidFill>
                </w14:textFill>
              </w:rPr>
              <w:t>）</w:t>
            </w:r>
          </w:p>
          <w:tbl>
            <w:tblPr>
              <w:tblStyle w:val="46"/>
              <w:tblW w:w="499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04"/>
              <w:gridCol w:w="3007"/>
              <w:gridCol w:w="3098"/>
            </w:tblGrid>
            <w:tr w14:paraId="50D7E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1281" w:type="pct"/>
                  <w:tcBorders>
                    <w:tl2br w:val="nil"/>
                    <w:tr2bl w:val="nil"/>
                  </w:tcBorders>
                  <w:vAlign w:val="center"/>
                </w:tcPr>
                <w:p w14:paraId="61205786">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项目</w:t>
                  </w:r>
                </w:p>
              </w:tc>
              <w:tc>
                <w:tcPr>
                  <w:tcW w:w="1831" w:type="pct"/>
                  <w:tcBorders>
                    <w:tl2br w:val="nil"/>
                    <w:tr2bl w:val="nil"/>
                  </w:tcBorders>
                  <w:vAlign w:val="center"/>
                </w:tcPr>
                <w:p w14:paraId="6D92DE85">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取值范围</w:t>
                  </w:r>
                </w:p>
              </w:tc>
              <w:tc>
                <w:tcPr>
                  <w:tcW w:w="1886" w:type="pct"/>
                  <w:tcBorders>
                    <w:tl2br w:val="nil"/>
                    <w:tr2bl w:val="nil"/>
                  </w:tcBorders>
                  <w:vAlign w:val="center"/>
                </w:tcPr>
                <w:p w14:paraId="68EEDE07">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二级标准浓度限值</w:t>
                  </w:r>
                </w:p>
              </w:tc>
            </w:tr>
            <w:tr w14:paraId="18198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restart"/>
                  <w:tcBorders>
                    <w:tl2br w:val="nil"/>
                    <w:tr2bl w:val="nil"/>
                  </w:tcBorders>
                  <w:vAlign w:val="center"/>
                </w:tcPr>
                <w:p w14:paraId="1954D1EA">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PM</w:t>
                  </w:r>
                  <w:r>
                    <w:rPr>
                      <w:rFonts w:eastAsiaTheme="minorEastAsia"/>
                      <w:color w:val="000000" w:themeColor="text1"/>
                      <w:vertAlign w:val="subscript"/>
                      <w14:textFill>
                        <w14:solidFill>
                          <w14:schemeClr w14:val="tx1"/>
                        </w14:solidFill>
                      </w14:textFill>
                    </w:rPr>
                    <w:t>10</w:t>
                  </w:r>
                </w:p>
              </w:tc>
              <w:tc>
                <w:tcPr>
                  <w:tcW w:w="1831" w:type="pct"/>
                  <w:tcBorders>
                    <w:tl2br w:val="nil"/>
                    <w:tr2bl w:val="nil"/>
                  </w:tcBorders>
                  <w:vAlign w:val="center"/>
                </w:tcPr>
                <w:p w14:paraId="7BD55E25">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年平均</w:t>
                  </w:r>
                </w:p>
              </w:tc>
              <w:tc>
                <w:tcPr>
                  <w:tcW w:w="1886" w:type="pct"/>
                  <w:tcBorders>
                    <w:tl2br w:val="nil"/>
                    <w:tr2bl w:val="nil"/>
                  </w:tcBorders>
                  <w:vAlign w:val="center"/>
                </w:tcPr>
                <w:p w14:paraId="117A8F36">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60</w:t>
                  </w:r>
                </w:p>
              </w:tc>
            </w:tr>
            <w:tr w14:paraId="2B200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continue"/>
                  <w:tcBorders>
                    <w:tl2br w:val="nil"/>
                    <w:tr2bl w:val="nil"/>
                  </w:tcBorders>
                  <w:vAlign w:val="center"/>
                </w:tcPr>
                <w:p w14:paraId="1CD52DDB">
                  <w:pPr>
                    <w:pStyle w:val="144"/>
                    <w:spacing w:before="24"/>
                    <w:rPr>
                      <w:rFonts w:eastAsiaTheme="minorEastAsia"/>
                      <w:color w:val="000000" w:themeColor="text1"/>
                      <w14:textFill>
                        <w14:solidFill>
                          <w14:schemeClr w14:val="tx1"/>
                        </w14:solidFill>
                      </w14:textFill>
                    </w:rPr>
                  </w:pPr>
                </w:p>
              </w:tc>
              <w:tc>
                <w:tcPr>
                  <w:tcW w:w="1831" w:type="pct"/>
                  <w:tcBorders>
                    <w:tl2br w:val="nil"/>
                    <w:tr2bl w:val="nil"/>
                  </w:tcBorders>
                  <w:vAlign w:val="center"/>
                </w:tcPr>
                <w:p w14:paraId="6686F48A">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24小时平均</w:t>
                  </w:r>
                </w:p>
              </w:tc>
              <w:tc>
                <w:tcPr>
                  <w:tcW w:w="1886" w:type="pct"/>
                  <w:tcBorders>
                    <w:tl2br w:val="nil"/>
                    <w:tr2bl w:val="nil"/>
                  </w:tcBorders>
                  <w:vAlign w:val="center"/>
                </w:tcPr>
                <w:p w14:paraId="38C8D455">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120</w:t>
                  </w:r>
                </w:p>
              </w:tc>
            </w:tr>
            <w:tr w14:paraId="36FF1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restart"/>
                  <w:tcBorders>
                    <w:tl2br w:val="nil"/>
                    <w:tr2bl w:val="nil"/>
                  </w:tcBorders>
                  <w:vAlign w:val="center"/>
                </w:tcPr>
                <w:p w14:paraId="2479BFD8">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PM</w:t>
                  </w:r>
                  <w:r>
                    <w:rPr>
                      <w:rFonts w:eastAsiaTheme="minorEastAsia"/>
                      <w:color w:val="000000" w:themeColor="text1"/>
                      <w:vertAlign w:val="subscript"/>
                      <w14:textFill>
                        <w14:solidFill>
                          <w14:schemeClr w14:val="tx1"/>
                        </w14:solidFill>
                      </w14:textFill>
                    </w:rPr>
                    <w:t>2.5</w:t>
                  </w:r>
                </w:p>
              </w:tc>
              <w:tc>
                <w:tcPr>
                  <w:tcW w:w="1831" w:type="pct"/>
                  <w:tcBorders>
                    <w:tl2br w:val="nil"/>
                    <w:tr2bl w:val="nil"/>
                  </w:tcBorders>
                  <w:vAlign w:val="center"/>
                </w:tcPr>
                <w:p w14:paraId="0436A01E">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年平均</w:t>
                  </w:r>
                </w:p>
              </w:tc>
              <w:tc>
                <w:tcPr>
                  <w:tcW w:w="1886" w:type="pct"/>
                  <w:tcBorders>
                    <w:tl2br w:val="nil"/>
                    <w:tr2bl w:val="nil"/>
                  </w:tcBorders>
                  <w:vAlign w:val="center"/>
                </w:tcPr>
                <w:p w14:paraId="54132763">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30</w:t>
                  </w:r>
                </w:p>
              </w:tc>
            </w:tr>
            <w:tr w14:paraId="22F47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continue"/>
                  <w:tcBorders>
                    <w:tl2br w:val="nil"/>
                    <w:tr2bl w:val="nil"/>
                  </w:tcBorders>
                  <w:vAlign w:val="center"/>
                </w:tcPr>
                <w:p w14:paraId="7964E10A">
                  <w:pPr>
                    <w:pStyle w:val="144"/>
                    <w:spacing w:before="24"/>
                    <w:rPr>
                      <w:rFonts w:eastAsiaTheme="minorEastAsia"/>
                      <w:color w:val="000000" w:themeColor="text1"/>
                      <w14:textFill>
                        <w14:solidFill>
                          <w14:schemeClr w14:val="tx1"/>
                        </w14:solidFill>
                      </w14:textFill>
                    </w:rPr>
                  </w:pPr>
                </w:p>
              </w:tc>
              <w:tc>
                <w:tcPr>
                  <w:tcW w:w="1831" w:type="pct"/>
                  <w:tcBorders>
                    <w:tl2br w:val="nil"/>
                    <w:tr2bl w:val="nil"/>
                  </w:tcBorders>
                  <w:vAlign w:val="center"/>
                </w:tcPr>
                <w:p w14:paraId="157998C4">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24小时平均</w:t>
                  </w:r>
                </w:p>
              </w:tc>
              <w:tc>
                <w:tcPr>
                  <w:tcW w:w="1886" w:type="pct"/>
                  <w:tcBorders>
                    <w:tl2br w:val="nil"/>
                    <w:tr2bl w:val="nil"/>
                  </w:tcBorders>
                  <w:vAlign w:val="center"/>
                </w:tcPr>
                <w:p w14:paraId="23F5E2BB">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60</w:t>
                  </w:r>
                </w:p>
              </w:tc>
            </w:tr>
            <w:tr w14:paraId="1EFC0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restart"/>
                  <w:tcBorders>
                    <w:tl2br w:val="nil"/>
                    <w:tr2bl w:val="nil"/>
                  </w:tcBorders>
                  <w:vAlign w:val="center"/>
                </w:tcPr>
                <w:p w14:paraId="7EA1C4CE">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SO</w:t>
                  </w:r>
                  <w:r>
                    <w:rPr>
                      <w:rFonts w:eastAsiaTheme="minorEastAsia"/>
                      <w:color w:val="000000" w:themeColor="text1"/>
                      <w:vertAlign w:val="subscript"/>
                      <w14:textFill>
                        <w14:solidFill>
                          <w14:schemeClr w14:val="tx1"/>
                        </w14:solidFill>
                      </w14:textFill>
                    </w:rPr>
                    <w:t>2</w:t>
                  </w:r>
                </w:p>
              </w:tc>
              <w:tc>
                <w:tcPr>
                  <w:tcW w:w="1831" w:type="pct"/>
                  <w:tcBorders>
                    <w:tl2br w:val="nil"/>
                    <w:tr2bl w:val="nil"/>
                  </w:tcBorders>
                  <w:vAlign w:val="center"/>
                </w:tcPr>
                <w:p w14:paraId="623A4B05">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年平均</w:t>
                  </w:r>
                </w:p>
              </w:tc>
              <w:tc>
                <w:tcPr>
                  <w:tcW w:w="1886" w:type="pct"/>
                  <w:tcBorders>
                    <w:tl2br w:val="nil"/>
                    <w:tr2bl w:val="nil"/>
                  </w:tcBorders>
                  <w:vAlign w:val="center"/>
                </w:tcPr>
                <w:p w14:paraId="2C452938">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60</w:t>
                  </w:r>
                </w:p>
              </w:tc>
            </w:tr>
            <w:tr w14:paraId="4F326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continue"/>
                  <w:tcBorders>
                    <w:tl2br w:val="nil"/>
                    <w:tr2bl w:val="nil"/>
                  </w:tcBorders>
                  <w:vAlign w:val="center"/>
                </w:tcPr>
                <w:p w14:paraId="4EB2D276">
                  <w:pPr>
                    <w:pStyle w:val="144"/>
                    <w:spacing w:before="24"/>
                    <w:rPr>
                      <w:rFonts w:eastAsiaTheme="minorEastAsia"/>
                      <w:color w:val="000000" w:themeColor="text1"/>
                      <w14:textFill>
                        <w14:solidFill>
                          <w14:schemeClr w14:val="tx1"/>
                        </w14:solidFill>
                      </w14:textFill>
                    </w:rPr>
                  </w:pPr>
                </w:p>
              </w:tc>
              <w:tc>
                <w:tcPr>
                  <w:tcW w:w="1831" w:type="pct"/>
                  <w:tcBorders>
                    <w:tl2br w:val="nil"/>
                    <w:tr2bl w:val="nil"/>
                  </w:tcBorders>
                  <w:vAlign w:val="center"/>
                </w:tcPr>
                <w:p w14:paraId="77A2C1A2">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24小时平均</w:t>
                  </w:r>
                </w:p>
              </w:tc>
              <w:tc>
                <w:tcPr>
                  <w:tcW w:w="1886" w:type="pct"/>
                  <w:tcBorders>
                    <w:tl2br w:val="nil"/>
                    <w:tr2bl w:val="nil"/>
                  </w:tcBorders>
                  <w:vAlign w:val="center"/>
                </w:tcPr>
                <w:p w14:paraId="656F8E8B">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150</w:t>
                  </w:r>
                </w:p>
              </w:tc>
            </w:tr>
            <w:tr w14:paraId="513CC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continue"/>
                  <w:tcBorders>
                    <w:tl2br w:val="nil"/>
                    <w:tr2bl w:val="nil"/>
                  </w:tcBorders>
                  <w:vAlign w:val="center"/>
                </w:tcPr>
                <w:p w14:paraId="4BD05BA5">
                  <w:pPr>
                    <w:pStyle w:val="144"/>
                    <w:spacing w:before="24"/>
                    <w:rPr>
                      <w:rFonts w:eastAsiaTheme="minorEastAsia"/>
                      <w:color w:val="000000" w:themeColor="text1"/>
                      <w14:textFill>
                        <w14:solidFill>
                          <w14:schemeClr w14:val="tx1"/>
                        </w14:solidFill>
                      </w14:textFill>
                    </w:rPr>
                  </w:pPr>
                </w:p>
              </w:tc>
              <w:tc>
                <w:tcPr>
                  <w:tcW w:w="1831" w:type="pct"/>
                  <w:tcBorders>
                    <w:tl2br w:val="nil"/>
                    <w:tr2bl w:val="nil"/>
                  </w:tcBorders>
                  <w:vAlign w:val="center"/>
                </w:tcPr>
                <w:p w14:paraId="2AE481CC">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1小时平均</w:t>
                  </w:r>
                </w:p>
              </w:tc>
              <w:tc>
                <w:tcPr>
                  <w:tcW w:w="1886" w:type="pct"/>
                  <w:tcBorders>
                    <w:tl2br w:val="nil"/>
                    <w:tr2bl w:val="nil"/>
                  </w:tcBorders>
                  <w:vAlign w:val="center"/>
                </w:tcPr>
                <w:p w14:paraId="7D3EB566">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500</w:t>
                  </w:r>
                </w:p>
              </w:tc>
            </w:tr>
            <w:tr w14:paraId="79A1C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restart"/>
                  <w:tcBorders>
                    <w:tl2br w:val="nil"/>
                    <w:tr2bl w:val="nil"/>
                  </w:tcBorders>
                  <w:vAlign w:val="center"/>
                </w:tcPr>
                <w:p w14:paraId="0921C9E3">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NO</w:t>
                  </w:r>
                  <w:r>
                    <w:rPr>
                      <w:rFonts w:eastAsiaTheme="minorEastAsia"/>
                      <w:color w:val="000000" w:themeColor="text1"/>
                      <w:vertAlign w:val="subscript"/>
                      <w14:textFill>
                        <w14:solidFill>
                          <w14:schemeClr w14:val="tx1"/>
                        </w14:solidFill>
                      </w14:textFill>
                    </w:rPr>
                    <w:t>2</w:t>
                  </w:r>
                </w:p>
              </w:tc>
              <w:tc>
                <w:tcPr>
                  <w:tcW w:w="1831" w:type="pct"/>
                  <w:tcBorders>
                    <w:tl2br w:val="nil"/>
                    <w:tr2bl w:val="nil"/>
                  </w:tcBorders>
                  <w:vAlign w:val="center"/>
                </w:tcPr>
                <w:p w14:paraId="00833169">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年平均</w:t>
                  </w:r>
                </w:p>
              </w:tc>
              <w:tc>
                <w:tcPr>
                  <w:tcW w:w="1886" w:type="pct"/>
                  <w:tcBorders>
                    <w:tl2br w:val="nil"/>
                    <w:tr2bl w:val="nil"/>
                  </w:tcBorders>
                  <w:vAlign w:val="center"/>
                </w:tcPr>
                <w:p w14:paraId="0667CD2A">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40</w:t>
                  </w:r>
                </w:p>
              </w:tc>
            </w:tr>
            <w:tr w14:paraId="19A4B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continue"/>
                  <w:tcBorders>
                    <w:tl2br w:val="nil"/>
                    <w:tr2bl w:val="nil"/>
                  </w:tcBorders>
                  <w:vAlign w:val="center"/>
                </w:tcPr>
                <w:p w14:paraId="28135270">
                  <w:pPr>
                    <w:pStyle w:val="144"/>
                    <w:spacing w:before="24"/>
                    <w:rPr>
                      <w:rFonts w:eastAsiaTheme="minorEastAsia"/>
                      <w:color w:val="000000" w:themeColor="text1"/>
                      <w14:textFill>
                        <w14:solidFill>
                          <w14:schemeClr w14:val="tx1"/>
                        </w14:solidFill>
                      </w14:textFill>
                    </w:rPr>
                  </w:pPr>
                </w:p>
              </w:tc>
              <w:tc>
                <w:tcPr>
                  <w:tcW w:w="1831" w:type="pct"/>
                  <w:tcBorders>
                    <w:tl2br w:val="nil"/>
                    <w:tr2bl w:val="nil"/>
                  </w:tcBorders>
                  <w:vAlign w:val="center"/>
                </w:tcPr>
                <w:p w14:paraId="0E1FB2F6">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24小时平均</w:t>
                  </w:r>
                </w:p>
              </w:tc>
              <w:tc>
                <w:tcPr>
                  <w:tcW w:w="1886" w:type="pct"/>
                  <w:tcBorders>
                    <w:tl2br w:val="nil"/>
                    <w:tr2bl w:val="nil"/>
                  </w:tcBorders>
                  <w:vAlign w:val="center"/>
                </w:tcPr>
                <w:p w14:paraId="2C00EBA2">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50</w:t>
                  </w:r>
                </w:p>
              </w:tc>
            </w:tr>
            <w:tr w14:paraId="5A997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continue"/>
                  <w:tcBorders>
                    <w:tl2br w:val="nil"/>
                    <w:tr2bl w:val="nil"/>
                  </w:tcBorders>
                  <w:vAlign w:val="center"/>
                </w:tcPr>
                <w:p w14:paraId="48F3952D">
                  <w:pPr>
                    <w:pStyle w:val="144"/>
                    <w:spacing w:before="24"/>
                    <w:rPr>
                      <w:rFonts w:eastAsiaTheme="minorEastAsia"/>
                      <w:color w:val="000000" w:themeColor="text1"/>
                      <w14:textFill>
                        <w14:solidFill>
                          <w14:schemeClr w14:val="tx1"/>
                        </w14:solidFill>
                      </w14:textFill>
                    </w:rPr>
                  </w:pPr>
                </w:p>
              </w:tc>
              <w:tc>
                <w:tcPr>
                  <w:tcW w:w="1831" w:type="pct"/>
                  <w:tcBorders>
                    <w:tl2br w:val="nil"/>
                    <w:tr2bl w:val="nil"/>
                  </w:tcBorders>
                  <w:vAlign w:val="center"/>
                </w:tcPr>
                <w:p w14:paraId="02D834F7">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1小时平均</w:t>
                  </w:r>
                </w:p>
              </w:tc>
              <w:tc>
                <w:tcPr>
                  <w:tcW w:w="1886" w:type="pct"/>
                  <w:tcBorders>
                    <w:tl2br w:val="nil"/>
                    <w:tr2bl w:val="nil"/>
                  </w:tcBorders>
                  <w:vAlign w:val="center"/>
                </w:tcPr>
                <w:p w14:paraId="5788DEA2">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200</w:t>
                  </w:r>
                </w:p>
              </w:tc>
            </w:tr>
            <w:tr w14:paraId="54412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restart"/>
                  <w:tcBorders>
                    <w:tl2br w:val="nil"/>
                    <w:tr2bl w:val="nil"/>
                  </w:tcBorders>
                  <w:vAlign w:val="center"/>
                </w:tcPr>
                <w:p w14:paraId="36ECE840">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CO</w:t>
                  </w:r>
                </w:p>
              </w:tc>
              <w:tc>
                <w:tcPr>
                  <w:tcW w:w="1831" w:type="pct"/>
                  <w:tcBorders>
                    <w:tl2br w:val="nil"/>
                    <w:tr2bl w:val="nil"/>
                  </w:tcBorders>
                  <w:vAlign w:val="center"/>
                </w:tcPr>
                <w:p w14:paraId="0022844B">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1小时平均</w:t>
                  </w:r>
                </w:p>
              </w:tc>
              <w:tc>
                <w:tcPr>
                  <w:tcW w:w="1886" w:type="pct"/>
                  <w:tcBorders>
                    <w:tl2br w:val="nil"/>
                    <w:tr2bl w:val="nil"/>
                  </w:tcBorders>
                  <w:vAlign w:val="center"/>
                </w:tcPr>
                <w:p w14:paraId="18AF0AFE">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10</w:t>
                  </w:r>
                </w:p>
              </w:tc>
            </w:tr>
            <w:tr w14:paraId="7D0F5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continue"/>
                  <w:tcBorders>
                    <w:tl2br w:val="nil"/>
                    <w:tr2bl w:val="nil"/>
                  </w:tcBorders>
                  <w:vAlign w:val="center"/>
                </w:tcPr>
                <w:p w14:paraId="723C4500">
                  <w:pPr>
                    <w:pStyle w:val="144"/>
                    <w:spacing w:before="24"/>
                    <w:rPr>
                      <w:rFonts w:eastAsiaTheme="minorEastAsia"/>
                      <w:color w:val="000000" w:themeColor="text1"/>
                      <w14:textFill>
                        <w14:solidFill>
                          <w14:schemeClr w14:val="tx1"/>
                        </w14:solidFill>
                      </w14:textFill>
                    </w:rPr>
                  </w:pPr>
                </w:p>
              </w:tc>
              <w:tc>
                <w:tcPr>
                  <w:tcW w:w="1831" w:type="pct"/>
                  <w:tcBorders>
                    <w:tl2br w:val="nil"/>
                    <w:tr2bl w:val="nil"/>
                  </w:tcBorders>
                  <w:vAlign w:val="center"/>
                </w:tcPr>
                <w:p w14:paraId="4BFEB18A">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24小时平均</w:t>
                  </w:r>
                </w:p>
              </w:tc>
              <w:tc>
                <w:tcPr>
                  <w:tcW w:w="1886" w:type="pct"/>
                  <w:tcBorders>
                    <w:tl2br w:val="nil"/>
                    <w:tr2bl w:val="nil"/>
                  </w:tcBorders>
                  <w:vAlign w:val="center"/>
                </w:tcPr>
                <w:p w14:paraId="70E5C5E4">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4</w:t>
                  </w:r>
                </w:p>
              </w:tc>
            </w:tr>
            <w:tr w14:paraId="79E3B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restart"/>
                  <w:tcBorders>
                    <w:tl2br w:val="nil"/>
                    <w:tr2bl w:val="nil"/>
                  </w:tcBorders>
                  <w:vAlign w:val="center"/>
                </w:tcPr>
                <w:p w14:paraId="737B21B3">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w:t>
                  </w:r>
                  <w:r>
                    <w:rPr>
                      <w:rFonts w:eastAsiaTheme="minorEastAsia"/>
                      <w:color w:val="000000" w:themeColor="text1"/>
                      <w:vertAlign w:val="subscript"/>
                      <w14:textFill>
                        <w14:solidFill>
                          <w14:schemeClr w14:val="tx1"/>
                        </w14:solidFill>
                      </w14:textFill>
                    </w:rPr>
                    <w:t>3</w:t>
                  </w:r>
                </w:p>
              </w:tc>
              <w:tc>
                <w:tcPr>
                  <w:tcW w:w="1831" w:type="pct"/>
                  <w:tcBorders>
                    <w:tl2br w:val="nil"/>
                    <w:tr2bl w:val="nil"/>
                  </w:tcBorders>
                  <w:vAlign w:val="center"/>
                </w:tcPr>
                <w:p w14:paraId="1B9DF95D">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1小时平均</w:t>
                  </w:r>
                </w:p>
              </w:tc>
              <w:tc>
                <w:tcPr>
                  <w:tcW w:w="1886" w:type="pct"/>
                  <w:tcBorders>
                    <w:tl2br w:val="nil"/>
                    <w:tr2bl w:val="nil"/>
                  </w:tcBorders>
                  <w:vAlign w:val="center"/>
                </w:tcPr>
                <w:p w14:paraId="56C6D443">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200</w:t>
                  </w:r>
                </w:p>
              </w:tc>
            </w:tr>
            <w:tr w14:paraId="291F6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continue"/>
                  <w:tcBorders>
                    <w:tl2br w:val="nil"/>
                    <w:tr2bl w:val="nil"/>
                  </w:tcBorders>
                  <w:vAlign w:val="center"/>
                </w:tcPr>
                <w:p w14:paraId="197D0249">
                  <w:pPr>
                    <w:pStyle w:val="144"/>
                    <w:spacing w:before="24"/>
                    <w:rPr>
                      <w:rFonts w:eastAsiaTheme="minorEastAsia"/>
                      <w:color w:val="000000" w:themeColor="text1"/>
                      <w14:textFill>
                        <w14:solidFill>
                          <w14:schemeClr w14:val="tx1"/>
                        </w14:solidFill>
                      </w14:textFill>
                    </w:rPr>
                  </w:pPr>
                </w:p>
              </w:tc>
              <w:tc>
                <w:tcPr>
                  <w:tcW w:w="1831" w:type="pct"/>
                  <w:tcBorders>
                    <w:tl2br w:val="nil"/>
                    <w:tr2bl w:val="nil"/>
                  </w:tcBorders>
                  <w:vAlign w:val="center"/>
                </w:tcPr>
                <w:p w14:paraId="1110FBE4">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日最大8小时平均</w:t>
                  </w:r>
                </w:p>
              </w:tc>
              <w:tc>
                <w:tcPr>
                  <w:tcW w:w="1886" w:type="pct"/>
                  <w:tcBorders>
                    <w:tl2br w:val="nil"/>
                    <w:tr2bl w:val="nil"/>
                  </w:tcBorders>
                  <w:vAlign w:val="center"/>
                </w:tcPr>
                <w:p w14:paraId="228B20AD">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160</w:t>
                  </w:r>
                </w:p>
              </w:tc>
            </w:tr>
            <w:tr w14:paraId="021FD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restart"/>
                  <w:tcBorders>
                    <w:tl2br w:val="nil"/>
                    <w:tr2bl w:val="nil"/>
                  </w:tcBorders>
                  <w:vAlign w:val="center"/>
                </w:tcPr>
                <w:p w14:paraId="33B9A35F">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TSP</w:t>
                  </w:r>
                </w:p>
              </w:tc>
              <w:tc>
                <w:tcPr>
                  <w:tcW w:w="1831" w:type="pct"/>
                  <w:tcBorders>
                    <w:tl2br w:val="nil"/>
                    <w:tr2bl w:val="nil"/>
                  </w:tcBorders>
                  <w:vAlign w:val="center"/>
                </w:tcPr>
                <w:p w14:paraId="072D2D33">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年平均</w:t>
                  </w:r>
                </w:p>
              </w:tc>
              <w:tc>
                <w:tcPr>
                  <w:tcW w:w="1886" w:type="pct"/>
                  <w:tcBorders>
                    <w:tl2br w:val="nil"/>
                    <w:tr2bl w:val="nil"/>
                  </w:tcBorders>
                  <w:vAlign w:val="center"/>
                </w:tcPr>
                <w:p w14:paraId="1D87BACF">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200</w:t>
                  </w:r>
                </w:p>
              </w:tc>
            </w:tr>
            <w:tr w14:paraId="58CA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1281" w:type="pct"/>
                  <w:vMerge w:val="continue"/>
                  <w:tcBorders>
                    <w:tl2br w:val="nil"/>
                    <w:tr2bl w:val="nil"/>
                  </w:tcBorders>
                  <w:vAlign w:val="center"/>
                </w:tcPr>
                <w:p w14:paraId="6CDC58DD">
                  <w:pPr>
                    <w:pStyle w:val="144"/>
                    <w:spacing w:before="24"/>
                    <w:rPr>
                      <w:rFonts w:eastAsiaTheme="minorEastAsia"/>
                      <w:color w:val="000000" w:themeColor="text1"/>
                      <w14:textFill>
                        <w14:solidFill>
                          <w14:schemeClr w14:val="tx1"/>
                        </w14:solidFill>
                      </w14:textFill>
                    </w:rPr>
                  </w:pPr>
                </w:p>
              </w:tc>
              <w:tc>
                <w:tcPr>
                  <w:tcW w:w="1831" w:type="pct"/>
                  <w:tcBorders>
                    <w:tl2br w:val="nil"/>
                    <w:tr2bl w:val="nil"/>
                  </w:tcBorders>
                  <w:vAlign w:val="center"/>
                </w:tcPr>
                <w:p w14:paraId="3069EE71">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24小时平均</w:t>
                  </w:r>
                </w:p>
              </w:tc>
              <w:tc>
                <w:tcPr>
                  <w:tcW w:w="1886" w:type="pct"/>
                  <w:tcBorders>
                    <w:tl2br w:val="nil"/>
                    <w:tr2bl w:val="nil"/>
                  </w:tcBorders>
                  <w:vAlign w:val="center"/>
                </w:tcPr>
                <w:p w14:paraId="4F11C870">
                  <w:pPr>
                    <w:pStyle w:val="144"/>
                    <w:spacing w:before="2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300</w:t>
                  </w:r>
                </w:p>
              </w:tc>
            </w:tr>
          </w:tbl>
          <w:p w14:paraId="7144B9FC">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环境空气质量现状调查</w:t>
            </w:r>
          </w:p>
          <w:p w14:paraId="40E0685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根据福建省生态环境厅网站上公布的2025年福建省城市环境空气质量状况：2025年1~12月罗源县城市环境空气综合指数为2.23，低于福州市综合指数2.4；2025年福州市SO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、PM</w:t>
            </w:r>
            <w:r>
              <w:rPr>
                <w:rFonts w:cs="Times New Roman"/>
                <w:color w:val="000000" w:themeColor="text1"/>
                <w:vertAlign w:val="subscript"/>
                <w14:textFill>
                  <w14:solidFill>
                    <w14:schemeClr w14:val="tx1"/>
                  </w14:solidFill>
                </w14:textFill>
              </w:rPr>
              <w:t>10</w:t>
            </w:r>
            <w:r>
              <w:rPr>
                <w:rFonts w:cs="Times New Roman"/>
                <w:color w:val="000000" w:themeColor="text1"/>
                <w14:textFill>
                  <w14:solidFill>
                    <w14:schemeClr w14:val="tx1"/>
                  </w14:solidFill>
                </w14:textFill>
              </w:rPr>
              <w:t>、PM</w:t>
            </w:r>
            <w:r>
              <w:rPr>
                <w:rFonts w:cs="Times New Roman"/>
                <w:color w:val="000000" w:themeColor="text1"/>
                <w:vertAlign w:val="subscript"/>
                <w14:textFill>
                  <w14:solidFill>
                    <w14:schemeClr w14:val="tx1"/>
                  </w14:solidFill>
                </w14:textFill>
              </w:rPr>
              <w:t>2.5</w:t>
            </w:r>
            <w:r>
              <w:rPr>
                <w:rFonts w:cs="Times New Roman"/>
                <w:color w:val="000000" w:themeColor="text1"/>
                <w14:textFill>
                  <w14:solidFill>
                    <w14:schemeClr w14:val="tx1"/>
                  </w14:solidFill>
                </w14:textFill>
              </w:rPr>
              <w:t>、CO、O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等6项污染物浓度指标年均值（其中O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为日最大8小时平均值）分别为4μg/m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、15μg/m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、32μg/m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、17μg/m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、0.6μg/m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、136μg/m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，均符合国家环境空气质量标准（GB 3095-2026）过渡阶段浓度限值二级标准。因此项目区域空气质量满足《环境空气质量标准》（GB 3095-2026）过渡阶段浓度限值二级标准要求，本项目所在区域属于环境空气达标区，项目区域环境空气质量现状良好。</w:t>
            </w:r>
          </w:p>
          <w:p w14:paraId="2E1DF8B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2025年1~12月福州市城市环境空气质量状况详见下图所示。</w:t>
            </w:r>
          </w:p>
          <w:p w14:paraId="2A63320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3920490" cy="3930650"/>
                  <wp:effectExtent l="0" t="0" r="0" b="0"/>
                  <wp:docPr id="7" name="图片 838"/>
                  <wp:cNvGraphicFramePr/>
                  <a:graphic xmlns:a="http://schemas.openxmlformats.org/drawingml/2006/main">
                    <a:graphicData uri="http://schemas.openxmlformats.org/drawingml/2006/picture">
                      <pic:pic xmlns:pic="http://schemas.openxmlformats.org/drawingml/2006/picture">
                        <pic:nvPicPr>
                          <pic:cNvPr id="7" name="图片 838"/>
                          <pic:cNvPicPr/>
                        </pic:nvPicPr>
                        <pic:blipFill>
                          <a:blip r:embed="rId18">
                            <a:extLst>
                              <a:ext uri="{28A0092B-C50C-407E-A947-70E740481C1C}">
                                <a14:useLocalDpi xmlns:a14="http://schemas.microsoft.com/office/drawing/2010/main" val="0"/>
                              </a:ext>
                            </a:extLst>
                          </a:blip>
                          <a:srcRect/>
                          <a:stretch>
                            <a:fillRect/>
                          </a:stretch>
                        </pic:blipFill>
                        <pic:spPr>
                          <a:xfrm>
                            <a:off x="0" y="0"/>
                            <a:ext cx="3920490" cy="3930650"/>
                          </a:xfrm>
                          <a:prstGeom prst="rect">
                            <a:avLst/>
                          </a:prstGeom>
                          <a:noFill/>
                          <a:ln>
                            <a:noFill/>
                          </a:ln>
                        </pic:spPr>
                      </pic:pic>
                    </a:graphicData>
                  </a:graphic>
                </wp:inline>
              </w:drawing>
            </w:r>
          </w:p>
          <w:p w14:paraId="3165894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4172585" cy="2879725"/>
                  <wp:effectExtent l="0" t="0" r="0" b="0"/>
                  <wp:docPr id="8" name="图片 836"/>
                  <wp:cNvGraphicFramePr/>
                  <a:graphic xmlns:a="http://schemas.openxmlformats.org/drawingml/2006/main">
                    <a:graphicData uri="http://schemas.openxmlformats.org/drawingml/2006/picture">
                      <pic:pic xmlns:pic="http://schemas.openxmlformats.org/drawingml/2006/picture">
                        <pic:nvPicPr>
                          <pic:cNvPr id="8" name="图片 836"/>
                          <pic:cNvPicPr/>
                        </pic:nvPicPr>
                        <pic:blipFill>
                          <a:blip r:embed="rId19">
                            <a:extLst>
                              <a:ext uri="{28A0092B-C50C-407E-A947-70E740481C1C}">
                                <a14:useLocalDpi xmlns:a14="http://schemas.microsoft.com/office/drawing/2010/main" val="0"/>
                              </a:ext>
                            </a:extLst>
                          </a:blip>
                          <a:srcRect/>
                          <a:stretch>
                            <a:fillRect/>
                          </a:stretch>
                        </pic:blipFill>
                        <pic:spPr>
                          <a:xfrm>
                            <a:off x="0" y="0"/>
                            <a:ext cx="4172585" cy="2879725"/>
                          </a:xfrm>
                          <a:prstGeom prst="rect">
                            <a:avLst/>
                          </a:prstGeom>
                          <a:noFill/>
                          <a:ln>
                            <a:noFill/>
                          </a:ln>
                        </pic:spPr>
                      </pic:pic>
                    </a:graphicData>
                  </a:graphic>
                </wp:inline>
              </w:drawing>
            </w:r>
          </w:p>
          <w:p w14:paraId="562F08C0">
            <w:pPr>
              <w:pStyle w:val="138"/>
              <w:rPr>
                <w:rFonts w:cs="Times New Roman"/>
                <w:color w:val="000000" w:themeColor="text1"/>
                <w14:textFill>
                  <w14:solidFill>
                    <w14:schemeClr w14:val="tx1"/>
                  </w14:solidFill>
                </w14:textFill>
              </w:rPr>
            </w:pPr>
          </w:p>
          <w:p w14:paraId="7B14A90B">
            <w:pPr>
              <w:pStyle w:val="304"/>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图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图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2025年1~12月福州市城市环境空气质量状况（截图）</w:t>
            </w:r>
          </w:p>
          <w:p w14:paraId="61D65017">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评价区域特征污染物现状调查</w:t>
            </w:r>
          </w:p>
          <w:p w14:paraId="4872EEFF">
            <w:pPr>
              <w:numPr>
                <w:ilvl w:val="0"/>
                <w:numId w:val="7"/>
              </w:numPr>
              <w:ind w:left="720"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调查时间、调查单位和监测站位</w:t>
            </w:r>
          </w:p>
          <w:p w14:paraId="271CACD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本次环评引用福建省贝拓金属有限公司《福建省贝拓金属有限公司含金属废物综合利用项目环境影响报告书》的监测数据，引用监测点位距离项目5km范围内，监测时间未超过3年，符合《环境影响评价技术导则 大气环境》（HJ2.2-2018）要求，引用数据可行。</w:t>
            </w:r>
          </w:p>
          <w:p w14:paraId="6623F6A5">
            <w:pPr>
              <w:pStyle w:val="351"/>
              <w:spacing w:before="120"/>
              <w:rPr>
                <w:bCs/>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bCs/>
                <w:color w:val="000000" w:themeColor="text1"/>
                <w14:textFill>
                  <w14:solidFill>
                    <w14:schemeClr w14:val="tx1"/>
                  </w14:solidFill>
                </w14:textFill>
              </w:rPr>
              <w:t xml:space="preserve">  环境空气监测点位</w:t>
            </w:r>
          </w:p>
          <w:tbl>
            <w:tblPr>
              <w:tblStyle w:val="46"/>
              <w:tblW w:w="487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6"/>
              <w:gridCol w:w="1090"/>
              <w:gridCol w:w="1649"/>
              <w:gridCol w:w="1074"/>
              <w:gridCol w:w="1595"/>
              <w:gridCol w:w="2001"/>
            </w:tblGrid>
            <w:tr w14:paraId="6184B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8" w:type="pct"/>
                  <w:tcBorders>
                    <w:tl2br w:val="nil"/>
                    <w:tr2bl w:val="nil"/>
                  </w:tcBorders>
                  <w:tcMar>
                    <w:top w:w="0" w:type="dxa"/>
                    <w:left w:w="0" w:type="dxa"/>
                    <w:bottom w:w="0" w:type="dxa"/>
                    <w:right w:w="0" w:type="dxa"/>
                  </w:tcMar>
                  <w:vAlign w:val="center"/>
                </w:tcPr>
                <w:p w14:paraId="1E0B20B8">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w:t>
                  </w:r>
                </w:p>
                <w:p w14:paraId="7ADBA7B3">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点位</w:t>
                  </w:r>
                </w:p>
              </w:tc>
              <w:tc>
                <w:tcPr>
                  <w:tcW w:w="680" w:type="pct"/>
                  <w:tcBorders>
                    <w:tl2br w:val="nil"/>
                    <w:tr2bl w:val="nil"/>
                  </w:tcBorders>
                  <w:tcMar>
                    <w:top w:w="0" w:type="dxa"/>
                    <w:left w:w="0" w:type="dxa"/>
                    <w:bottom w:w="0" w:type="dxa"/>
                    <w:right w:w="0" w:type="dxa"/>
                  </w:tcMar>
                  <w:vAlign w:val="center"/>
                </w:tcPr>
                <w:p w14:paraId="1D933A7B">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与厂区方位距离</w:t>
                  </w:r>
                </w:p>
              </w:tc>
              <w:tc>
                <w:tcPr>
                  <w:tcW w:w="1028" w:type="pct"/>
                  <w:tcBorders>
                    <w:tl2br w:val="nil"/>
                    <w:tr2bl w:val="nil"/>
                  </w:tcBorders>
                  <w:tcMar>
                    <w:top w:w="0" w:type="dxa"/>
                    <w:left w:w="0" w:type="dxa"/>
                    <w:bottom w:w="0" w:type="dxa"/>
                    <w:right w:w="0" w:type="dxa"/>
                  </w:tcMar>
                  <w:vAlign w:val="center"/>
                </w:tcPr>
                <w:p w14:paraId="4202D9F7">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监测项目</w:t>
                  </w:r>
                </w:p>
              </w:tc>
              <w:tc>
                <w:tcPr>
                  <w:tcW w:w="670" w:type="pct"/>
                  <w:tcBorders>
                    <w:tl2br w:val="nil"/>
                    <w:tr2bl w:val="nil"/>
                  </w:tcBorders>
                  <w:tcMar>
                    <w:top w:w="0" w:type="dxa"/>
                    <w:left w:w="0" w:type="dxa"/>
                    <w:bottom w:w="0" w:type="dxa"/>
                    <w:right w:w="0" w:type="dxa"/>
                  </w:tcMar>
                  <w:vAlign w:val="center"/>
                </w:tcPr>
                <w:p w14:paraId="0899AD41">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监测时间</w:t>
                  </w:r>
                </w:p>
              </w:tc>
              <w:tc>
                <w:tcPr>
                  <w:tcW w:w="994" w:type="pct"/>
                  <w:tcBorders>
                    <w:tl2br w:val="nil"/>
                    <w:tr2bl w:val="nil"/>
                  </w:tcBorders>
                  <w:tcMar>
                    <w:top w:w="0" w:type="dxa"/>
                    <w:left w:w="0" w:type="dxa"/>
                    <w:bottom w:w="0" w:type="dxa"/>
                    <w:right w:w="0" w:type="dxa"/>
                  </w:tcMar>
                  <w:vAlign w:val="center"/>
                </w:tcPr>
                <w:p w14:paraId="0D7AB61F">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监测单位</w:t>
                  </w:r>
                </w:p>
              </w:tc>
              <w:tc>
                <w:tcPr>
                  <w:tcW w:w="1247" w:type="pct"/>
                  <w:tcBorders>
                    <w:tl2br w:val="nil"/>
                    <w:tr2bl w:val="nil"/>
                  </w:tcBorders>
                  <w:tcMar>
                    <w:top w:w="0" w:type="dxa"/>
                    <w:left w:w="0" w:type="dxa"/>
                    <w:bottom w:w="0" w:type="dxa"/>
                    <w:right w:w="0" w:type="dxa"/>
                  </w:tcMar>
                  <w:vAlign w:val="center"/>
                </w:tcPr>
                <w:p w14:paraId="144F1C1C">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数据来源</w:t>
                  </w:r>
                </w:p>
              </w:tc>
            </w:tr>
            <w:tr w14:paraId="1EE09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8" w:type="pct"/>
                  <w:tcBorders>
                    <w:tl2br w:val="nil"/>
                    <w:tr2bl w:val="nil"/>
                  </w:tcBorders>
                  <w:tcMar>
                    <w:top w:w="0" w:type="dxa"/>
                    <w:left w:w="0" w:type="dxa"/>
                    <w:bottom w:w="0" w:type="dxa"/>
                    <w:right w:w="0" w:type="dxa"/>
                  </w:tcMar>
                  <w:vAlign w:val="center"/>
                </w:tcPr>
                <w:p w14:paraId="1E1C4B73">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迹头村</w:t>
                  </w:r>
                </w:p>
              </w:tc>
              <w:tc>
                <w:tcPr>
                  <w:tcW w:w="680" w:type="pct"/>
                  <w:tcBorders>
                    <w:tl2br w:val="nil"/>
                    <w:tr2bl w:val="nil"/>
                  </w:tcBorders>
                  <w:tcMar>
                    <w:top w:w="0" w:type="dxa"/>
                    <w:left w:w="0" w:type="dxa"/>
                    <w:bottom w:w="0" w:type="dxa"/>
                    <w:right w:w="0" w:type="dxa"/>
                  </w:tcMar>
                  <w:vAlign w:val="center"/>
                </w:tcPr>
                <w:p w14:paraId="07D10245">
                  <w:pPr>
                    <w:pStyle w:val="101"/>
                    <w:rPr>
                      <w:rFonts w:cs="Times New Roman"/>
                      <w:color w:val="000000" w:themeColor="text1"/>
                      <w14:textFill>
                        <w14:solidFill>
                          <w14:schemeClr w14:val="tx1"/>
                        </w14:solidFill>
                      </w14:textFill>
                    </w:rPr>
                  </w:pPr>
                  <w:bookmarkStart w:id="113" w:name="OLE_LINK436"/>
                  <w:r>
                    <w:rPr>
                      <w:rFonts w:cs="Times New Roman"/>
                      <w:color w:val="000000" w:themeColor="text1"/>
                      <w14:textFill>
                        <w14:solidFill>
                          <w14:schemeClr w14:val="tx1"/>
                        </w14:solidFill>
                      </w14:textFill>
                    </w:rPr>
                    <w:t>SW2.94km</w:t>
                  </w:r>
                  <w:bookmarkEnd w:id="113"/>
                </w:p>
              </w:tc>
              <w:tc>
                <w:tcPr>
                  <w:tcW w:w="1028" w:type="pct"/>
                  <w:tcBorders>
                    <w:tl2br w:val="nil"/>
                    <w:tr2bl w:val="nil"/>
                  </w:tcBorders>
                  <w:tcMar>
                    <w:top w:w="0" w:type="dxa"/>
                    <w:left w:w="0" w:type="dxa"/>
                    <w:bottom w:w="0" w:type="dxa"/>
                    <w:right w:w="0" w:type="dxa"/>
                  </w:tcMar>
                  <w:vAlign w:val="center"/>
                </w:tcPr>
                <w:p w14:paraId="26A02574">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日均值：TSP</w:t>
                  </w:r>
                </w:p>
                <w:p w14:paraId="0EDC0E23">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小时值：氨</w:t>
                  </w:r>
                </w:p>
              </w:tc>
              <w:tc>
                <w:tcPr>
                  <w:tcW w:w="670" w:type="pct"/>
                  <w:tcBorders>
                    <w:tl2br w:val="nil"/>
                    <w:tr2bl w:val="nil"/>
                  </w:tcBorders>
                  <w:tcMar>
                    <w:top w:w="0" w:type="dxa"/>
                    <w:left w:w="0" w:type="dxa"/>
                    <w:bottom w:w="0" w:type="dxa"/>
                    <w:right w:w="0" w:type="dxa"/>
                  </w:tcMar>
                  <w:vAlign w:val="center"/>
                </w:tcPr>
                <w:p w14:paraId="4CFD27C8">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2025.7.4~</w:t>
                  </w:r>
                </w:p>
                <w:p w14:paraId="76814630">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2025.7.10</w:t>
                  </w:r>
                </w:p>
              </w:tc>
              <w:tc>
                <w:tcPr>
                  <w:tcW w:w="994" w:type="pct"/>
                  <w:tcBorders>
                    <w:tl2br w:val="nil"/>
                    <w:tr2bl w:val="nil"/>
                  </w:tcBorders>
                  <w:tcMar>
                    <w:top w:w="0" w:type="dxa"/>
                    <w:left w:w="0" w:type="dxa"/>
                    <w:bottom w:w="0" w:type="dxa"/>
                    <w:right w:w="0" w:type="dxa"/>
                  </w:tcMar>
                  <w:vAlign w:val="center"/>
                </w:tcPr>
                <w:p w14:paraId="2D9FEBDA">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福建山水环境检测有限公司</w:t>
                  </w:r>
                </w:p>
              </w:tc>
              <w:tc>
                <w:tcPr>
                  <w:tcW w:w="1247" w:type="pct"/>
                  <w:tcBorders>
                    <w:tl2br w:val="nil"/>
                    <w:tr2bl w:val="nil"/>
                  </w:tcBorders>
                  <w:tcMar>
                    <w:top w:w="0" w:type="dxa"/>
                    <w:left w:w="0" w:type="dxa"/>
                    <w:bottom w:w="0" w:type="dxa"/>
                    <w:right w:w="0" w:type="dxa"/>
                  </w:tcMar>
                  <w:vAlign w:val="center"/>
                </w:tcPr>
                <w:p w14:paraId="605D0561">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《福建省贝拓金属有限公司含金属废物综合利用项目环境影响报告书》</w:t>
                  </w:r>
                </w:p>
              </w:tc>
            </w:tr>
          </w:tbl>
          <w:p w14:paraId="4FF1D0FB">
            <w:pPr>
              <w:pStyle w:val="90"/>
              <w:rPr>
                <w:color w:val="000000" w:themeColor="text1"/>
                <w14:textFill>
                  <w14:solidFill>
                    <w14:schemeClr w14:val="tx1"/>
                  </w14:solidFill>
                </w14:textFill>
              </w:rPr>
            </w:pPr>
          </w:p>
          <w:p w14:paraId="47A09021">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393055" cy="3355975"/>
                  <wp:effectExtent l="0" t="0" r="1905" b="12065"/>
                  <wp:docPr id="4099" name="图片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图片 409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93055" cy="3355975"/>
                          </a:xfrm>
                          <a:prstGeom prst="rect">
                            <a:avLst/>
                          </a:prstGeom>
                        </pic:spPr>
                      </pic:pic>
                    </a:graphicData>
                  </a:graphic>
                </wp:inline>
              </w:drawing>
            </w:r>
          </w:p>
          <w:p w14:paraId="6A35F71C">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环境空气环境现状监测点位图</w:t>
            </w:r>
          </w:p>
          <w:p w14:paraId="71327A84">
            <w:pPr>
              <w:ind w:left="420"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（2）监测项目</w:t>
            </w:r>
          </w:p>
          <w:p w14:paraId="160FCB8E">
            <w:pPr>
              <w:adjustRightInd w:val="0"/>
              <w:snapToGrid w:val="0"/>
              <w:spacing w:before="120"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监测项目、频率和方法</w:t>
            </w:r>
          </w:p>
          <w:p w14:paraId="353036A2">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根据本项目大气污染物排放特点，引用的大气监测项目有TSP和氨。</w:t>
            </w:r>
          </w:p>
          <w:p w14:paraId="7F922AE5">
            <w:pPr>
              <w:pStyle w:val="351"/>
              <w:spacing w:before="120"/>
              <w:rPr>
                <w:bCs/>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bCs/>
                <w:color w:val="000000" w:themeColor="text1"/>
                <w14:textFill>
                  <w14:solidFill>
                    <w14:schemeClr w14:val="tx1"/>
                  </w14:solidFill>
                </w14:textFill>
              </w:rPr>
              <w:t>监测频率一览表</w:t>
            </w:r>
          </w:p>
          <w:tbl>
            <w:tblPr>
              <w:tblStyle w:val="46"/>
              <w:tblW w:w="85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963"/>
              <w:gridCol w:w="4546"/>
            </w:tblGrid>
            <w:tr w14:paraId="2EA39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2329" w:type="pct"/>
                  <w:tcMar>
                    <w:top w:w="0" w:type="dxa"/>
                    <w:left w:w="0" w:type="dxa"/>
                    <w:bottom w:w="0" w:type="dxa"/>
                    <w:right w:w="0" w:type="dxa"/>
                  </w:tcMar>
                  <w:vAlign w:val="center"/>
                </w:tcPr>
                <w:p w14:paraId="46B1D8B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tc>
                <w:tcPr>
                  <w:tcW w:w="2671" w:type="pct"/>
                  <w:tcMar>
                    <w:top w:w="0" w:type="dxa"/>
                    <w:left w:w="0" w:type="dxa"/>
                    <w:bottom w:w="0" w:type="dxa"/>
                    <w:right w:w="0" w:type="dxa"/>
                  </w:tcMar>
                  <w:vAlign w:val="center"/>
                </w:tcPr>
                <w:p w14:paraId="5E6A9E7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频率</w:t>
                  </w:r>
                </w:p>
              </w:tc>
            </w:tr>
            <w:tr w14:paraId="27BB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2329" w:type="pct"/>
                  <w:tcMar>
                    <w:top w:w="0" w:type="dxa"/>
                    <w:left w:w="0" w:type="dxa"/>
                    <w:bottom w:w="0" w:type="dxa"/>
                    <w:right w:w="0" w:type="dxa"/>
                  </w:tcMar>
                  <w:vAlign w:val="center"/>
                </w:tcPr>
                <w:p w14:paraId="2261851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TSP</w:t>
                  </w:r>
                </w:p>
              </w:tc>
              <w:tc>
                <w:tcPr>
                  <w:tcW w:w="2671" w:type="pct"/>
                  <w:tcMar>
                    <w:top w:w="0" w:type="dxa"/>
                    <w:left w:w="0" w:type="dxa"/>
                    <w:bottom w:w="0" w:type="dxa"/>
                    <w:right w:w="0" w:type="dxa"/>
                  </w:tcMar>
                  <w:vAlign w:val="center"/>
                </w:tcPr>
                <w:p w14:paraId="01B2C09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1次/天，连续7天</w:t>
                  </w:r>
                </w:p>
              </w:tc>
            </w:tr>
            <w:tr w14:paraId="6DD17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2329" w:type="pct"/>
                  <w:tcMar>
                    <w:top w:w="0" w:type="dxa"/>
                    <w:left w:w="0" w:type="dxa"/>
                    <w:bottom w:w="0" w:type="dxa"/>
                    <w:right w:w="0" w:type="dxa"/>
                  </w:tcMar>
                  <w:vAlign w:val="center"/>
                </w:tcPr>
                <w:p w14:paraId="6B787DD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氨</w:t>
                  </w:r>
                </w:p>
              </w:tc>
              <w:tc>
                <w:tcPr>
                  <w:tcW w:w="2671" w:type="pct"/>
                  <w:tcMar>
                    <w:top w:w="0" w:type="dxa"/>
                    <w:left w:w="0" w:type="dxa"/>
                    <w:bottom w:w="0" w:type="dxa"/>
                    <w:right w:w="0" w:type="dxa"/>
                  </w:tcMar>
                  <w:vAlign w:val="center"/>
                </w:tcPr>
                <w:p w14:paraId="1AD7D9A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4次/天，连续7天</w:t>
                  </w:r>
                </w:p>
              </w:tc>
            </w:tr>
          </w:tbl>
          <w:p w14:paraId="3EB46FF1">
            <w:pPr>
              <w:pStyle w:val="351"/>
              <w:spacing w:before="120"/>
              <w:rPr>
                <w:bCs/>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bCs/>
                <w:color w:val="000000" w:themeColor="text1"/>
                <w14:textFill>
                  <w14:solidFill>
                    <w14:schemeClr w14:val="tx1"/>
                  </w14:solidFill>
                </w14:textFill>
              </w:rPr>
              <w:t>监测方法、检出限一览表</w:t>
            </w:r>
          </w:p>
          <w:tbl>
            <w:tblPr>
              <w:tblStyle w:val="46"/>
              <w:tblW w:w="501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3989"/>
              <w:gridCol w:w="1147"/>
              <w:gridCol w:w="2096"/>
            </w:tblGrid>
            <w:tr w14:paraId="7C823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1" w:type="pct"/>
                  <w:tcBorders>
                    <w:tl2br w:val="nil"/>
                    <w:tr2bl w:val="nil"/>
                  </w:tcBorders>
                  <w:tcMar>
                    <w:top w:w="0" w:type="dxa"/>
                    <w:left w:w="0" w:type="dxa"/>
                    <w:bottom w:w="0" w:type="dxa"/>
                    <w:right w:w="0" w:type="dxa"/>
                  </w:tcMar>
                  <w:vAlign w:val="center"/>
                </w:tcPr>
                <w:p w14:paraId="1401233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监测项目</w:t>
                  </w:r>
                </w:p>
              </w:tc>
              <w:tc>
                <w:tcPr>
                  <w:tcW w:w="2420" w:type="pct"/>
                  <w:tcBorders>
                    <w:tl2br w:val="nil"/>
                    <w:tr2bl w:val="nil"/>
                  </w:tcBorders>
                  <w:tcMar>
                    <w:top w:w="0" w:type="dxa"/>
                    <w:left w:w="0" w:type="dxa"/>
                    <w:bottom w:w="0" w:type="dxa"/>
                    <w:right w:w="0" w:type="dxa"/>
                  </w:tcMar>
                  <w:vAlign w:val="center"/>
                </w:tcPr>
                <w:p w14:paraId="01277AA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分析方法</w:t>
                  </w:r>
                </w:p>
              </w:tc>
              <w:tc>
                <w:tcPr>
                  <w:tcW w:w="696" w:type="pct"/>
                  <w:tcBorders>
                    <w:tl2br w:val="nil"/>
                    <w:tr2bl w:val="nil"/>
                  </w:tcBorders>
                  <w:tcMar>
                    <w:top w:w="0" w:type="dxa"/>
                    <w:left w:w="0" w:type="dxa"/>
                    <w:bottom w:w="0" w:type="dxa"/>
                    <w:right w:w="0" w:type="dxa"/>
                  </w:tcMar>
                  <w:vAlign w:val="center"/>
                </w:tcPr>
                <w:p w14:paraId="7EEAA0B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方法来源</w:t>
                  </w:r>
                </w:p>
              </w:tc>
              <w:tc>
                <w:tcPr>
                  <w:tcW w:w="1272" w:type="pct"/>
                  <w:tcBorders>
                    <w:tl2br w:val="nil"/>
                    <w:tr2bl w:val="nil"/>
                  </w:tcBorders>
                  <w:tcMar>
                    <w:top w:w="0" w:type="dxa"/>
                    <w:left w:w="0" w:type="dxa"/>
                    <w:bottom w:w="0" w:type="dxa"/>
                    <w:right w:w="0" w:type="dxa"/>
                  </w:tcMar>
                  <w:vAlign w:val="center"/>
                </w:tcPr>
                <w:p w14:paraId="367C401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检出限</w:t>
                  </w:r>
                </w:p>
              </w:tc>
            </w:tr>
            <w:tr w14:paraId="57A3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1" w:type="pct"/>
                  <w:tcBorders>
                    <w:tl2br w:val="nil"/>
                    <w:tr2bl w:val="nil"/>
                  </w:tcBorders>
                  <w:tcMar>
                    <w:top w:w="0" w:type="dxa"/>
                    <w:left w:w="0" w:type="dxa"/>
                    <w:bottom w:w="0" w:type="dxa"/>
                    <w:right w:w="0" w:type="dxa"/>
                  </w:tcMar>
                  <w:vAlign w:val="center"/>
                </w:tcPr>
                <w:p w14:paraId="45EA59C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TSP</w:t>
                  </w:r>
                </w:p>
              </w:tc>
              <w:tc>
                <w:tcPr>
                  <w:tcW w:w="2420" w:type="pct"/>
                  <w:tcBorders>
                    <w:tl2br w:val="nil"/>
                    <w:tr2bl w:val="nil"/>
                  </w:tcBorders>
                  <w:tcMar>
                    <w:top w:w="0" w:type="dxa"/>
                    <w:left w:w="0" w:type="dxa"/>
                    <w:bottom w:w="0" w:type="dxa"/>
                    <w:right w:w="0" w:type="dxa"/>
                  </w:tcMar>
                  <w:vAlign w:val="center"/>
                </w:tcPr>
                <w:p w14:paraId="1E5BA66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环境空气 总悬浮颗粒物的测定  重量法</w:t>
                  </w:r>
                </w:p>
              </w:tc>
              <w:tc>
                <w:tcPr>
                  <w:tcW w:w="696" w:type="pct"/>
                  <w:tcBorders>
                    <w:tl2br w:val="nil"/>
                    <w:tr2bl w:val="nil"/>
                  </w:tcBorders>
                  <w:tcMar>
                    <w:top w:w="0" w:type="dxa"/>
                    <w:left w:w="0" w:type="dxa"/>
                    <w:bottom w:w="0" w:type="dxa"/>
                    <w:right w:w="0" w:type="dxa"/>
                  </w:tcMar>
                  <w:vAlign w:val="center"/>
                </w:tcPr>
                <w:p w14:paraId="56B159C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HJ1263-2022</w:t>
                  </w:r>
                </w:p>
              </w:tc>
              <w:tc>
                <w:tcPr>
                  <w:tcW w:w="1272" w:type="pct"/>
                  <w:tcBorders>
                    <w:tl2br w:val="nil"/>
                    <w:tr2bl w:val="nil"/>
                  </w:tcBorders>
                  <w:tcMar>
                    <w:top w:w="0" w:type="dxa"/>
                    <w:left w:w="0" w:type="dxa"/>
                    <w:bottom w:w="0" w:type="dxa"/>
                    <w:right w:w="0" w:type="dxa"/>
                  </w:tcMar>
                  <w:vAlign w:val="center"/>
                </w:tcPr>
                <w:p w14:paraId="30DDC46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0.007mg/m</w:t>
                  </w:r>
                  <w:r>
                    <w:rPr>
                      <w:rFonts w:cs="Times New Roman"/>
                      <w:color w:val="000000" w:themeColor="text1"/>
                      <w:vertAlign w:val="superscript"/>
                      <w14:textFill>
                        <w14:solidFill>
                          <w14:schemeClr w14:val="tx1"/>
                        </w14:solidFill>
                      </w14:textFill>
                    </w:rPr>
                    <w:t>3</w:t>
                  </w:r>
                </w:p>
              </w:tc>
            </w:tr>
            <w:tr w14:paraId="10514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1" w:type="pct"/>
                  <w:tcBorders>
                    <w:tl2br w:val="nil"/>
                    <w:tr2bl w:val="nil"/>
                  </w:tcBorders>
                  <w:tcMar>
                    <w:top w:w="0" w:type="dxa"/>
                    <w:left w:w="0" w:type="dxa"/>
                    <w:bottom w:w="0" w:type="dxa"/>
                    <w:right w:w="0" w:type="dxa"/>
                  </w:tcMar>
                  <w:vAlign w:val="center"/>
                </w:tcPr>
                <w:p w14:paraId="624C39F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氨</w:t>
                  </w:r>
                </w:p>
              </w:tc>
              <w:tc>
                <w:tcPr>
                  <w:tcW w:w="2420" w:type="pct"/>
                  <w:tcBorders>
                    <w:tl2br w:val="nil"/>
                    <w:tr2bl w:val="nil"/>
                  </w:tcBorders>
                  <w:tcMar>
                    <w:top w:w="0" w:type="dxa"/>
                    <w:left w:w="0" w:type="dxa"/>
                    <w:bottom w:w="0" w:type="dxa"/>
                    <w:right w:w="0" w:type="dxa"/>
                  </w:tcMar>
                  <w:vAlign w:val="center"/>
                </w:tcPr>
                <w:p w14:paraId="73404FA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环境空气和废气 氨的测定 纳氏试剂分光光度法</w:t>
                  </w:r>
                </w:p>
              </w:tc>
              <w:tc>
                <w:tcPr>
                  <w:tcW w:w="696" w:type="pct"/>
                  <w:tcBorders>
                    <w:tl2br w:val="nil"/>
                    <w:tr2bl w:val="nil"/>
                  </w:tcBorders>
                  <w:tcMar>
                    <w:top w:w="0" w:type="dxa"/>
                    <w:left w:w="0" w:type="dxa"/>
                    <w:bottom w:w="0" w:type="dxa"/>
                    <w:right w:w="0" w:type="dxa"/>
                  </w:tcMar>
                  <w:vAlign w:val="center"/>
                </w:tcPr>
                <w:p w14:paraId="0901822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HJ533-2009</w:t>
                  </w:r>
                </w:p>
              </w:tc>
              <w:tc>
                <w:tcPr>
                  <w:tcW w:w="1272" w:type="pct"/>
                  <w:tcBorders>
                    <w:tl2br w:val="nil"/>
                    <w:tr2bl w:val="nil"/>
                  </w:tcBorders>
                  <w:tcMar>
                    <w:top w:w="0" w:type="dxa"/>
                    <w:left w:w="0" w:type="dxa"/>
                    <w:bottom w:w="0" w:type="dxa"/>
                    <w:right w:w="0" w:type="dxa"/>
                  </w:tcMar>
                  <w:vAlign w:val="center"/>
                </w:tcPr>
                <w:p w14:paraId="16CDDAD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0.01mg/m</w:t>
                  </w:r>
                  <w:r>
                    <w:rPr>
                      <w:rFonts w:cs="Times New Roman"/>
                      <w:color w:val="000000" w:themeColor="text1"/>
                      <w:vertAlign w:val="superscript"/>
                      <w14:textFill>
                        <w14:solidFill>
                          <w14:schemeClr w14:val="tx1"/>
                        </w14:solidFill>
                      </w14:textFill>
                    </w:rPr>
                    <w:t>3</w:t>
                  </w:r>
                </w:p>
              </w:tc>
            </w:tr>
          </w:tbl>
          <w:p w14:paraId="27D616C2">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（3）评价标准</w:t>
            </w:r>
          </w:p>
          <w:p w14:paraId="1EB0A8F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项目厂址区域TSP环境空气质量执行《环境空气质量标准》（GB3095-2026）中规定的二级标准，氨环境空气质量执行《环境影响评价技术导则 大气环境》（HJ 2.2-2018）中表 D. 1 其他污染物空气质量浓度参考限值，具体如下表。</w:t>
            </w:r>
          </w:p>
          <w:p w14:paraId="324559BD">
            <w:pPr>
              <w:pStyle w:val="351"/>
              <w:spacing w:before="120"/>
              <w:rPr>
                <w:bCs/>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bCs/>
                <w:color w:val="000000" w:themeColor="text1"/>
                <w14:textFill>
                  <w14:solidFill>
                    <w14:schemeClr w14:val="tx1"/>
                  </w14:solidFill>
                </w14:textFill>
              </w:rPr>
              <w:t xml:space="preserve"> 环境空气评价标准</w:t>
            </w:r>
          </w:p>
          <w:tbl>
            <w:tblPr>
              <w:tblStyle w:val="46"/>
              <w:tblW w:w="83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99"/>
              <w:gridCol w:w="1667"/>
              <w:gridCol w:w="1027"/>
              <w:gridCol w:w="900"/>
              <w:gridCol w:w="1072"/>
              <w:gridCol w:w="2612"/>
            </w:tblGrid>
            <w:tr w14:paraId="1E6BB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tblHeader/>
                <w:jc w:val="center"/>
              </w:trPr>
              <w:tc>
                <w:tcPr>
                  <w:tcW w:w="656" w:type="pct"/>
                  <w:vMerge w:val="restart"/>
                  <w:tcBorders>
                    <w:tl2br w:val="nil"/>
                    <w:tr2bl w:val="nil"/>
                  </w:tcBorders>
                  <w:tcMar>
                    <w:top w:w="0" w:type="dxa"/>
                    <w:left w:w="0" w:type="dxa"/>
                    <w:bottom w:w="0" w:type="dxa"/>
                    <w:right w:w="0" w:type="dxa"/>
                  </w:tcMar>
                  <w:vAlign w:val="center"/>
                </w:tcPr>
                <w:p w14:paraId="0BB4138E">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tc>
                <w:tcPr>
                  <w:tcW w:w="995" w:type="pct"/>
                  <w:vMerge w:val="restart"/>
                  <w:tcBorders>
                    <w:tl2br w:val="nil"/>
                    <w:tr2bl w:val="nil"/>
                  </w:tcBorders>
                  <w:tcMar>
                    <w:top w:w="0" w:type="dxa"/>
                    <w:left w:w="0" w:type="dxa"/>
                    <w:bottom w:w="0" w:type="dxa"/>
                    <w:right w:w="0" w:type="dxa"/>
                  </w:tcMar>
                  <w:vAlign w:val="center"/>
                </w:tcPr>
                <w:p w14:paraId="02D0B3B2">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平均时间</w:t>
                  </w:r>
                </w:p>
              </w:tc>
              <w:tc>
                <w:tcPr>
                  <w:tcW w:w="1150" w:type="pct"/>
                  <w:gridSpan w:val="2"/>
                  <w:tcBorders>
                    <w:tl2br w:val="nil"/>
                    <w:tr2bl w:val="nil"/>
                  </w:tcBorders>
                  <w:tcMar>
                    <w:top w:w="0" w:type="dxa"/>
                    <w:left w:w="0" w:type="dxa"/>
                    <w:bottom w:w="0" w:type="dxa"/>
                    <w:right w:w="0" w:type="dxa"/>
                  </w:tcMar>
                  <w:vAlign w:val="center"/>
                </w:tcPr>
                <w:p w14:paraId="38D499E3">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浓度限值</w:t>
                  </w:r>
                </w:p>
              </w:tc>
              <w:tc>
                <w:tcPr>
                  <w:tcW w:w="640" w:type="pct"/>
                  <w:vMerge w:val="restart"/>
                  <w:tcBorders>
                    <w:tl2br w:val="nil"/>
                    <w:tr2bl w:val="nil"/>
                  </w:tcBorders>
                  <w:tcMar>
                    <w:top w:w="0" w:type="dxa"/>
                    <w:left w:w="0" w:type="dxa"/>
                    <w:bottom w:w="0" w:type="dxa"/>
                    <w:right w:w="0" w:type="dxa"/>
                  </w:tcMar>
                  <w:vAlign w:val="center"/>
                </w:tcPr>
                <w:p w14:paraId="5AEB120A">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w:t>
                  </w:r>
                </w:p>
              </w:tc>
              <w:tc>
                <w:tcPr>
                  <w:tcW w:w="1559" w:type="pct"/>
                  <w:vMerge w:val="restart"/>
                  <w:tcBorders>
                    <w:tl2br w:val="nil"/>
                    <w:tr2bl w:val="nil"/>
                  </w:tcBorders>
                  <w:tcMar>
                    <w:top w:w="0" w:type="dxa"/>
                    <w:left w:w="0" w:type="dxa"/>
                    <w:bottom w:w="0" w:type="dxa"/>
                    <w:right w:w="0" w:type="dxa"/>
                  </w:tcMar>
                  <w:vAlign w:val="center"/>
                </w:tcPr>
                <w:p w14:paraId="6291FAED">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标准来源</w:t>
                  </w:r>
                </w:p>
              </w:tc>
            </w:tr>
            <w:tr w14:paraId="0FD3A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5" w:hRule="atLeast"/>
                <w:tblHeader/>
                <w:jc w:val="center"/>
              </w:trPr>
              <w:tc>
                <w:tcPr>
                  <w:tcW w:w="656" w:type="pct"/>
                  <w:vMerge w:val="continue"/>
                  <w:tcBorders>
                    <w:tl2br w:val="nil"/>
                    <w:tr2bl w:val="nil"/>
                  </w:tcBorders>
                  <w:tcMar>
                    <w:top w:w="0" w:type="dxa"/>
                    <w:left w:w="0" w:type="dxa"/>
                    <w:bottom w:w="0" w:type="dxa"/>
                    <w:right w:w="0" w:type="dxa"/>
                  </w:tcMar>
                  <w:vAlign w:val="center"/>
                </w:tcPr>
                <w:p w14:paraId="0318E49C">
                  <w:pPr>
                    <w:pStyle w:val="101"/>
                    <w:rPr>
                      <w:rFonts w:cs="Times New Roman"/>
                      <w:color w:val="000000" w:themeColor="text1"/>
                      <w14:textFill>
                        <w14:solidFill>
                          <w14:schemeClr w14:val="tx1"/>
                        </w14:solidFill>
                      </w14:textFill>
                    </w:rPr>
                  </w:pPr>
                </w:p>
              </w:tc>
              <w:tc>
                <w:tcPr>
                  <w:tcW w:w="995" w:type="pct"/>
                  <w:vMerge w:val="continue"/>
                  <w:tcBorders>
                    <w:tl2br w:val="nil"/>
                    <w:tr2bl w:val="nil"/>
                  </w:tcBorders>
                  <w:tcMar>
                    <w:top w:w="0" w:type="dxa"/>
                    <w:left w:w="0" w:type="dxa"/>
                    <w:bottom w:w="0" w:type="dxa"/>
                    <w:right w:w="0" w:type="dxa"/>
                  </w:tcMar>
                  <w:vAlign w:val="center"/>
                </w:tcPr>
                <w:p w14:paraId="428BDA28">
                  <w:pPr>
                    <w:pStyle w:val="101"/>
                    <w:rPr>
                      <w:rFonts w:cs="Times New Roman"/>
                      <w:color w:val="000000" w:themeColor="text1"/>
                      <w14:textFill>
                        <w14:solidFill>
                          <w14:schemeClr w14:val="tx1"/>
                        </w14:solidFill>
                      </w14:textFill>
                    </w:rPr>
                  </w:pPr>
                </w:p>
              </w:tc>
              <w:tc>
                <w:tcPr>
                  <w:tcW w:w="613" w:type="pct"/>
                  <w:tcBorders>
                    <w:tl2br w:val="nil"/>
                    <w:tr2bl w:val="nil"/>
                  </w:tcBorders>
                  <w:tcMar>
                    <w:top w:w="0" w:type="dxa"/>
                    <w:left w:w="0" w:type="dxa"/>
                    <w:bottom w:w="0" w:type="dxa"/>
                    <w:right w:w="0" w:type="dxa"/>
                  </w:tcMar>
                  <w:vAlign w:val="center"/>
                </w:tcPr>
                <w:p w14:paraId="6B2FE3F3">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一级</w:t>
                  </w:r>
                </w:p>
              </w:tc>
              <w:tc>
                <w:tcPr>
                  <w:tcW w:w="537" w:type="pct"/>
                  <w:tcBorders>
                    <w:tl2br w:val="nil"/>
                    <w:tr2bl w:val="nil"/>
                  </w:tcBorders>
                  <w:tcMar>
                    <w:top w:w="0" w:type="dxa"/>
                    <w:left w:w="0" w:type="dxa"/>
                    <w:bottom w:w="0" w:type="dxa"/>
                    <w:right w:w="0" w:type="dxa"/>
                  </w:tcMar>
                  <w:vAlign w:val="center"/>
                </w:tcPr>
                <w:p w14:paraId="0AFC8DB2">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二级</w:t>
                  </w:r>
                </w:p>
              </w:tc>
              <w:tc>
                <w:tcPr>
                  <w:tcW w:w="640" w:type="pct"/>
                  <w:vMerge w:val="continue"/>
                  <w:tcBorders>
                    <w:tl2br w:val="nil"/>
                    <w:tr2bl w:val="nil"/>
                  </w:tcBorders>
                  <w:tcMar>
                    <w:top w:w="0" w:type="dxa"/>
                    <w:left w:w="0" w:type="dxa"/>
                    <w:bottom w:w="0" w:type="dxa"/>
                    <w:right w:w="0" w:type="dxa"/>
                  </w:tcMar>
                  <w:vAlign w:val="center"/>
                </w:tcPr>
                <w:p w14:paraId="49DBBFF4">
                  <w:pPr>
                    <w:pStyle w:val="101"/>
                    <w:rPr>
                      <w:rFonts w:cs="Times New Roman"/>
                      <w:color w:val="000000" w:themeColor="text1"/>
                      <w14:textFill>
                        <w14:solidFill>
                          <w14:schemeClr w14:val="tx1"/>
                        </w14:solidFill>
                      </w14:textFill>
                    </w:rPr>
                  </w:pPr>
                </w:p>
              </w:tc>
              <w:tc>
                <w:tcPr>
                  <w:tcW w:w="1559" w:type="pct"/>
                  <w:vMerge w:val="continue"/>
                  <w:tcBorders>
                    <w:tl2br w:val="nil"/>
                    <w:tr2bl w:val="nil"/>
                  </w:tcBorders>
                  <w:tcMar>
                    <w:top w:w="0" w:type="dxa"/>
                    <w:left w:w="0" w:type="dxa"/>
                    <w:bottom w:w="0" w:type="dxa"/>
                    <w:right w:w="0" w:type="dxa"/>
                  </w:tcMar>
                  <w:vAlign w:val="center"/>
                </w:tcPr>
                <w:p w14:paraId="761AAFC2">
                  <w:pPr>
                    <w:pStyle w:val="101"/>
                    <w:rPr>
                      <w:rFonts w:cs="Times New Roman"/>
                      <w:color w:val="000000" w:themeColor="text1"/>
                      <w14:textFill>
                        <w14:solidFill>
                          <w14:schemeClr w14:val="tx1"/>
                        </w14:solidFill>
                      </w14:textFill>
                    </w:rPr>
                  </w:pPr>
                </w:p>
              </w:tc>
            </w:tr>
            <w:tr w14:paraId="64BFA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656" w:type="pct"/>
                  <w:tcBorders>
                    <w:tl2br w:val="nil"/>
                    <w:tr2bl w:val="nil"/>
                  </w:tcBorders>
                  <w:tcMar>
                    <w:top w:w="0" w:type="dxa"/>
                    <w:left w:w="0" w:type="dxa"/>
                    <w:bottom w:w="0" w:type="dxa"/>
                    <w:right w:w="0" w:type="dxa"/>
                  </w:tcMar>
                  <w:vAlign w:val="center"/>
                </w:tcPr>
                <w:p w14:paraId="4FAB7754">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TSP</w:t>
                  </w:r>
                </w:p>
              </w:tc>
              <w:tc>
                <w:tcPr>
                  <w:tcW w:w="995" w:type="pct"/>
                  <w:tcBorders>
                    <w:tl2br w:val="nil"/>
                    <w:tr2bl w:val="nil"/>
                  </w:tcBorders>
                  <w:tcMar>
                    <w:top w:w="0" w:type="dxa"/>
                    <w:left w:w="0" w:type="dxa"/>
                    <w:bottom w:w="0" w:type="dxa"/>
                    <w:right w:w="0" w:type="dxa"/>
                  </w:tcMar>
                  <w:vAlign w:val="center"/>
                </w:tcPr>
                <w:p w14:paraId="4553A1FD">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日平均</w:t>
                  </w:r>
                </w:p>
              </w:tc>
              <w:tc>
                <w:tcPr>
                  <w:tcW w:w="613" w:type="pct"/>
                  <w:tcBorders>
                    <w:tl2br w:val="nil"/>
                    <w:tr2bl w:val="nil"/>
                  </w:tcBorders>
                  <w:tcMar>
                    <w:top w:w="0" w:type="dxa"/>
                    <w:left w:w="0" w:type="dxa"/>
                    <w:bottom w:w="0" w:type="dxa"/>
                    <w:right w:w="0" w:type="dxa"/>
                  </w:tcMar>
                  <w:vAlign w:val="center"/>
                </w:tcPr>
                <w:p w14:paraId="02D994C5">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120</w:t>
                  </w:r>
                </w:p>
              </w:tc>
              <w:tc>
                <w:tcPr>
                  <w:tcW w:w="537" w:type="pct"/>
                  <w:tcBorders>
                    <w:tl2br w:val="nil"/>
                    <w:tr2bl w:val="nil"/>
                  </w:tcBorders>
                  <w:tcMar>
                    <w:top w:w="0" w:type="dxa"/>
                    <w:left w:w="0" w:type="dxa"/>
                    <w:bottom w:w="0" w:type="dxa"/>
                    <w:right w:w="0" w:type="dxa"/>
                  </w:tcMar>
                  <w:vAlign w:val="center"/>
                </w:tcPr>
                <w:p w14:paraId="0FCD7FAF">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300</w:t>
                  </w:r>
                </w:p>
              </w:tc>
              <w:tc>
                <w:tcPr>
                  <w:tcW w:w="640" w:type="pct"/>
                  <w:vMerge w:val="restart"/>
                  <w:tcBorders>
                    <w:tl2br w:val="nil"/>
                    <w:tr2bl w:val="nil"/>
                  </w:tcBorders>
                  <w:tcMar>
                    <w:top w:w="0" w:type="dxa"/>
                    <w:left w:w="0" w:type="dxa"/>
                    <w:bottom w:w="0" w:type="dxa"/>
                    <w:right w:w="0" w:type="dxa"/>
                  </w:tcMar>
                  <w:vAlign w:val="center"/>
                </w:tcPr>
                <w:p w14:paraId="79F92793">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μg/m</w:t>
                  </w:r>
                  <w:r>
                    <w:rPr>
                      <w:rFonts w:cs="Times New Roman"/>
                      <w:color w:val="000000" w:themeColor="text1"/>
                      <w:vertAlign w:val="superscript"/>
                      <w14:textFill>
                        <w14:solidFill>
                          <w14:schemeClr w14:val="tx1"/>
                        </w14:solidFill>
                      </w14:textFill>
                    </w:rPr>
                    <w:t>3</w:t>
                  </w:r>
                </w:p>
              </w:tc>
              <w:tc>
                <w:tcPr>
                  <w:tcW w:w="1559" w:type="pct"/>
                  <w:tcBorders>
                    <w:tl2br w:val="nil"/>
                    <w:tr2bl w:val="nil"/>
                  </w:tcBorders>
                  <w:tcMar>
                    <w:top w:w="0" w:type="dxa"/>
                    <w:left w:w="0" w:type="dxa"/>
                    <w:bottom w:w="0" w:type="dxa"/>
                    <w:right w:w="0" w:type="dxa"/>
                  </w:tcMar>
                  <w:vAlign w:val="center"/>
                </w:tcPr>
                <w:p w14:paraId="183C892F">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《环境空气质量标准》（GB3095-2026）</w:t>
                  </w:r>
                </w:p>
              </w:tc>
            </w:tr>
            <w:tr w14:paraId="01B1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656" w:type="pct"/>
                  <w:tcBorders>
                    <w:tl2br w:val="nil"/>
                    <w:tr2bl w:val="nil"/>
                  </w:tcBorders>
                  <w:tcMar>
                    <w:top w:w="0" w:type="dxa"/>
                    <w:left w:w="0" w:type="dxa"/>
                    <w:bottom w:w="0" w:type="dxa"/>
                    <w:right w:w="0" w:type="dxa"/>
                  </w:tcMar>
                  <w:vAlign w:val="center"/>
                </w:tcPr>
                <w:p w14:paraId="4F9F69CB">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氨</w:t>
                  </w:r>
                </w:p>
              </w:tc>
              <w:tc>
                <w:tcPr>
                  <w:tcW w:w="995" w:type="pct"/>
                  <w:tcBorders>
                    <w:tl2br w:val="nil"/>
                    <w:tr2bl w:val="nil"/>
                  </w:tcBorders>
                  <w:tcMar>
                    <w:top w:w="0" w:type="dxa"/>
                    <w:left w:w="0" w:type="dxa"/>
                    <w:bottom w:w="0" w:type="dxa"/>
                    <w:right w:w="0" w:type="dxa"/>
                  </w:tcMar>
                  <w:vAlign w:val="center"/>
                </w:tcPr>
                <w:p w14:paraId="081F5C16">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小时值</w:t>
                  </w:r>
                </w:p>
              </w:tc>
              <w:tc>
                <w:tcPr>
                  <w:tcW w:w="1150" w:type="pct"/>
                  <w:gridSpan w:val="2"/>
                  <w:tcBorders>
                    <w:tl2br w:val="nil"/>
                    <w:tr2bl w:val="nil"/>
                  </w:tcBorders>
                  <w:tcMar>
                    <w:top w:w="0" w:type="dxa"/>
                    <w:left w:w="0" w:type="dxa"/>
                    <w:bottom w:w="0" w:type="dxa"/>
                    <w:right w:w="0" w:type="dxa"/>
                  </w:tcMar>
                  <w:vAlign w:val="center"/>
                </w:tcPr>
                <w:p w14:paraId="0816D92D">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200</w:t>
                  </w:r>
                </w:p>
              </w:tc>
              <w:tc>
                <w:tcPr>
                  <w:tcW w:w="640" w:type="pct"/>
                  <w:vMerge w:val="continue"/>
                  <w:tcBorders>
                    <w:tl2br w:val="nil"/>
                    <w:tr2bl w:val="nil"/>
                  </w:tcBorders>
                  <w:tcMar>
                    <w:top w:w="0" w:type="dxa"/>
                    <w:left w:w="0" w:type="dxa"/>
                    <w:bottom w:w="0" w:type="dxa"/>
                    <w:right w:w="0" w:type="dxa"/>
                  </w:tcMar>
                  <w:vAlign w:val="center"/>
                </w:tcPr>
                <w:p w14:paraId="0086A59C">
                  <w:pPr>
                    <w:pStyle w:val="101"/>
                    <w:rPr>
                      <w:rFonts w:cs="Times New Roman"/>
                      <w:color w:val="000000" w:themeColor="text1"/>
                      <w14:textFill>
                        <w14:solidFill>
                          <w14:schemeClr w14:val="tx1"/>
                        </w14:solidFill>
                      </w14:textFill>
                    </w:rPr>
                  </w:pPr>
                </w:p>
              </w:tc>
              <w:tc>
                <w:tcPr>
                  <w:tcW w:w="1559" w:type="pct"/>
                  <w:tcBorders>
                    <w:tl2br w:val="nil"/>
                    <w:tr2bl w:val="nil"/>
                  </w:tcBorders>
                  <w:tcMar>
                    <w:top w:w="0" w:type="dxa"/>
                    <w:left w:w="0" w:type="dxa"/>
                    <w:bottom w:w="0" w:type="dxa"/>
                    <w:right w:w="0" w:type="dxa"/>
                  </w:tcMar>
                  <w:vAlign w:val="center"/>
                </w:tcPr>
                <w:p w14:paraId="483F5CEA">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《环境影响评价技术导则 大气环境》（HJ 2.2-2018）中表 D. 1</w:t>
                  </w:r>
                </w:p>
              </w:tc>
            </w:tr>
          </w:tbl>
          <w:p w14:paraId="4DBBE660">
            <w:pPr>
              <w:adjustRightInd w:val="0"/>
              <w:snapToGrid w:val="0"/>
              <w:spacing w:before="120"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（4）评价方法</w:t>
            </w:r>
          </w:p>
          <w:p w14:paraId="763C1CA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大气环境》（HJ 2.2-2018），环境空气质量现状评价采用单项标准指数法。</w:t>
            </w:r>
          </w:p>
          <w:p w14:paraId="3BFF4A00">
            <w:pPr>
              <w:adjustRightInd w:val="0"/>
              <w:snapToGrid w:val="0"/>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946150" cy="420370"/>
                  <wp:effectExtent l="0" t="0" r="0" b="0"/>
                  <wp:docPr id="10" name="图片 98"/>
                  <wp:cNvGraphicFramePr/>
                  <a:graphic xmlns:a="http://schemas.openxmlformats.org/drawingml/2006/main">
                    <a:graphicData uri="http://schemas.openxmlformats.org/drawingml/2006/picture">
                      <pic:pic xmlns:pic="http://schemas.openxmlformats.org/drawingml/2006/picture">
                        <pic:nvPicPr>
                          <pic:cNvPr id="10" name="图片 98"/>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46150" cy="420370"/>
                          </a:xfrm>
                          <a:prstGeom prst="rect">
                            <a:avLst/>
                          </a:prstGeom>
                          <a:noFill/>
                          <a:ln>
                            <a:noFill/>
                          </a:ln>
                        </pic:spPr>
                      </pic:pic>
                    </a:graphicData>
                  </a:graphic>
                </wp:inline>
              </w:drawing>
            </w:r>
          </w:p>
          <w:p w14:paraId="3B31CD95">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式中：P</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——第i个污染物的空气质量浓度占标率，%；</w:t>
            </w:r>
          </w:p>
          <w:p w14:paraId="05E36B6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——某种污染因子不同取样时间的浓度测值，mg/m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549F60CE">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oi</w:t>
            </w:r>
            <w:r>
              <w:rPr>
                <w:rFonts w:cs="Times New Roman"/>
                <w:color w:val="000000" w:themeColor="text1"/>
                <w14:textFill>
                  <w14:solidFill>
                    <w14:schemeClr w14:val="tx1"/>
                  </w14:solidFill>
                </w14:textFill>
              </w:rPr>
              <w:t>——环境空气质量标准，mg/m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1DEA303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（5）监测结果与分析</w:t>
            </w:r>
          </w:p>
          <w:p w14:paraId="443A17C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引用污染物环境质量现状监测结果及评价结果见下表。</w:t>
            </w:r>
          </w:p>
          <w:p w14:paraId="1666637D">
            <w:pPr>
              <w:pStyle w:val="357"/>
              <w:tabs>
                <w:tab w:val="left" w:pos="3420"/>
                <w:tab w:val="clear" w:pos="0"/>
              </w:tabs>
              <w:snapToGrid w:val="0"/>
              <w:spacing w:before="120" w:beforeLines="50" w:after="72"/>
              <w:ind w:left="480" w:firstLine="0" w:firstLineChars="0"/>
              <w:jc w:val="center"/>
              <w:outlineLvl w:val="4"/>
              <w:rPr>
                <w:rFonts w:ascii="Times New Roman" w:hAnsi="Times New Roman" w:eastAsia="宋体" w:cs="Times New Roman"/>
                <w:b/>
                <w:bCs/>
                <w:color w:val="000000" w:themeColor="text1"/>
                <w14:textFill>
                  <w14:solidFill>
                    <w14:schemeClr w14:val="tx1"/>
                  </w14:solidFill>
                </w14:textFill>
              </w:rPr>
            </w:pPr>
            <w:r>
              <w:rPr>
                <w:rStyle w:val="352"/>
                <w:rFonts w:cs="Times New Roman"/>
                <w:color w:val="000000" w:themeColor="text1"/>
                <w14:textFill>
                  <w14:solidFill>
                    <w14:schemeClr w14:val="tx1"/>
                  </w14:solidFill>
                </w14:textFill>
              </w:rPr>
              <w:t xml:space="preserve">表 </w:t>
            </w:r>
            <w:r>
              <w:rPr>
                <w:rStyle w:val="352"/>
                <w:rFonts w:cs="Times New Roman"/>
                <w:color w:val="000000" w:themeColor="text1"/>
                <w14:textFill>
                  <w14:solidFill>
                    <w14:schemeClr w14:val="tx1"/>
                  </w14:solidFill>
                </w14:textFill>
              </w:rPr>
              <w:fldChar w:fldCharType="begin"/>
            </w:r>
            <w:r>
              <w:rPr>
                <w:rStyle w:val="352"/>
                <w:rFonts w:cs="Times New Roman"/>
                <w:color w:val="000000" w:themeColor="text1"/>
                <w14:textFill>
                  <w14:solidFill>
                    <w14:schemeClr w14:val="tx1"/>
                  </w14:solidFill>
                </w14:textFill>
              </w:rPr>
              <w:instrText xml:space="preserve"> STYLEREF 2 \s </w:instrText>
            </w:r>
            <w:r>
              <w:rPr>
                <w:rStyle w:val="352"/>
                <w:rFonts w:cs="Times New Roman"/>
                <w:color w:val="000000" w:themeColor="text1"/>
                <w14:textFill>
                  <w14:solidFill>
                    <w14:schemeClr w14:val="tx1"/>
                  </w14:solidFill>
                </w14:textFill>
              </w:rPr>
              <w:fldChar w:fldCharType="separate"/>
            </w:r>
            <w:r>
              <w:rPr>
                <w:rStyle w:val="352"/>
                <w:rFonts w:cs="Times New Roman"/>
                <w:color w:val="000000" w:themeColor="text1"/>
                <w14:textFill>
                  <w14:solidFill>
                    <w14:schemeClr w14:val="tx1"/>
                  </w14:solidFill>
                </w14:textFill>
              </w:rPr>
              <w:t>3.1</w:t>
            </w:r>
            <w:r>
              <w:rPr>
                <w:rStyle w:val="352"/>
                <w:rFonts w:cs="Times New Roman"/>
                <w:color w:val="000000" w:themeColor="text1"/>
                <w14:textFill>
                  <w14:solidFill>
                    <w14:schemeClr w14:val="tx1"/>
                  </w14:solidFill>
                </w14:textFill>
              </w:rPr>
              <w:fldChar w:fldCharType="end"/>
            </w:r>
            <w:r>
              <w:rPr>
                <w:rStyle w:val="352"/>
                <w:rFonts w:cs="Times New Roman"/>
                <w:color w:val="000000" w:themeColor="text1"/>
                <w14:textFill>
                  <w14:solidFill>
                    <w14:schemeClr w14:val="tx1"/>
                  </w14:solidFill>
                </w14:textFill>
              </w:rPr>
              <w:t>-</w:t>
            </w:r>
            <w:r>
              <w:rPr>
                <w:rStyle w:val="352"/>
                <w:rFonts w:cs="Times New Roman"/>
                <w:color w:val="000000" w:themeColor="text1"/>
                <w14:textFill>
                  <w14:solidFill>
                    <w14:schemeClr w14:val="tx1"/>
                  </w14:solidFill>
                </w14:textFill>
              </w:rPr>
              <w:fldChar w:fldCharType="begin"/>
            </w:r>
            <w:r>
              <w:rPr>
                <w:rStyle w:val="352"/>
                <w:rFonts w:cs="Times New Roman"/>
                <w:color w:val="000000" w:themeColor="text1"/>
                <w14:textFill>
                  <w14:solidFill>
                    <w14:schemeClr w14:val="tx1"/>
                  </w14:solidFill>
                </w14:textFill>
              </w:rPr>
              <w:instrText xml:space="preserve"> SEQ 表 \* ARABIC \s 2 </w:instrText>
            </w:r>
            <w:r>
              <w:rPr>
                <w:rStyle w:val="352"/>
                <w:rFonts w:cs="Times New Roman"/>
                <w:color w:val="000000" w:themeColor="text1"/>
                <w14:textFill>
                  <w14:solidFill>
                    <w14:schemeClr w14:val="tx1"/>
                  </w14:solidFill>
                </w14:textFill>
              </w:rPr>
              <w:fldChar w:fldCharType="separate"/>
            </w:r>
            <w:r>
              <w:rPr>
                <w:rStyle w:val="352"/>
                <w:rFonts w:cs="Times New Roman"/>
                <w:color w:val="000000" w:themeColor="text1"/>
                <w14:textFill>
                  <w14:solidFill>
                    <w14:schemeClr w14:val="tx1"/>
                  </w14:solidFill>
                </w14:textFill>
              </w:rPr>
              <w:t>6</w:t>
            </w:r>
            <w:r>
              <w:rPr>
                <w:rStyle w:val="352"/>
                <w:rFonts w:cs="Times New Roman"/>
                <w:color w:val="000000" w:themeColor="text1"/>
                <w14:textFill>
                  <w14:solidFill>
                    <w14:schemeClr w14:val="tx1"/>
                  </w14:solidFill>
                </w14:textFill>
              </w:rPr>
              <w:fldChar w:fldCharType="end"/>
            </w:r>
            <w:r>
              <w:rPr>
                <w:rStyle w:val="352"/>
                <w:rFonts w:cs="Times New Roman"/>
                <w:color w:val="000000" w:themeColor="text1"/>
                <w14:textFill>
                  <w14:solidFill>
                    <w14:schemeClr w14:val="tx1"/>
                  </w14:solidFill>
                </w14:textFill>
              </w:rPr>
              <w:t xml:space="preserve">  环境</w:t>
            </w:r>
            <w:r>
              <w:rPr>
                <w:rFonts w:ascii="Times New Roman" w:hAnsi="Times New Roman" w:eastAsia="宋体" w:cs="Times New Roman"/>
                <w:b/>
                <w:bCs/>
                <w:color w:val="000000" w:themeColor="text1"/>
                <w14:textFill>
                  <w14:solidFill>
                    <w14:schemeClr w14:val="tx1"/>
                  </w14:solidFill>
                </w14:textFill>
              </w:rPr>
              <w:t>质量现状监测及评价结果</w:t>
            </w:r>
          </w:p>
          <w:tbl>
            <w:tblPr>
              <w:tblStyle w:val="46"/>
              <w:tblW w:w="46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311"/>
              <w:gridCol w:w="2024"/>
              <w:gridCol w:w="1941"/>
              <w:gridCol w:w="1366"/>
            </w:tblGrid>
            <w:tr w14:paraId="5FCB8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512" w:type="pct"/>
                  <w:vMerge w:val="restart"/>
                  <w:tcBorders>
                    <w:tl2br w:val="nil"/>
                    <w:tr2bl w:val="nil"/>
                  </w:tcBorders>
                  <w:vAlign w:val="center"/>
                </w:tcPr>
                <w:p w14:paraId="50F1A803">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监测因子</w:t>
                  </w:r>
                </w:p>
              </w:tc>
              <w:tc>
                <w:tcPr>
                  <w:tcW w:w="2592" w:type="pct"/>
                  <w:gridSpan w:val="2"/>
                  <w:tcBorders>
                    <w:tl2br w:val="nil"/>
                    <w:tr2bl w:val="nil"/>
                  </w:tcBorders>
                  <w:vAlign w:val="center"/>
                </w:tcPr>
                <w:p w14:paraId="60152F0C">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监测时间：2025.7.4~2025.7.10</w:t>
                  </w:r>
                </w:p>
              </w:tc>
              <w:tc>
                <w:tcPr>
                  <w:tcW w:w="894" w:type="pct"/>
                  <w:vMerge w:val="restart"/>
                  <w:tcBorders>
                    <w:tl2br w:val="nil"/>
                    <w:tr2bl w:val="nil"/>
                  </w:tcBorders>
                  <w:vAlign w:val="center"/>
                </w:tcPr>
                <w:p w14:paraId="324EE9CE">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标准值</w:t>
                  </w:r>
                </w:p>
                <w:p w14:paraId="38FD0215">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r>
            <w:tr w14:paraId="6F746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512" w:type="pct"/>
                  <w:vMerge w:val="continue"/>
                  <w:tcBorders>
                    <w:tl2br w:val="nil"/>
                    <w:tr2bl w:val="nil"/>
                  </w:tcBorders>
                  <w:vAlign w:val="center"/>
                </w:tcPr>
                <w:p w14:paraId="45D1B7E9">
                  <w:pPr>
                    <w:pStyle w:val="101"/>
                    <w:rPr>
                      <w:rFonts w:cs="Times New Roman"/>
                      <w:color w:val="000000" w:themeColor="text1"/>
                      <w14:textFill>
                        <w14:solidFill>
                          <w14:schemeClr w14:val="tx1"/>
                        </w14:solidFill>
                      </w14:textFill>
                    </w:rPr>
                  </w:pPr>
                </w:p>
              </w:tc>
              <w:tc>
                <w:tcPr>
                  <w:tcW w:w="1323" w:type="pct"/>
                  <w:tcBorders>
                    <w:tl2br w:val="nil"/>
                    <w:tr2bl w:val="nil"/>
                  </w:tcBorders>
                  <w:vAlign w:val="center"/>
                </w:tcPr>
                <w:p w14:paraId="3C08EBA9">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监测结果（mg/m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c>
                <w:tcPr>
                  <w:tcW w:w="1269" w:type="pct"/>
                  <w:tcBorders>
                    <w:tl2br w:val="nil"/>
                    <w:tr2bl w:val="nil"/>
                  </w:tcBorders>
                  <w:vAlign w:val="center"/>
                </w:tcPr>
                <w:p w14:paraId="1D72535D">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占标率</w:t>
                  </w:r>
                </w:p>
              </w:tc>
              <w:tc>
                <w:tcPr>
                  <w:tcW w:w="894" w:type="pct"/>
                  <w:vMerge w:val="continue"/>
                  <w:tcBorders>
                    <w:tl2br w:val="nil"/>
                    <w:tr2bl w:val="nil"/>
                  </w:tcBorders>
                  <w:vAlign w:val="center"/>
                </w:tcPr>
                <w:p w14:paraId="1B2B7C71">
                  <w:pPr>
                    <w:pStyle w:val="101"/>
                    <w:rPr>
                      <w:rFonts w:cs="Times New Roman"/>
                      <w:color w:val="000000" w:themeColor="text1"/>
                      <w14:textFill>
                        <w14:solidFill>
                          <w14:schemeClr w14:val="tx1"/>
                        </w14:solidFill>
                      </w14:textFill>
                    </w:rPr>
                  </w:pPr>
                </w:p>
              </w:tc>
            </w:tr>
            <w:tr w14:paraId="05C3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12" w:type="pct"/>
                  <w:tcBorders>
                    <w:tl2br w:val="nil"/>
                    <w:tr2bl w:val="nil"/>
                  </w:tcBorders>
                  <w:vAlign w:val="center"/>
                </w:tcPr>
                <w:p w14:paraId="16424251">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TSP（日均值）</w:t>
                  </w:r>
                </w:p>
              </w:tc>
              <w:tc>
                <w:tcPr>
                  <w:tcW w:w="1323" w:type="pct"/>
                  <w:tcBorders>
                    <w:tl2br w:val="nil"/>
                    <w:tr2bl w:val="nil"/>
                  </w:tcBorders>
                  <w:vAlign w:val="center"/>
                </w:tcPr>
                <w:p w14:paraId="3D7C2A2E">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0.113~0.116</w:t>
                  </w:r>
                </w:p>
              </w:tc>
              <w:tc>
                <w:tcPr>
                  <w:tcW w:w="1269" w:type="pct"/>
                  <w:tcBorders>
                    <w:tl2br w:val="nil"/>
                    <w:tr2bl w:val="nil"/>
                  </w:tcBorders>
                  <w:vAlign w:val="center"/>
                </w:tcPr>
                <w:p w14:paraId="3B6A0D8F">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&lt;38.67%</w:t>
                  </w:r>
                </w:p>
              </w:tc>
              <w:tc>
                <w:tcPr>
                  <w:tcW w:w="894" w:type="pct"/>
                  <w:tcBorders>
                    <w:tl2br w:val="nil"/>
                    <w:tr2bl w:val="nil"/>
                  </w:tcBorders>
                  <w:vAlign w:val="center"/>
                </w:tcPr>
                <w:p w14:paraId="33CC00C0">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w:t>
                  </w:r>
                </w:p>
              </w:tc>
            </w:tr>
            <w:tr w14:paraId="01C7D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12" w:type="pct"/>
                  <w:tcBorders>
                    <w:tl2br w:val="nil"/>
                    <w:tr2bl w:val="nil"/>
                  </w:tcBorders>
                  <w:vAlign w:val="center"/>
                </w:tcPr>
                <w:p w14:paraId="7F8FD85E">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氨（小时值）</w:t>
                  </w:r>
                </w:p>
              </w:tc>
              <w:tc>
                <w:tcPr>
                  <w:tcW w:w="1323" w:type="pct"/>
                  <w:tcBorders>
                    <w:tl2br w:val="nil"/>
                    <w:tr2bl w:val="nil"/>
                  </w:tcBorders>
                  <w:vAlign w:val="center"/>
                </w:tcPr>
                <w:p w14:paraId="7AFE3B8A">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0.03~0.06</w:t>
                  </w:r>
                </w:p>
              </w:tc>
              <w:tc>
                <w:tcPr>
                  <w:tcW w:w="1269" w:type="pct"/>
                  <w:tcBorders>
                    <w:tl2br w:val="nil"/>
                    <w:tr2bl w:val="nil"/>
                  </w:tcBorders>
                  <w:vAlign w:val="center"/>
                </w:tcPr>
                <w:p w14:paraId="21D429ED">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&lt;30.00%</w:t>
                  </w:r>
                </w:p>
              </w:tc>
              <w:tc>
                <w:tcPr>
                  <w:tcW w:w="894" w:type="pct"/>
                  <w:tcBorders>
                    <w:tl2br w:val="nil"/>
                    <w:tr2bl w:val="nil"/>
                  </w:tcBorders>
                  <w:vAlign w:val="center"/>
                </w:tcPr>
                <w:p w14:paraId="4BA5F5A5">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0.2</w:t>
                  </w:r>
                </w:p>
              </w:tc>
            </w:tr>
          </w:tbl>
          <w:p w14:paraId="5E7590F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TSP日均浓度值最大为0.116mg/m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，最大小时占标率38.67%，满足《环境空气质量标准》（GB3095-2026）的二级标准，氨小时值浓度值最大为0.06mg/m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，最大小时占标率30.00%，满足《环境影响评价技术导则 大气环境》（HJ 2.2-2018）中表 D. 1 其他污染物空气质量浓度参考限值的要求。</w:t>
            </w:r>
          </w:p>
          <w:p w14:paraId="6A434619">
            <w:pPr>
              <w:pStyle w:val="3"/>
              <w:rPr>
                <w:rFonts w:cs="Times New Roman"/>
                <w:color w:val="000000" w:themeColor="text1"/>
                <w14:textFill>
                  <w14:solidFill>
                    <w14:schemeClr w14:val="tx1"/>
                  </w14:solidFill>
                </w14:textFill>
              </w:rPr>
            </w:pPr>
            <w:bookmarkStart w:id="114" w:name="_Toc230448037"/>
            <w:r>
              <w:rPr>
                <w:rFonts w:cs="Times New Roman"/>
                <w:color w:val="000000" w:themeColor="text1"/>
                <w14:textFill>
                  <w14:solidFill>
                    <w14:schemeClr w14:val="tx1"/>
                  </w14:solidFill>
                </w14:textFill>
              </w:rPr>
              <w:t>海域环境质量现状调查与评价</w:t>
            </w:r>
            <w:bookmarkEnd w:id="112"/>
            <w:bookmarkEnd w:id="114"/>
          </w:p>
          <w:p w14:paraId="44B567E0">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海域环境质量现状调查</w:t>
            </w:r>
          </w:p>
          <w:p w14:paraId="1FD9F9B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本次海域环境质量调查以收集资料为主。海域环境质量数据主要引用</w:t>
            </w:r>
            <w:r>
              <w:rPr>
                <w:rFonts w:hint="eastAsia" w:cs="Times New Roman"/>
                <w:color w:val="000000" w:themeColor="text1"/>
                <w14:textFill>
                  <w14:solidFill>
                    <w14:schemeClr w14:val="tx1"/>
                  </w14:solidFill>
                </w14:textFill>
              </w:rPr>
              <w:t>福建省环境保护设计院有限公司</w:t>
            </w:r>
            <w:r>
              <w:rPr>
                <w:rFonts w:cs="Times New Roman"/>
                <w:color w:val="000000" w:themeColor="text1"/>
                <w14:textFill>
                  <w14:solidFill>
                    <w14:schemeClr w14:val="tx1"/>
                  </w14:solidFill>
                </w14:textFill>
              </w:rPr>
              <w:t>编制的《福建罗源牛坑湾港口及加工物流区填海工程环境影响报告书》中的现状调查内容。</w:t>
            </w:r>
          </w:p>
          <w:p w14:paraId="6B41377D">
            <w:pPr>
              <w:ind w:left="420"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（1）调查时间、调查单位和监测站位</w:t>
            </w:r>
          </w:p>
          <w:p w14:paraId="0F7754C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调查监测时间为2023年9月，调查单位为福建中科环境检测技术有限公司，2023年秋季海洋环境现状调查共布设海水水质调查站位23个，沉积物调查站位12个，调查站位分布见图3.2-1，站位坐标见表3.2-1。</w:t>
            </w:r>
          </w:p>
          <w:p w14:paraId="52A0C447">
            <w:pPr>
              <w:ind w:left="420"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（2）监测项目</w:t>
            </w:r>
          </w:p>
          <w:p w14:paraId="0A08834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海水水质监测项目包括pH、化学需氧量、溶解氧、活性磷酸盐、无机氮、硫化物、挥发性酚、有机氯农药（六六六、滴滴涕）、石油类、汞、镉、铅、六价铬、总铬、砷、铜、锌、多环芳烃、多氯联苯、苯并[a]芘，共21项。</w:t>
            </w:r>
          </w:p>
          <w:p w14:paraId="28FBBDD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沉积物调查项目包括石油类、硫化物、有机碳、锌、铜、铅、镉、铬、总汞、砷、硒、六六六、滴滴涕、多氯联苯，共14项。</w:t>
            </w:r>
          </w:p>
          <w:p w14:paraId="59E12E94">
            <w:pPr>
              <w:pStyle w:val="353"/>
              <w:rPr>
                <w:rFonts w:cs="Times New Roman"/>
                <w:color w:val="000000" w:themeColor="text1"/>
                <w14:textFill>
                  <w14:solidFill>
                    <w14:schemeClr w14:val="tx1"/>
                  </w14:solidFill>
                </w14:textFill>
              </w:rPr>
            </w:pPr>
          </w:p>
          <w:p w14:paraId="73A2E1DE">
            <w:pPr>
              <w:pStyle w:val="353"/>
              <w:rPr>
                <w:rFonts w:cs="Times New Roman"/>
                <w:color w:val="000000" w:themeColor="text1"/>
                <w14:textFill>
                  <w14:solidFill>
                    <w14:schemeClr w14:val="tx1"/>
                  </w14:solidFill>
                </w14:textFill>
              </w:rPr>
            </w:pPr>
          </w:p>
          <w:p w14:paraId="5C282AE0">
            <w:pPr>
              <w:pStyle w:val="353"/>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3.2</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2023年9月海洋环境现状调查站位</w:t>
            </w:r>
          </w:p>
          <w:tbl>
            <w:tblPr>
              <w:tblStyle w:val="46"/>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1"/>
              <w:gridCol w:w="1477"/>
              <w:gridCol w:w="1477"/>
              <w:gridCol w:w="1570"/>
              <w:gridCol w:w="2687"/>
            </w:tblGrid>
            <w:tr w14:paraId="2F4E0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09" w:type="pct"/>
                  <w:vAlign w:val="center"/>
                </w:tcPr>
                <w:p w14:paraId="3828600A">
                  <w:pPr>
                    <w:pStyle w:val="353"/>
                    <w:rPr>
                      <w:rFonts w:cs="Times New Roman"/>
                      <w:b w:val="0"/>
                      <w:color w:val="000000" w:themeColor="text1"/>
                      <w14:textFill>
                        <w14:solidFill>
                          <w14:schemeClr w14:val="tx1"/>
                        </w14:solidFill>
                      </w14:textFill>
                    </w:rPr>
                  </w:pPr>
                  <w:r>
                    <w:rPr>
                      <w:rFonts w:cs="Times New Roman"/>
                      <w:color w:val="000000" w:themeColor="text1"/>
                      <w14:textFill>
                        <w14:solidFill>
                          <w14:schemeClr w14:val="tx1"/>
                        </w14:solidFill>
                      </w14:textFill>
                    </w:rPr>
                    <w:t>站位</w:t>
                  </w:r>
                </w:p>
              </w:tc>
              <w:tc>
                <w:tcPr>
                  <w:tcW w:w="899" w:type="pct"/>
                  <w:vAlign w:val="center"/>
                </w:tcPr>
                <w:p w14:paraId="760F6208">
                  <w:pPr>
                    <w:pStyle w:val="144"/>
                    <w:spacing w:before="24" w:line="240" w:lineRule="exact"/>
                    <w:rPr>
                      <w:b/>
                      <w:bCs/>
                      <w:color w:val="000000" w:themeColor="text1"/>
                      <w14:textFill>
                        <w14:solidFill>
                          <w14:schemeClr w14:val="tx1"/>
                        </w14:solidFill>
                      </w14:textFill>
                    </w:rPr>
                  </w:pPr>
                  <w:r>
                    <w:rPr>
                      <w:color w:val="000000" w:themeColor="text1"/>
                      <w14:textFill>
                        <w14:solidFill>
                          <w14:schemeClr w14:val="tx1"/>
                        </w14:solidFill>
                      </w14:textFill>
                    </w:rPr>
                    <w:t>调查时间</w:t>
                  </w:r>
                </w:p>
              </w:tc>
              <w:tc>
                <w:tcPr>
                  <w:tcW w:w="899" w:type="pct"/>
                  <w:vAlign w:val="center"/>
                </w:tcPr>
                <w:p w14:paraId="45A7CB2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经度E（°）</w:t>
                  </w:r>
                </w:p>
              </w:tc>
              <w:tc>
                <w:tcPr>
                  <w:tcW w:w="956" w:type="pct"/>
                  <w:vAlign w:val="center"/>
                </w:tcPr>
                <w:p w14:paraId="3DBCFEA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纬度N（°）</w:t>
                  </w:r>
                </w:p>
              </w:tc>
              <w:tc>
                <w:tcPr>
                  <w:tcW w:w="1635" w:type="pct"/>
                  <w:vAlign w:val="center"/>
                </w:tcPr>
                <w:p w14:paraId="2ECA2019">
                  <w:pPr>
                    <w:pStyle w:val="353"/>
                    <w:rPr>
                      <w:rFonts w:cs="Times New Roman"/>
                      <w:b w:val="0"/>
                      <w:color w:val="000000" w:themeColor="text1"/>
                      <w14:textFill>
                        <w14:solidFill>
                          <w14:schemeClr w14:val="tx1"/>
                        </w14:solidFill>
                      </w14:textFill>
                    </w:rPr>
                  </w:pPr>
                  <w:r>
                    <w:rPr>
                      <w:rFonts w:cs="Times New Roman"/>
                      <w:color w:val="000000" w:themeColor="text1"/>
                      <w14:textFill>
                        <w14:solidFill>
                          <w14:schemeClr w14:val="tx1"/>
                        </w14:solidFill>
                      </w14:textFill>
                    </w:rPr>
                    <w:t>调查项目</w:t>
                  </w:r>
                </w:p>
              </w:tc>
            </w:tr>
            <w:tr w14:paraId="39BE5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454113AB">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FZ1001</w:t>
                  </w:r>
                </w:p>
              </w:tc>
              <w:tc>
                <w:tcPr>
                  <w:tcW w:w="899" w:type="pct"/>
                  <w:vMerge w:val="restart"/>
                  <w:vAlign w:val="center"/>
                </w:tcPr>
                <w:p w14:paraId="4F30902E">
                  <w:pPr>
                    <w:pStyle w:val="144"/>
                    <w:spacing w:before="24" w:line="240" w:lineRule="exact"/>
                    <w:rPr>
                      <w:color w:val="000000" w:themeColor="text1"/>
                      <w:lang w:bidi="ar"/>
                      <w14:textFill>
                        <w14:solidFill>
                          <w14:schemeClr w14:val="tx1"/>
                        </w14:solidFill>
                      </w14:textFill>
                    </w:rPr>
                  </w:pPr>
                  <w:r>
                    <w:rPr>
                      <w:color w:val="000000" w:themeColor="text1"/>
                      <w14:textFill>
                        <w14:solidFill>
                          <w14:schemeClr w14:val="tx1"/>
                        </w14:solidFill>
                      </w14:textFill>
                    </w:rPr>
                    <w:t>2023.09</w:t>
                  </w:r>
                </w:p>
              </w:tc>
              <w:tc>
                <w:tcPr>
                  <w:tcW w:w="899" w:type="pct"/>
                  <w:vAlign w:val="center"/>
                </w:tcPr>
                <w:p w14:paraId="541B7578">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119.638422</w:t>
                  </w:r>
                </w:p>
              </w:tc>
              <w:tc>
                <w:tcPr>
                  <w:tcW w:w="956" w:type="pct"/>
                  <w:vAlign w:val="center"/>
                </w:tcPr>
                <w:p w14:paraId="5A1F5120">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26.472450</w:t>
                  </w:r>
                </w:p>
              </w:tc>
              <w:tc>
                <w:tcPr>
                  <w:tcW w:w="1635" w:type="pct"/>
                  <w:vAlign w:val="center"/>
                </w:tcPr>
                <w:p w14:paraId="7345BB5F">
                  <w:pPr>
                    <w:pStyle w:val="249"/>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水质</w:t>
                  </w:r>
                </w:p>
              </w:tc>
            </w:tr>
            <w:tr w14:paraId="3CA7B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67269890">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FZ1002</w:t>
                  </w:r>
                </w:p>
              </w:tc>
              <w:tc>
                <w:tcPr>
                  <w:tcW w:w="899" w:type="pct"/>
                  <w:vMerge w:val="continue"/>
                  <w:vAlign w:val="center"/>
                </w:tcPr>
                <w:p w14:paraId="290650C4">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149D3C36">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119.636022</w:t>
                  </w:r>
                </w:p>
              </w:tc>
              <w:tc>
                <w:tcPr>
                  <w:tcW w:w="956" w:type="pct"/>
                  <w:vAlign w:val="center"/>
                </w:tcPr>
                <w:p w14:paraId="0A7F39DB">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26.460848</w:t>
                  </w:r>
                </w:p>
              </w:tc>
              <w:tc>
                <w:tcPr>
                  <w:tcW w:w="1635" w:type="pct"/>
                  <w:vAlign w:val="center"/>
                </w:tcPr>
                <w:p w14:paraId="25E1BC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1FF73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59ECC331">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FZ1003</w:t>
                  </w:r>
                </w:p>
              </w:tc>
              <w:tc>
                <w:tcPr>
                  <w:tcW w:w="899" w:type="pct"/>
                  <w:vMerge w:val="continue"/>
                  <w:vAlign w:val="center"/>
                </w:tcPr>
                <w:p w14:paraId="22DF2232">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1FA2E5FE">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119.636366</w:t>
                  </w:r>
                </w:p>
              </w:tc>
              <w:tc>
                <w:tcPr>
                  <w:tcW w:w="956" w:type="pct"/>
                  <w:vAlign w:val="center"/>
                </w:tcPr>
                <w:p w14:paraId="29D475CE">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26.447626</w:t>
                  </w:r>
                </w:p>
              </w:tc>
              <w:tc>
                <w:tcPr>
                  <w:tcW w:w="1635" w:type="pct"/>
                  <w:vAlign w:val="center"/>
                </w:tcPr>
                <w:p w14:paraId="2BA78B4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w:t>
                  </w:r>
                </w:p>
              </w:tc>
            </w:tr>
            <w:tr w14:paraId="5DC08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1BB79963">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FZ1004</w:t>
                  </w:r>
                </w:p>
              </w:tc>
              <w:tc>
                <w:tcPr>
                  <w:tcW w:w="899" w:type="pct"/>
                  <w:vMerge w:val="continue"/>
                  <w:vAlign w:val="center"/>
                </w:tcPr>
                <w:p w14:paraId="49DC3F11">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2D979381">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119.686166</w:t>
                  </w:r>
                </w:p>
              </w:tc>
              <w:tc>
                <w:tcPr>
                  <w:tcW w:w="956" w:type="pct"/>
                  <w:vAlign w:val="center"/>
                </w:tcPr>
                <w:p w14:paraId="56253876">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26.460451</w:t>
                  </w:r>
                </w:p>
              </w:tc>
              <w:tc>
                <w:tcPr>
                  <w:tcW w:w="1635" w:type="pct"/>
                  <w:vAlign w:val="center"/>
                </w:tcPr>
                <w:p w14:paraId="30BA050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624AC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1CBBC3E2">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FZ1005</w:t>
                  </w:r>
                </w:p>
              </w:tc>
              <w:tc>
                <w:tcPr>
                  <w:tcW w:w="899" w:type="pct"/>
                  <w:vMerge w:val="continue"/>
                  <w:vAlign w:val="center"/>
                </w:tcPr>
                <w:p w14:paraId="35DD15FC">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1D999037">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119.680081</w:t>
                  </w:r>
                </w:p>
              </w:tc>
              <w:tc>
                <w:tcPr>
                  <w:tcW w:w="956" w:type="pct"/>
                  <w:vAlign w:val="center"/>
                </w:tcPr>
                <w:p w14:paraId="01B4B6A1">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26.451392</w:t>
                  </w:r>
                </w:p>
              </w:tc>
              <w:tc>
                <w:tcPr>
                  <w:tcW w:w="1635" w:type="pct"/>
                  <w:vAlign w:val="center"/>
                </w:tcPr>
                <w:p w14:paraId="27E9A88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71C45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5BC49902">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FZ1006</w:t>
                  </w:r>
                </w:p>
              </w:tc>
              <w:tc>
                <w:tcPr>
                  <w:tcW w:w="899" w:type="pct"/>
                  <w:vMerge w:val="continue"/>
                  <w:vAlign w:val="center"/>
                </w:tcPr>
                <w:p w14:paraId="73DE10B4">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1155A9D0">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119.674168</w:t>
                  </w:r>
                </w:p>
              </w:tc>
              <w:tc>
                <w:tcPr>
                  <w:tcW w:w="956" w:type="pct"/>
                  <w:vAlign w:val="center"/>
                </w:tcPr>
                <w:p w14:paraId="4FB5CEF3">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26.441563</w:t>
                  </w:r>
                </w:p>
              </w:tc>
              <w:tc>
                <w:tcPr>
                  <w:tcW w:w="1635" w:type="pct"/>
                  <w:vAlign w:val="center"/>
                </w:tcPr>
                <w:p w14:paraId="623A644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w:t>
                  </w:r>
                </w:p>
              </w:tc>
            </w:tr>
            <w:tr w14:paraId="5654F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663C34F0">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FZ1007</w:t>
                  </w:r>
                </w:p>
              </w:tc>
              <w:tc>
                <w:tcPr>
                  <w:tcW w:w="899" w:type="pct"/>
                  <w:vMerge w:val="continue"/>
                  <w:vAlign w:val="center"/>
                </w:tcPr>
                <w:p w14:paraId="575BDFE5">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7B2CFCCB">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119.713261</w:t>
                  </w:r>
                </w:p>
              </w:tc>
              <w:tc>
                <w:tcPr>
                  <w:tcW w:w="956" w:type="pct"/>
                  <w:vAlign w:val="center"/>
                </w:tcPr>
                <w:p w14:paraId="31423665">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26.437499</w:t>
                  </w:r>
                </w:p>
              </w:tc>
              <w:tc>
                <w:tcPr>
                  <w:tcW w:w="1635" w:type="pct"/>
                  <w:vAlign w:val="center"/>
                </w:tcPr>
                <w:p w14:paraId="35B3918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w:t>
                  </w:r>
                </w:p>
              </w:tc>
            </w:tr>
            <w:tr w14:paraId="0375A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2212DF63">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FZ1008</w:t>
                  </w:r>
                </w:p>
              </w:tc>
              <w:tc>
                <w:tcPr>
                  <w:tcW w:w="899" w:type="pct"/>
                  <w:vMerge w:val="continue"/>
                  <w:vAlign w:val="center"/>
                </w:tcPr>
                <w:p w14:paraId="6165F38B">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05FE2187">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119.700742</w:t>
                  </w:r>
                </w:p>
              </w:tc>
              <w:tc>
                <w:tcPr>
                  <w:tcW w:w="956" w:type="pct"/>
                  <w:vAlign w:val="center"/>
                </w:tcPr>
                <w:p w14:paraId="7548509F">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26.427215</w:t>
                  </w:r>
                </w:p>
              </w:tc>
              <w:tc>
                <w:tcPr>
                  <w:tcW w:w="1635" w:type="pct"/>
                  <w:vAlign w:val="center"/>
                </w:tcPr>
                <w:p w14:paraId="746928D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5DD55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27BC2657">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FZ1009</w:t>
                  </w:r>
                </w:p>
              </w:tc>
              <w:tc>
                <w:tcPr>
                  <w:tcW w:w="899" w:type="pct"/>
                  <w:vMerge w:val="continue"/>
                  <w:vAlign w:val="center"/>
                </w:tcPr>
                <w:p w14:paraId="563FFE80">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759DD31D">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119.691569</w:t>
                  </w:r>
                </w:p>
              </w:tc>
              <w:tc>
                <w:tcPr>
                  <w:tcW w:w="956" w:type="pct"/>
                  <w:vAlign w:val="center"/>
                </w:tcPr>
                <w:p w14:paraId="176D9362">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26.417695</w:t>
                  </w:r>
                </w:p>
              </w:tc>
              <w:tc>
                <w:tcPr>
                  <w:tcW w:w="1635" w:type="pct"/>
                  <w:vAlign w:val="center"/>
                </w:tcPr>
                <w:p w14:paraId="7E15F79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w:t>
                  </w:r>
                </w:p>
              </w:tc>
            </w:tr>
            <w:tr w14:paraId="3C46D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2D0AC705">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FZ1010</w:t>
                  </w:r>
                </w:p>
              </w:tc>
              <w:tc>
                <w:tcPr>
                  <w:tcW w:w="899" w:type="pct"/>
                  <w:vMerge w:val="continue"/>
                  <w:vAlign w:val="center"/>
                </w:tcPr>
                <w:p w14:paraId="39151449">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1187D707">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119.696714</w:t>
                  </w:r>
                </w:p>
              </w:tc>
              <w:tc>
                <w:tcPr>
                  <w:tcW w:w="956" w:type="pct"/>
                  <w:vAlign w:val="center"/>
                </w:tcPr>
                <w:p w14:paraId="66BE4C8F">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26.400383</w:t>
                  </w:r>
                </w:p>
              </w:tc>
              <w:tc>
                <w:tcPr>
                  <w:tcW w:w="1635" w:type="pct"/>
                  <w:vAlign w:val="center"/>
                </w:tcPr>
                <w:p w14:paraId="21951417">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w:t>
                  </w:r>
                </w:p>
              </w:tc>
            </w:tr>
            <w:tr w14:paraId="2EF25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645B1A51">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FZ1011</w:t>
                  </w:r>
                </w:p>
              </w:tc>
              <w:tc>
                <w:tcPr>
                  <w:tcW w:w="899" w:type="pct"/>
                  <w:vMerge w:val="continue"/>
                  <w:vAlign w:val="center"/>
                </w:tcPr>
                <w:p w14:paraId="13E81B3D">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0E45D3B3">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119.700488</w:t>
                  </w:r>
                </w:p>
              </w:tc>
              <w:tc>
                <w:tcPr>
                  <w:tcW w:w="956" w:type="pct"/>
                  <w:vAlign w:val="center"/>
                </w:tcPr>
                <w:p w14:paraId="3BDFAB92">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26.380225</w:t>
                  </w:r>
                </w:p>
              </w:tc>
              <w:tc>
                <w:tcPr>
                  <w:tcW w:w="1635" w:type="pct"/>
                  <w:vAlign w:val="center"/>
                </w:tcPr>
                <w:p w14:paraId="3B01F9A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7E6A6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5E0A04C9">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FZ1012</w:t>
                  </w:r>
                </w:p>
              </w:tc>
              <w:tc>
                <w:tcPr>
                  <w:tcW w:w="899" w:type="pct"/>
                  <w:vMerge w:val="continue"/>
                  <w:vAlign w:val="center"/>
                </w:tcPr>
                <w:p w14:paraId="28E0CF21">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260EB823">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119.70109</w:t>
                  </w:r>
                </w:p>
              </w:tc>
              <w:tc>
                <w:tcPr>
                  <w:tcW w:w="956" w:type="pct"/>
                  <w:vAlign w:val="center"/>
                </w:tcPr>
                <w:p w14:paraId="12E592ED">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26.357067</w:t>
                  </w:r>
                </w:p>
              </w:tc>
              <w:tc>
                <w:tcPr>
                  <w:tcW w:w="1635" w:type="pct"/>
                  <w:vAlign w:val="center"/>
                </w:tcPr>
                <w:p w14:paraId="4C30A5A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5AE2E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02843B46">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FZ1013</w:t>
                  </w:r>
                </w:p>
              </w:tc>
              <w:tc>
                <w:tcPr>
                  <w:tcW w:w="899" w:type="pct"/>
                  <w:vMerge w:val="continue"/>
                  <w:vAlign w:val="center"/>
                </w:tcPr>
                <w:p w14:paraId="68507EA1">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724F9AB1">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119.745872</w:t>
                  </w:r>
                </w:p>
              </w:tc>
              <w:tc>
                <w:tcPr>
                  <w:tcW w:w="956" w:type="pct"/>
                  <w:vAlign w:val="center"/>
                </w:tcPr>
                <w:p w14:paraId="16D3FB8B">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26.440857</w:t>
                  </w:r>
                </w:p>
              </w:tc>
              <w:tc>
                <w:tcPr>
                  <w:tcW w:w="1635" w:type="pct"/>
                  <w:vAlign w:val="center"/>
                </w:tcPr>
                <w:p w14:paraId="7F80BA3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652B2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3401F8C7">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FZ1014</w:t>
                  </w:r>
                </w:p>
              </w:tc>
              <w:tc>
                <w:tcPr>
                  <w:tcW w:w="899" w:type="pct"/>
                  <w:vMerge w:val="continue"/>
                  <w:vAlign w:val="center"/>
                </w:tcPr>
                <w:p w14:paraId="07E980CC">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348AD0FC">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119.761165</w:t>
                  </w:r>
                </w:p>
              </w:tc>
              <w:tc>
                <w:tcPr>
                  <w:tcW w:w="956" w:type="pct"/>
                  <w:vAlign w:val="center"/>
                </w:tcPr>
                <w:p w14:paraId="7F6280EB">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26.429788</w:t>
                  </w:r>
                </w:p>
              </w:tc>
              <w:tc>
                <w:tcPr>
                  <w:tcW w:w="1635" w:type="pct"/>
                  <w:vAlign w:val="center"/>
                </w:tcPr>
                <w:p w14:paraId="11308E9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w:t>
                  </w:r>
                </w:p>
              </w:tc>
            </w:tr>
            <w:tr w14:paraId="73D41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03F9FCA7">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FZ1015</w:t>
                  </w:r>
                </w:p>
              </w:tc>
              <w:tc>
                <w:tcPr>
                  <w:tcW w:w="899" w:type="pct"/>
                  <w:vMerge w:val="continue"/>
                  <w:vAlign w:val="center"/>
                </w:tcPr>
                <w:p w14:paraId="2D54FEFA">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2E09F751">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119.744329</w:t>
                  </w:r>
                </w:p>
              </w:tc>
              <w:tc>
                <w:tcPr>
                  <w:tcW w:w="956" w:type="pct"/>
                  <w:vAlign w:val="center"/>
                </w:tcPr>
                <w:p w14:paraId="07038E71">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26.415792</w:t>
                  </w:r>
                </w:p>
              </w:tc>
              <w:tc>
                <w:tcPr>
                  <w:tcW w:w="1635" w:type="pct"/>
                  <w:vAlign w:val="center"/>
                </w:tcPr>
                <w:p w14:paraId="7E8B43B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w:t>
                  </w:r>
                </w:p>
              </w:tc>
            </w:tr>
            <w:tr w14:paraId="48D41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3112834F">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FZ1016</w:t>
                  </w:r>
                </w:p>
              </w:tc>
              <w:tc>
                <w:tcPr>
                  <w:tcW w:w="899" w:type="pct"/>
                  <w:vMerge w:val="continue"/>
                  <w:vAlign w:val="center"/>
                </w:tcPr>
                <w:p w14:paraId="7BCD1A1D">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493A6046">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119.727934</w:t>
                  </w:r>
                </w:p>
              </w:tc>
              <w:tc>
                <w:tcPr>
                  <w:tcW w:w="956" w:type="pct"/>
                  <w:vAlign w:val="center"/>
                </w:tcPr>
                <w:p w14:paraId="76F17A64">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26.401881</w:t>
                  </w:r>
                </w:p>
              </w:tc>
              <w:tc>
                <w:tcPr>
                  <w:tcW w:w="1635" w:type="pct"/>
                  <w:vAlign w:val="center"/>
                </w:tcPr>
                <w:p w14:paraId="7507C33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w:t>
                  </w:r>
                </w:p>
              </w:tc>
            </w:tr>
            <w:tr w14:paraId="6FAE5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5EC645C2">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FZ1017</w:t>
                  </w:r>
                </w:p>
              </w:tc>
              <w:tc>
                <w:tcPr>
                  <w:tcW w:w="899" w:type="pct"/>
                  <w:vMerge w:val="continue"/>
                  <w:vAlign w:val="center"/>
                </w:tcPr>
                <w:p w14:paraId="69B6873A">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614CB82A">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119.728536</w:t>
                  </w:r>
                </w:p>
              </w:tc>
              <w:tc>
                <w:tcPr>
                  <w:tcW w:w="956" w:type="pct"/>
                  <w:vAlign w:val="center"/>
                </w:tcPr>
                <w:p w14:paraId="20ACA2C3">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26.384498</w:t>
                  </w:r>
                </w:p>
              </w:tc>
              <w:tc>
                <w:tcPr>
                  <w:tcW w:w="1635" w:type="pct"/>
                  <w:vAlign w:val="center"/>
                </w:tcPr>
                <w:p w14:paraId="04AECA4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168B6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7E773049">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FZ1018</w:t>
                  </w:r>
                </w:p>
              </w:tc>
              <w:tc>
                <w:tcPr>
                  <w:tcW w:w="899" w:type="pct"/>
                  <w:vMerge w:val="continue"/>
                  <w:vAlign w:val="center"/>
                </w:tcPr>
                <w:p w14:paraId="1157E999">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3292BC84">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119.728708</w:t>
                  </w:r>
                </w:p>
              </w:tc>
              <w:tc>
                <w:tcPr>
                  <w:tcW w:w="956" w:type="pct"/>
                  <w:vAlign w:val="center"/>
                </w:tcPr>
                <w:p w14:paraId="05E53D5A">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26.368574</w:t>
                  </w:r>
                </w:p>
              </w:tc>
              <w:tc>
                <w:tcPr>
                  <w:tcW w:w="1635" w:type="pct"/>
                  <w:vAlign w:val="center"/>
                </w:tcPr>
                <w:p w14:paraId="6120156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21490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0E3B2462">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FZ1019</w:t>
                  </w:r>
                </w:p>
              </w:tc>
              <w:tc>
                <w:tcPr>
                  <w:tcW w:w="899" w:type="pct"/>
                  <w:vMerge w:val="continue"/>
                  <w:vAlign w:val="center"/>
                </w:tcPr>
                <w:p w14:paraId="4BA86BD8">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30C0F20C">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119.754638</w:t>
                  </w:r>
                </w:p>
              </w:tc>
              <w:tc>
                <w:tcPr>
                  <w:tcW w:w="956" w:type="pct"/>
                  <w:vAlign w:val="center"/>
                </w:tcPr>
                <w:p w14:paraId="3F11F617">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26.380874</w:t>
                  </w:r>
                </w:p>
              </w:tc>
              <w:tc>
                <w:tcPr>
                  <w:tcW w:w="1635" w:type="pct"/>
                  <w:vAlign w:val="center"/>
                </w:tcPr>
                <w:p w14:paraId="3FA28E4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0AE14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470EF791">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FZ1020</w:t>
                  </w:r>
                </w:p>
              </w:tc>
              <w:tc>
                <w:tcPr>
                  <w:tcW w:w="899" w:type="pct"/>
                  <w:vMerge w:val="continue"/>
                  <w:vAlign w:val="center"/>
                </w:tcPr>
                <w:p w14:paraId="2FDA229C">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1A9B76E7">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119.790142</w:t>
                  </w:r>
                </w:p>
              </w:tc>
              <w:tc>
                <w:tcPr>
                  <w:tcW w:w="956" w:type="pct"/>
                  <w:vAlign w:val="center"/>
                </w:tcPr>
                <w:p w14:paraId="1F08F0A9">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26.408745</w:t>
                  </w:r>
                </w:p>
              </w:tc>
              <w:tc>
                <w:tcPr>
                  <w:tcW w:w="1635" w:type="pct"/>
                  <w:vAlign w:val="center"/>
                </w:tcPr>
                <w:p w14:paraId="62492FB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277D7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609" w:type="pct"/>
                  <w:vAlign w:val="center"/>
                </w:tcPr>
                <w:p w14:paraId="1C98B897">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FZ1021</w:t>
                  </w:r>
                </w:p>
              </w:tc>
              <w:tc>
                <w:tcPr>
                  <w:tcW w:w="899" w:type="pct"/>
                  <w:vMerge w:val="continue"/>
                  <w:vAlign w:val="center"/>
                </w:tcPr>
                <w:p w14:paraId="7E6533E8">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7FEDCC9A">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119.836526</w:t>
                  </w:r>
                </w:p>
              </w:tc>
              <w:tc>
                <w:tcPr>
                  <w:tcW w:w="956" w:type="pct"/>
                  <w:vAlign w:val="center"/>
                </w:tcPr>
                <w:p w14:paraId="6B4C8340">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26.485085</w:t>
                  </w:r>
                </w:p>
              </w:tc>
              <w:tc>
                <w:tcPr>
                  <w:tcW w:w="1635" w:type="pct"/>
                  <w:vAlign w:val="center"/>
                </w:tcPr>
                <w:p w14:paraId="762F6B8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w:t>
                  </w:r>
                </w:p>
              </w:tc>
            </w:tr>
            <w:tr w14:paraId="4BD4A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50010A5A">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FZ1022</w:t>
                  </w:r>
                </w:p>
              </w:tc>
              <w:tc>
                <w:tcPr>
                  <w:tcW w:w="899" w:type="pct"/>
                  <w:vMerge w:val="continue"/>
                  <w:vAlign w:val="center"/>
                </w:tcPr>
                <w:p w14:paraId="602D2E1F">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6EA62F7F">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119.856497</w:t>
                  </w:r>
                </w:p>
              </w:tc>
              <w:tc>
                <w:tcPr>
                  <w:tcW w:w="956" w:type="pct"/>
                  <w:vAlign w:val="center"/>
                </w:tcPr>
                <w:p w14:paraId="1738403F">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26.445768</w:t>
                  </w:r>
                </w:p>
              </w:tc>
              <w:tc>
                <w:tcPr>
                  <w:tcW w:w="1635" w:type="pct"/>
                  <w:vAlign w:val="center"/>
                </w:tcPr>
                <w:p w14:paraId="7A1A84D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水质、沉积物</w:t>
                  </w:r>
                </w:p>
              </w:tc>
            </w:tr>
            <w:tr w14:paraId="3D314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9" w:type="pct"/>
                  <w:vAlign w:val="center"/>
                </w:tcPr>
                <w:p w14:paraId="35BB065E">
                  <w:pPr>
                    <w:spacing w:line="240" w:lineRule="auto"/>
                    <w:ind w:firstLine="0" w:firstLineChars="0"/>
                    <w:jc w:val="center"/>
                    <w:textAlignment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lang w:bidi="ar"/>
                      <w14:textFill>
                        <w14:solidFill>
                          <w14:schemeClr w14:val="tx1"/>
                        </w14:solidFill>
                      </w14:textFill>
                    </w:rPr>
                    <w:t>FZ1023</w:t>
                  </w:r>
                </w:p>
              </w:tc>
              <w:tc>
                <w:tcPr>
                  <w:tcW w:w="899" w:type="pct"/>
                  <w:vMerge w:val="continue"/>
                  <w:vAlign w:val="center"/>
                </w:tcPr>
                <w:p w14:paraId="34281CE5">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p>
              </w:tc>
              <w:tc>
                <w:tcPr>
                  <w:tcW w:w="899" w:type="pct"/>
                  <w:vAlign w:val="center"/>
                </w:tcPr>
                <w:p w14:paraId="4C30539B">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r>
                    <w:rPr>
                      <w:rFonts w:cs="Times New Roman"/>
                      <w:color w:val="000000" w:themeColor="text1"/>
                      <w:sz w:val="21"/>
                      <w:szCs w:val="21"/>
                      <w:lang w:bidi="ar"/>
                      <w14:textFill>
                        <w14:solidFill>
                          <w14:schemeClr w14:val="tx1"/>
                        </w14:solidFill>
                      </w14:textFill>
                    </w:rPr>
                    <w:t>119.878866</w:t>
                  </w:r>
                </w:p>
              </w:tc>
              <w:tc>
                <w:tcPr>
                  <w:tcW w:w="956" w:type="pct"/>
                  <w:vAlign w:val="center"/>
                </w:tcPr>
                <w:p w14:paraId="4AF34B6D">
                  <w:pPr>
                    <w:spacing w:line="240" w:lineRule="auto"/>
                    <w:ind w:firstLine="0" w:firstLineChars="0"/>
                    <w:jc w:val="center"/>
                    <w:textAlignment w:val="center"/>
                    <w:rPr>
                      <w:rFonts w:cs="Times New Roman"/>
                      <w:color w:val="000000" w:themeColor="text1"/>
                      <w:sz w:val="21"/>
                      <w:szCs w:val="21"/>
                      <w:lang w:bidi="ar"/>
                      <w14:textFill>
                        <w14:solidFill>
                          <w14:schemeClr w14:val="tx1"/>
                        </w14:solidFill>
                      </w14:textFill>
                    </w:rPr>
                  </w:pPr>
                  <w:r>
                    <w:rPr>
                      <w:rFonts w:cs="Times New Roman"/>
                      <w:color w:val="000000" w:themeColor="text1"/>
                      <w:sz w:val="21"/>
                      <w:szCs w:val="21"/>
                      <w:lang w:bidi="ar"/>
                      <w14:textFill>
                        <w14:solidFill>
                          <w14:schemeClr w14:val="tx1"/>
                        </w14:solidFill>
                      </w14:textFill>
                    </w:rPr>
                    <w:t>26.410581</w:t>
                  </w:r>
                </w:p>
              </w:tc>
              <w:tc>
                <w:tcPr>
                  <w:tcW w:w="1635" w:type="pct"/>
                  <w:vAlign w:val="center"/>
                </w:tcPr>
                <w:p w14:paraId="6A95542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水质</w:t>
                  </w:r>
                </w:p>
              </w:tc>
            </w:tr>
          </w:tbl>
          <w:p w14:paraId="77F2D132">
            <w:pPr>
              <w:ind w:firstLine="480"/>
              <w:rPr>
                <w:rFonts w:cs="Times New Roman"/>
                <w:color w:val="000000" w:themeColor="text1"/>
                <w14:textFill>
                  <w14:solidFill>
                    <w14:schemeClr w14:val="tx1"/>
                  </w14:solidFill>
                </w14:textFill>
              </w:rPr>
            </w:pPr>
          </w:p>
          <w:p w14:paraId="66566C65">
            <w:pPr>
              <w:pStyle w:val="281"/>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107940" cy="3163570"/>
                  <wp:effectExtent l="0" t="0" r="0" b="0"/>
                  <wp:docPr id="11" name="图片 146" descr="4d59878b52569d0198c2b093ba7c6db"/>
                  <wp:cNvGraphicFramePr/>
                  <a:graphic xmlns:a="http://schemas.openxmlformats.org/drawingml/2006/main">
                    <a:graphicData uri="http://schemas.openxmlformats.org/drawingml/2006/picture">
                      <pic:pic xmlns:pic="http://schemas.openxmlformats.org/drawingml/2006/picture">
                        <pic:nvPicPr>
                          <pic:cNvPr id="11" name="图片 146" descr="4d59878b52569d0198c2b093ba7c6db"/>
                          <pic:cNvPicPr/>
                        </pic:nvPicPr>
                        <pic:blipFill>
                          <a:blip r:embed="rId22">
                            <a:extLst>
                              <a:ext uri="{28A0092B-C50C-407E-A947-70E740481C1C}">
                                <a14:useLocalDpi xmlns:a14="http://schemas.microsoft.com/office/drawing/2010/main" val="0"/>
                              </a:ext>
                            </a:extLst>
                          </a:blip>
                          <a:srcRect/>
                          <a:stretch>
                            <a:fillRect/>
                          </a:stretch>
                        </pic:blipFill>
                        <pic:spPr>
                          <a:xfrm>
                            <a:off x="0" y="0"/>
                            <a:ext cx="5107940" cy="3163570"/>
                          </a:xfrm>
                          <a:prstGeom prst="rect">
                            <a:avLst/>
                          </a:prstGeom>
                          <a:noFill/>
                          <a:ln>
                            <a:noFill/>
                          </a:ln>
                        </pic:spPr>
                      </pic:pic>
                    </a:graphicData>
                  </a:graphic>
                </wp:inline>
              </w:drawing>
            </w:r>
          </w:p>
          <w:p w14:paraId="41F1C1C4">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2023年9月海洋环境现状调查站位图</w:t>
            </w:r>
          </w:p>
          <w:p w14:paraId="41761D7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（3）监测方法</w:t>
            </w:r>
          </w:p>
          <w:p w14:paraId="4659C4A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样品采集、贮存和运输方法及海水化学要素监测分析方法均严格按照《海洋监测规范》（GB 17378-2007）和《海洋调查规范》（GB 12763-2007）的有关要求进行。</w:t>
            </w:r>
          </w:p>
          <w:p w14:paraId="7825D0D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评价标准：根据《福建省近岸海域环境功能区划（修编）》（2008-2020年），FZ1001、FZ1004、FZ1013-FZ1015、FZ1018、FZ1019站位海水水质执行《海水水质标准》（GB3097-1997）中的第三类标准；FZ1021、FZ1022站位海水水质执行《海水水质标准》（GB3097-1997）中的第一类标准；其余站位海水水质执行《海水水质标准》（GB3097-1997）中的第二类标准。沉积物</w:t>
            </w:r>
            <w:r>
              <w:rPr>
                <w:rFonts w:cs="Times New Roman"/>
                <w:color w:val="000000" w:themeColor="text1"/>
                <w:lang w:val="zh-CN"/>
                <w14:textFill>
                  <w14:solidFill>
                    <w14:schemeClr w14:val="tx1"/>
                  </w14:solidFill>
                </w14:textFill>
              </w:rPr>
              <w:t>执行《海洋沉积物质量》(GB18668-2002)中第二类标准。具体标准</w:t>
            </w:r>
            <w:r>
              <w:rPr>
                <w:rFonts w:cs="Times New Roman"/>
                <w:color w:val="000000" w:themeColor="text1"/>
                <w14:textFill>
                  <w14:solidFill>
                    <w14:schemeClr w14:val="tx1"/>
                  </w14:solidFill>
                </w14:textFill>
              </w:rPr>
              <w:t>见下表。</w:t>
            </w:r>
          </w:p>
          <w:p w14:paraId="45275756">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海水水质标准 单位：mg/L</w:t>
            </w:r>
          </w:p>
          <w:tbl>
            <w:tblPr>
              <w:tblStyle w:val="46"/>
              <w:tblW w:w="8491" w:type="dxa"/>
              <w:tblInd w:w="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27"/>
              <w:gridCol w:w="1668"/>
              <w:gridCol w:w="1821"/>
              <w:gridCol w:w="1585"/>
              <w:gridCol w:w="1403"/>
              <w:gridCol w:w="1487"/>
            </w:tblGrid>
            <w:tr w14:paraId="2EC79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527" w:type="dxa"/>
                  <w:vAlign w:val="center"/>
                </w:tcPr>
                <w:p w14:paraId="12C9777E">
                  <w:pPr>
                    <w:pStyle w:val="9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668" w:type="dxa"/>
                  <w:vAlign w:val="center"/>
                </w:tcPr>
                <w:p w14:paraId="44EBEB72">
                  <w:pPr>
                    <w:pStyle w:val="9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821" w:type="dxa"/>
                  <w:vAlign w:val="center"/>
                </w:tcPr>
                <w:p w14:paraId="5F2A5B27">
                  <w:pPr>
                    <w:pStyle w:val="90"/>
                    <w:rPr>
                      <w:color w:val="000000" w:themeColor="text1"/>
                      <w14:textFill>
                        <w14:solidFill>
                          <w14:schemeClr w14:val="tx1"/>
                        </w14:solidFill>
                      </w14:textFill>
                    </w:rPr>
                  </w:pPr>
                  <w:r>
                    <w:rPr>
                      <w:color w:val="000000" w:themeColor="text1"/>
                      <w14:textFill>
                        <w14:solidFill>
                          <w14:schemeClr w14:val="tx1"/>
                        </w14:solidFill>
                      </w14:textFill>
                    </w:rPr>
                    <w:t>第一类</w:t>
                  </w:r>
                </w:p>
              </w:tc>
              <w:tc>
                <w:tcPr>
                  <w:tcW w:w="1585" w:type="dxa"/>
                  <w:vAlign w:val="center"/>
                </w:tcPr>
                <w:p w14:paraId="4EF585CE">
                  <w:pPr>
                    <w:pStyle w:val="90"/>
                    <w:rPr>
                      <w:color w:val="000000" w:themeColor="text1"/>
                      <w14:textFill>
                        <w14:solidFill>
                          <w14:schemeClr w14:val="tx1"/>
                        </w14:solidFill>
                      </w14:textFill>
                    </w:rPr>
                  </w:pPr>
                  <w:r>
                    <w:rPr>
                      <w:color w:val="000000" w:themeColor="text1"/>
                      <w14:textFill>
                        <w14:solidFill>
                          <w14:schemeClr w14:val="tx1"/>
                        </w14:solidFill>
                      </w14:textFill>
                    </w:rPr>
                    <w:t>第二类</w:t>
                  </w:r>
                </w:p>
              </w:tc>
              <w:tc>
                <w:tcPr>
                  <w:tcW w:w="1403" w:type="dxa"/>
                  <w:vAlign w:val="center"/>
                </w:tcPr>
                <w:p w14:paraId="288355DB">
                  <w:pPr>
                    <w:pStyle w:val="90"/>
                    <w:rPr>
                      <w:color w:val="000000" w:themeColor="text1"/>
                      <w14:textFill>
                        <w14:solidFill>
                          <w14:schemeClr w14:val="tx1"/>
                        </w14:solidFill>
                      </w14:textFill>
                    </w:rPr>
                  </w:pPr>
                  <w:r>
                    <w:rPr>
                      <w:color w:val="000000" w:themeColor="text1"/>
                      <w14:textFill>
                        <w14:solidFill>
                          <w14:schemeClr w14:val="tx1"/>
                        </w14:solidFill>
                      </w14:textFill>
                    </w:rPr>
                    <w:t>三类</w:t>
                  </w:r>
                </w:p>
              </w:tc>
              <w:tc>
                <w:tcPr>
                  <w:tcW w:w="1487" w:type="dxa"/>
                  <w:vAlign w:val="center"/>
                </w:tcPr>
                <w:p w14:paraId="4BEDF96E">
                  <w:pPr>
                    <w:pStyle w:val="90"/>
                    <w:rPr>
                      <w:color w:val="000000" w:themeColor="text1"/>
                      <w14:textFill>
                        <w14:solidFill>
                          <w14:schemeClr w14:val="tx1"/>
                        </w14:solidFill>
                      </w14:textFill>
                    </w:rPr>
                  </w:pPr>
                  <w:r>
                    <w:rPr>
                      <w:color w:val="000000" w:themeColor="text1"/>
                      <w14:textFill>
                        <w14:solidFill>
                          <w14:schemeClr w14:val="tx1"/>
                        </w14:solidFill>
                      </w14:textFill>
                    </w:rPr>
                    <w:t>第四类</w:t>
                  </w:r>
                </w:p>
              </w:tc>
            </w:tr>
            <w:tr w14:paraId="0DD98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7F6AAB8E">
                  <w:pPr>
                    <w:pStyle w:val="9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668" w:type="dxa"/>
                  <w:vAlign w:val="center"/>
                </w:tcPr>
                <w:p w14:paraId="16798F0D">
                  <w:pPr>
                    <w:pStyle w:val="90"/>
                    <w:rPr>
                      <w:color w:val="000000" w:themeColor="text1"/>
                      <w14:textFill>
                        <w14:solidFill>
                          <w14:schemeClr w14:val="tx1"/>
                        </w14:solidFill>
                      </w14:textFill>
                    </w:rPr>
                  </w:pPr>
                  <w:r>
                    <w:rPr>
                      <w:color w:val="000000" w:themeColor="text1"/>
                      <w14:textFill>
                        <w14:solidFill>
                          <w14:schemeClr w14:val="tx1"/>
                        </w14:solidFill>
                      </w14:textFill>
                    </w:rPr>
                    <w:t>水温</w:t>
                  </w:r>
                </w:p>
              </w:tc>
              <w:tc>
                <w:tcPr>
                  <w:tcW w:w="3406" w:type="dxa"/>
                  <w:gridSpan w:val="2"/>
                  <w:vAlign w:val="center"/>
                </w:tcPr>
                <w:p w14:paraId="48DAA6B3">
                  <w:pPr>
                    <w:pStyle w:val="90"/>
                    <w:rPr>
                      <w:color w:val="000000" w:themeColor="text1"/>
                      <w14:textFill>
                        <w14:solidFill>
                          <w14:schemeClr w14:val="tx1"/>
                        </w14:solidFill>
                      </w14:textFill>
                    </w:rPr>
                  </w:pPr>
                  <w:r>
                    <w:rPr>
                      <w:color w:val="000000" w:themeColor="text1"/>
                      <w14:textFill>
                        <w14:solidFill>
                          <w14:schemeClr w14:val="tx1"/>
                        </w14:solidFill>
                      </w14:textFill>
                    </w:rPr>
                    <w:t>人为造成的海水温升夏季不超过当时当地1℃，其他季节不超过2℃</w:t>
                  </w:r>
                </w:p>
              </w:tc>
              <w:tc>
                <w:tcPr>
                  <w:tcW w:w="2890" w:type="dxa"/>
                  <w:gridSpan w:val="2"/>
                  <w:vAlign w:val="center"/>
                </w:tcPr>
                <w:p w14:paraId="3F8F5794">
                  <w:pPr>
                    <w:pStyle w:val="90"/>
                    <w:rPr>
                      <w:color w:val="000000" w:themeColor="text1"/>
                      <w14:textFill>
                        <w14:solidFill>
                          <w14:schemeClr w14:val="tx1"/>
                        </w14:solidFill>
                      </w14:textFill>
                    </w:rPr>
                  </w:pPr>
                  <w:r>
                    <w:rPr>
                      <w:color w:val="000000" w:themeColor="text1"/>
                      <w14:textFill>
                        <w14:solidFill>
                          <w14:schemeClr w14:val="tx1"/>
                        </w14:solidFill>
                      </w14:textFill>
                    </w:rPr>
                    <w:t>人为造成的海水温升不超过当时当地4℃</w:t>
                  </w:r>
                </w:p>
              </w:tc>
            </w:tr>
            <w:tr w14:paraId="4A139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4C86D14C">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668" w:type="dxa"/>
                  <w:vAlign w:val="center"/>
                </w:tcPr>
                <w:p w14:paraId="32E2BE48">
                  <w:pPr>
                    <w:pStyle w:val="90"/>
                    <w:rPr>
                      <w:color w:val="000000" w:themeColor="text1"/>
                      <w14:textFill>
                        <w14:solidFill>
                          <w14:schemeClr w14:val="tx1"/>
                        </w14:solidFill>
                      </w14:textFill>
                    </w:rPr>
                  </w:pPr>
                  <w:r>
                    <w:rPr>
                      <w:color w:val="000000" w:themeColor="text1"/>
                      <w14:textFill>
                        <w14:solidFill>
                          <w14:schemeClr w14:val="tx1"/>
                        </w14:solidFill>
                      </w14:textFill>
                    </w:rPr>
                    <w:t>pH</w:t>
                  </w:r>
                </w:p>
              </w:tc>
              <w:tc>
                <w:tcPr>
                  <w:tcW w:w="3406" w:type="dxa"/>
                  <w:gridSpan w:val="2"/>
                  <w:vAlign w:val="center"/>
                </w:tcPr>
                <w:p w14:paraId="494067D3">
                  <w:pPr>
                    <w:pStyle w:val="90"/>
                    <w:rPr>
                      <w:color w:val="000000" w:themeColor="text1"/>
                      <w14:textFill>
                        <w14:solidFill>
                          <w14:schemeClr w14:val="tx1"/>
                        </w14:solidFill>
                      </w14:textFill>
                    </w:rPr>
                  </w:pPr>
                  <w:r>
                    <w:rPr>
                      <w:color w:val="000000" w:themeColor="text1"/>
                      <w14:textFill>
                        <w14:solidFill>
                          <w14:schemeClr w14:val="tx1"/>
                        </w14:solidFill>
                      </w14:textFill>
                    </w:rPr>
                    <w:t>7.8～8.5，同时不超过海域正常变动范围的0.2pH单位</w:t>
                  </w:r>
                </w:p>
              </w:tc>
              <w:tc>
                <w:tcPr>
                  <w:tcW w:w="2890" w:type="dxa"/>
                  <w:gridSpan w:val="2"/>
                  <w:vAlign w:val="center"/>
                </w:tcPr>
                <w:p w14:paraId="101EBEB8">
                  <w:pPr>
                    <w:pStyle w:val="90"/>
                    <w:rPr>
                      <w:color w:val="000000" w:themeColor="text1"/>
                      <w14:textFill>
                        <w14:solidFill>
                          <w14:schemeClr w14:val="tx1"/>
                        </w14:solidFill>
                      </w14:textFill>
                    </w:rPr>
                  </w:pPr>
                  <w:r>
                    <w:rPr>
                      <w:color w:val="000000" w:themeColor="text1"/>
                      <w14:textFill>
                        <w14:solidFill>
                          <w14:schemeClr w14:val="tx1"/>
                        </w14:solidFill>
                      </w14:textFill>
                    </w:rPr>
                    <w:t>6.8～8.8，同时不超过海域正常变动范围的0.5pH单位</w:t>
                  </w:r>
                </w:p>
              </w:tc>
            </w:tr>
            <w:tr w14:paraId="26F8B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71981B8E">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668" w:type="dxa"/>
                  <w:vAlign w:val="center"/>
                </w:tcPr>
                <w:p w14:paraId="4C7C142F">
                  <w:pPr>
                    <w:pStyle w:val="90"/>
                    <w:rPr>
                      <w:color w:val="000000" w:themeColor="text1"/>
                      <w14:textFill>
                        <w14:solidFill>
                          <w14:schemeClr w14:val="tx1"/>
                        </w14:solidFill>
                      </w14:textFill>
                    </w:rPr>
                  </w:pPr>
                  <w:r>
                    <w:rPr>
                      <w:color w:val="000000" w:themeColor="text1"/>
                      <w14:textFill>
                        <w14:solidFill>
                          <w14:schemeClr w14:val="tx1"/>
                        </w14:solidFill>
                      </w14:textFill>
                    </w:rPr>
                    <w:t>悬浮物质</w:t>
                  </w:r>
                </w:p>
              </w:tc>
              <w:tc>
                <w:tcPr>
                  <w:tcW w:w="3406" w:type="dxa"/>
                  <w:gridSpan w:val="2"/>
                  <w:vAlign w:val="center"/>
                </w:tcPr>
                <w:p w14:paraId="42507021">
                  <w:pPr>
                    <w:pStyle w:val="90"/>
                    <w:rPr>
                      <w:color w:val="000000" w:themeColor="text1"/>
                      <w14:textFill>
                        <w14:solidFill>
                          <w14:schemeClr w14:val="tx1"/>
                        </w14:solidFill>
                      </w14:textFill>
                    </w:rPr>
                  </w:pPr>
                  <w:r>
                    <w:rPr>
                      <w:color w:val="000000" w:themeColor="text1"/>
                      <w14:textFill>
                        <w14:solidFill>
                          <w14:schemeClr w14:val="tx1"/>
                        </w14:solidFill>
                      </w14:textFill>
                    </w:rPr>
                    <w:t>人为增加的量</w:t>
                  </w:r>
                </w:p>
                <w:p w14:paraId="6B6D5C0B">
                  <w:pPr>
                    <w:pStyle w:val="9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403" w:type="dxa"/>
                  <w:vAlign w:val="center"/>
                </w:tcPr>
                <w:p w14:paraId="201871F9">
                  <w:pPr>
                    <w:pStyle w:val="90"/>
                    <w:rPr>
                      <w:color w:val="000000" w:themeColor="text1"/>
                      <w14:textFill>
                        <w14:solidFill>
                          <w14:schemeClr w14:val="tx1"/>
                        </w14:solidFill>
                      </w14:textFill>
                    </w:rPr>
                  </w:pPr>
                  <w:r>
                    <w:rPr>
                      <w:color w:val="000000" w:themeColor="text1"/>
                      <w14:textFill>
                        <w14:solidFill>
                          <w14:schemeClr w14:val="tx1"/>
                        </w14:solidFill>
                      </w14:textFill>
                    </w:rPr>
                    <w:t>人为增加的量</w:t>
                  </w:r>
                </w:p>
                <w:p w14:paraId="1FC184C1">
                  <w:pPr>
                    <w:pStyle w:val="90"/>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487" w:type="dxa"/>
                  <w:vAlign w:val="center"/>
                </w:tcPr>
                <w:p w14:paraId="16C48288">
                  <w:pPr>
                    <w:pStyle w:val="90"/>
                    <w:rPr>
                      <w:color w:val="000000" w:themeColor="text1"/>
                      <w14:textFill>
                        <w14:solidFill>
                          <w14:schemeClr w14:val="tx1"/>
                        </w14:solidFill>
                      </w14:textFill>
                    </w:rPr>
                  </w:pPr>
                  <w:r>
                    <w:rPr>
                      <w:color w:val="000000" w:themeColor="text1"/>
                      <w14:textFill>
                        <w14:solidFill>
                          <w14:schemeClr w14:val="tx1"/>
                        </w14:solidFill>
                      </w14:textFill>
                    </w:rPr>
                    <w:t>人为增加的量</w:t>
                  </w:r>
                </w:p>
                <w:p w14:paraId="20270780">
                  <w:pPr>
                    <w:pStyle w:val="90"/>
                    <w:rPr>
                      <w:color w:val="000000" w:themeColor="text1"/>
                      <w14:textFill>
                        <w14:solidFill>
                          <w14:schemeClr w14:val="tx1"/>
                        </w14:solidFill>
                      </w14:textFill>
                    </w:rPr>
                  </w:pPr>
                  <w:r>
                    <w:rPr>
                      <w:color w:val="000000" w:themeColor="text1"/>
                      <w14:textFill>
                        <w14:solidFill>
                          <w14:schemeClr w14:val="tx1"/>
                        </w14:solidFill>
                      </w14:textFill>
                    </w:rPr>
                    <w:t>≤150</w:t>
                  </w:r>
                </w:p>
              </w:tc>
            </w:tr>
            <w:tr w14:paraId="1609C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17B42D6E">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668" w:type="dxa"/>
                  <w:vAlign w:val="center"/>
                </w:tcPr>
                <w:p w14:paraId="41E33645">
                  <w:pPr>
                    <w:pStyle w:val="90"/>
                    <w:rPr>
                      <w:color w:val="000000" w:themeColor="text1"/>
                      <w14:textFill>
                        <w14:solidFill>
                          <w14:schemeClr w14:val="tx1"/>
                        </w14:solidFill>
                      </w14:textFill>
                    </w:rPr>
                  </w:pPr>
                  <w:r>
                    <w:rPr>
                      <w:color w:val="000000" w:themeColor="text1"/>
                      <w14:textFill>
                        <w14:solidFill>
                          <w14:schemeClr w14:val="tx1"/>
                        </w14:solidFill>
                      </w14:textFill>
                    </w:rPr>
                    <w:t>溶解氧＞</w:t>
                  </w:r>
                </w:p>
              </w:tc>
              <w:tc>
                <w:tcPr>
                  <w:tcW w:w="1821" w:type="dxa"/>
                  <w:vAlign w:val="center"/>
                </w:tcPr>
                <w:p w14:paraId="09A1F02E">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585" w:type="dxa"/>
                  <w:vAlign w:val="center"/>
                </w:tcPr>
                <w:p w14:paraId="785FFCFA">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403" w:type="dxa"/>
                  <w:vAlign w:val="center"/>
                </w:tcPr>
                <w:p w14:paraId="1E97E8C9">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87" w:type="dxa"/>
                  <w:vAlign w:val="center"/>
                </w:tcPr>
                <w:p w14:paraId="6BC335BB">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r>
            <w:tr w14:paraId="71071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2EE6A074">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668" w:type="dxa"/>
                  <w:vAlign w:val="center"/>
                </w:tcPr>
                <w:p w14:paraId="7190ECA3">
                  <w:pPr>
                    <w:pStyle w:val="90"/>
                    <w:rPr>
                      <w:color w:val="000000" w:themeColor="text1"/>
                      <w14:textFill>
                        <w14:solidFill>
                          <w14:schemeClr w14:val="tx1"/>
                        </w14:solidFill>
                      </w14:textFill>
                    </w:rPr>
                  </w:pPr>
                  <w:r>
                    <w:rPr>
                      <w:color w:val="000000" w:themeColor="text1"/>
                      <w14:textFill>
                        <w14:solidFill>
                          <w14:schemeClr w14:val="tx1"/>
                        </w14:solidFill>
                      </w14:textFill>
                    </w:rPr>
                    <w:t>化学需氧量（COD）≤</w:t>
                  </w:r>
                </w:p>
              </w:tc>
              <w:tc>
                <w:tcPr>
                  <w:tcW w:w="1821" w:type="dxa"/>
                  <w:vAlign w:val="center"/>
                </w:tcPr>
                <w:p w14:paraId="777ACA81">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585" w:type="dxa"/>
                  <w:vAlign w:val="center"/>
                </w:tcPr>
                <w:p w14:paraId="601D3AF9">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03" w:type="dxa"/>
                  <w:vAlign w:val="center"/>
                </w:tcPr>
                <w:p w14:paraId="51B21E97">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87" w:type="dxa"/>
                  <w:vAlign w:val="center"/>
                </w:tcPr>
                <w:p w14:paraId="604DD1C5">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r>
            <w:tr w14:paraId="04DE8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5CAF00CA">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668" w:type="dxa"/>
                  <w:vAlign w:val="center"/>
                </w:tcPr>
                <w:p w14:paraId="0970C1AE">
                  <w:pPr>
                    <w:pStyle w:val="90"/>
                    <w:rPr>
                      <w:color w:val="000000" w:themeColor="text1"/>
                      <w14:textFill>
                        <w14:solidFill>
                          <w14:schemeClr w14:val="tx1"/>
                        </w14:solidFill>
                      </w14:textFill>
                    </w:rPr>
                  </w:pPr>
                  <w:r>
                    <w:rPr>
                      <w:color w:val="000000" w:themeColor="text1"/>
                      <w14:textFill>
                        <w14:solidFill>
                          <w14:schemeClr w14:val="tx1"/>
                        </w14:solidFill>
                      </w14:textFill>
                    </w:rPr>
                    <w:t>无机氮（以N计）≤</w:t>
                  </w:r>
                </w:p>
              </w:tc>
              <w:tc>
                <w:tcPr>
                  <w:tcW w:w="1821" w:type="dxa"/>
                  <w:vAlign w:val="center"/>
                </w:tcPr>
                <w:p w14:paraId="7D3356C2">
                  <w:pPr>
                    <w:pStyle w:val="90"/>
                    <w:rPr>
                      <w:color w:val="000000" w:themeColor="text1"/>
                      <w14:textFill>
                        <w14:solidFill>
                          <w14:schemeClr w14:val="tx1"/>
                        </w14:solidFill>
                      </w14:textFill>
                    </w:rPr>
                  </w:pPr>
                  <w:r>
                    <w:rPr>
                      <w:color w:val="000000" w:themeColor="text1"/>
                      <w14:textFill>
                        <w14:solidFill>
                          <w14:schemeClr w14:val="tx1"/>
                        </w14:solidFill>
                      </w14:textFill>
                    </w:rPr>
                    <w:t>0.20</w:t>
                  </w:r>
                </w:p>
              </w:tc>
              <w:tc>
                <w:tcPr>
                  <w:tcW w:w="1585" w:type="dxa"/>
                  <w:vAlign w:val="center"/>
                </w:tcPr>
                <w:p w14:paraId="1C8DE30E">
                  <w:pPr>
                    <w:pStyle w:val="90"/>
                    <w:rPr>
                      <w:color w:val="000000" w:themeColor="text1"/>
                      <w14:textFill>
                        <w14:solidFill>
                          <w14:schemeClr w14:val="tx1"/>
                        </w14:solidFill>
                      </w14:textFill>
                    </w:rPr>
                  </w:pPr>
                  <w:r>
                    <w:rPr>
                      <w:color w:val="000000" w:themeColor="text1"/>
                      <w14:textFill>
                        <w14:solidFill>
                          <w14:schemeClr w14:val="tx1"/>
                        </w14:solidFill>
                      </w14:textFill>
                    </w:rPr>
                    <w:t>0.30</w:t>
                  </w:r>
                </w:p>
              </w:tc>
              <w:tc>
                <w:tcPr>
                  <w:tcW w:w="1403" w:type="dxa"/>
                  <w:vAlign w:val="center"/>
                </w:tcPr>
                <w:p w14:paraId="0572B35E">
                  <w:pPr>
                    <w:pStyle w:val="90"/>
                    <w:rPr>
                      <w:color w:val="000000" w:themeColor="text1"/>
                      <w14:textFill>
                        <w14:solidFill>
                          <w14:schemeClr w14:val="tx1"/>
                        </w14:solidFill>
                      </w14:textFill>
                    </w:rPr>
                  </w:pPr>
                  <w:r>
                    <w:rPr>
                      <w:color w:val="000000" w:themeColor="text1"/>
                      <w14:textFill>
                        <w14:solidFill>
                          <w14:schemeClr w14:val="tx1"/>
                        </w14:solidFill>
                      </w14:textFill>
                    </w:rPr>
                    <w:t>0.40</w:t>
                  </w:r>
                </w:p>
              </w:tc>
              <w:tc>
                <w:tcPr>
                  <w:tcW w:w="1487" w:type="dxa"/>
                  <w:vAlign w:val="center"/>
                </w:tcPr>
                <w:p w14:paraId="5232E5AA">
                  <w:pPr>
                    <w:pStyle w:val="90"/>
                    <w:rPr>
                      <w:color w:val="000000" w:themeColor="text1"/>
                      <w14:textFill>
                        <w14:solidFill>
                          <w14:schemeClr w14:val="tx1"/>
                        </w14:solidFill>
                      </w14:textFill>
                    </w:rPr>
                  </w:pPr>
                  <w:r>
                    <w:rPr>
                      <w:color w:val="000000" w:themeColor="text1"/>
                      <w14:textFill>
                        <w14:solidFill>
                          <w14:schemeClr w14:val="tx1"/>
                        </w14:solidFill>
                      </w14:textFill>
                    </w:rPr>
                    <w:t>0.50</w:t>
                  </w:r>
                </w:p>
              </w:tc>
            </w:tr>
            <w:tr w14:paraId="7C360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7485F3D3">
                  <w:pPr>
                    <w:pStyle w:val="90"/>
                    <w:rPr>
                      <w:color w:val="000000" w:themeColor="text1"/>
                      <w14:textFill>
                        <w14:solidFill>
                          <w14:schemeClr w14:val="tx1"/>
                        </w14:solidFill>
                      </w14:textFill>
                    </w:rPr>
                  </w:pPr>
                  <w:r>
                    <w:rPr>
                      <w:color w:val="000000" w:themeColor="text1"/>
                      <w14:textFill>
                        <w14:solidFill>
                          <w14:schemeClr w14:val="tx1"/>
                        </w14:solidFill>
                      </w14:textFill>
                    </w:rPr>
                    <w:t>7</w:t>
                  </w:r>
                </w:p>
              </w:tc>
              <w:tc>
                <w:tcPr>
                  <w:tcW w:w="1668" w:type="dxa"/>
                  <w:vAlign w:val="center"/>
                </w:tcPr>
                <w:p w14:paraId="5C9DF81F">
                  <w:pPr>
                    <w:pStyle w:val="90"/>
                    <w:rPr>
                      <w:color w:val="000000" w:themeColor="text1"/>
                      <w14:textFill>
                        <w14:solidFill>
                          <w14:schemeClr w14:val="tx1"/>
                        </w14:solidFill>
                      </w14:textFill>
                    </w:rPr>
                  </w:pPr>
                  <w:r>
                    <w:rPr>
                      <w:color w:val="000000" w:themeColor="text1"/>
                      <w14:textFill>
                        <w14:solidFill>
                          <w14:schemeClr w14:val="tx1"/>
                        </w14:solidFill>
                      </w14:textFill>
                    </w:rPr>
                    <w:t>活性磷酸盐（以P计）≤</w:t>
                  </w:r>
                </w:p>
              </w:tc>
              <w:tc>
                <w:tcPr>
                  <w:tcW w:w="1821" w:type="dxa"/>
                  <w:vAlign w:val="center"/>
                </w:tcPr>
                <w:p w14:paraId="3E2939BA">
                  <w:pPr>
                    <w:pStyle w:val="90"/>
                    <w:rPr>
                      <w:color w:val="000000" w:themeColor="text1"/>
                      <w14:textFill>
                        <w14:solidFill>
                          <w14:schemeClr w14:val="tx1"/>
                        </w14:solidFill>
                      </w14:textFill>
                    </w:rPr>
                  </w:pPr>
                  <w:r>
                    <w:rPr>
                      <w:color w:val="000000" w:themeColor="text1"/>
                      <w14:textFill>
                        <w14:solidFill>
                          <w14:schemeClr w14:val="tx1"/>
                        </w14:solidFill>
                      </w14:textFill>
                    </w:rPr>
                    <w:t>0.015</w:t>
                  </w:r>
                </w:p>
              </w:tc>
              <w:tc>
                <w:tcPr>
                  <w:tcW w:w="2988" w:type="dxa"/>
                  <w:gridSpan w:val="2"/>
                  <w:vAlign w:val="center"/>
                </w:tcPr>
                <w:p w14:paraId="3662DB48">
                  <w:pPr>
                    <w:pStyle w:val="90"/>
                    <w:rPr>
                      <w:color w:val="000000" w:themeColor="text1"/>
                      <w14:textFill>
                        <w14:solidFill>
                          <w14:schemeClr w14:val="tx1"/>
                        </w14:solidFill>
                      </w14:textFill>
                    </w:rPr>
                  </w:pPr>
                  <w:r>
                    <w:rPr>
                      <w:color w:val="000000" w:themeColor="text1"/>
                      <w14:textFill>
                        <w14:solidFill>
                          <w14:schemeClr w14:val="tx1"/>
                        </w14:solidFill>
                      </w14:textFill>
                    </w:rPr>
                    <w:t>0.030</w:t>
                  </w:r>
                </w:p>
              </w:tc>
              <w:tc>
                <w:tcPr>
                  <w:tcW w:w="1487" w:type="dxa"/>
                  <w:vAlign w:val="center"/>
                </w:tcPr>
                <w:p w14:paraId="2C95D656">
                  <w:pPr>
                    <w:pStyle w:val="90"/>
                    <w:rPr>
                      <w:color w:val="000000" w:themeColor="text1"/>
                      <w14:textFill>
                        <w14:solidFill>
                          <w14:schemeClr w14:val="tx1"/>
                        </w14:solidFill>
                      </w14:textFill>
                    </w:rPr>
                  </w:pPr>
                  <w:r>
                    <w:rPr>
                      <w:color w:val="000000" w:themeColor="text1"/>
                      <w14:textFill>
                        <w14:solidFill>
                          <w14:schemeClr w14:val="tx1"/>
                        </w14:solidFill>
                      </w14:textFill>
                    </w:rPr>
                    <w:t>0.045</w:t>
                  </w:r>
                </w:p>
              </w:tc>
            </w:tr>
            <w:tr w14:paraId="33935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6037E753">
                  <w:pPr>
                    <w:pStyle w:val="90"/>
                    <w:rPr>
                      <w:color w:val="000000" w:themeColor="text1"/>
                      <w14:textFill>
                        <w14:solidFill>
                          <w14:schemeClr w14:val="tx1"/>
                        </w14:solidFill>
                      </w14:textFill>
                    </w:rPr>
                  </w:pPr>
                  <w:r>
                    <w:rPr>
                      <w:color w:val="000000" w:themeColor="text1"/>
                      <w14:textFill>
                        <w14:solidFill>
                          <w14:schemeClr w14:val="tx1"/>
                        </w14:solidFill>
                      </w14:textFill>
                    </w:rPr>
                    <w:t>8</w:t>
                  </w:r>
                </w:p>
              </w:tc>
              <w:tc>
                <w:tcPr>
                  <w:tcW w:w="1668" w:type="dxa"/>
                  <w:vAlign w:val="center"/>
                </w:tcPr>
                <w:p w14:paraId="2CC27D56">
                  <w:pPr>
                    <w:pStyle w:val="90"/>
                    <w:rPr>
                      <w:color w:val="000000" w:themeColor="text1"/>
                      <w14:textFill>
                        <w14:solidFill>
                          <w14:schemeClr w14:val="tx1"/>
                        </w14:solidFill>
                      </w14:textFill>
                    </w:rPr>
                  </w:pPr>
                  <w:r>
                    <w:rPr>
                      <w:color w:val="000000" w:themeColor="text1"/>
                      <w14:textFill>
                        <w14:solidFill>
                          <w14:schemeClr w14:val="tx1"/>
                        </w14:solidFill>
                      </w14:textFill>
                    </w:rPr>
                    <w:t>石油类 ≤</w:t>
                  </w:r>
                </w:p>
              </w:tc>
              <w:tc>
                <w:tcPr>
                  <w:tcW w:w="3406" w:type="dxa"/>
                  <w:gridSpan w:val="2"/>
                  <w:vAlign w:val="center"/>
                </w:tcPr>
                <w:p w14:paraId="2BDEA477">
                  <w:pPr>
                    <w:pStyle w:val="90"/>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403" w:type="dxa"/>
                  <w:vAlign w:val="center"/>
                </w:tcPr>
                <w:p w14:paraId="5F9D01AE">
                  <w:pPr>
                    <w:pStyle w:val="90"/>
                    <w:rPr>
                      <w:color w:val="000000" w:themeColor="text1"/>
                      <w14:textFill>
                        <w14:solidFill>
                          <w14:schemeClr w14:val="tx1"/>
                        </w14:solidFill>
                      </w14:textFill>
                    </w:rPr>
                  </w:pPr>
                  <w:r>
                    <w:rPr>
                      <w:color w:val="000000" w:themeColor="text1"/>
                      <w14:textFill>
                        <w14:solidFill>
                          <w14:schemeClr w14:val="tx1"/>
                        </w14:solidFill>
                      </w14:textFill>
                    </w:rPr>
                    <w:t>0.30</w:t>
                  </w:r>
                </w:p>
              </w:tc>
              <w:tc>
                <w:tcPr>
                  <w:tcW w:w="1487" w:type="dxa"/>
                  <w:vAlign w:val="center"/>
                </w:tcPr>
                <w:p w14:paraId="6351219E">
                  <w:pPr>
                    <w:pStyle w:val="90"/>
                    <w:rPr>
                      <w:color w:val="000000" w:themeColor="text1"/>
                      <w14:textFill>
                        <w14:solidFill>
                          <w14:schemeClr w14:val="tx1"/>
                        </w14:solidFill>
                      </w14:textFill>
                    </w:rPr>
                  </w:pPr>
                  <w:r>
                    <w:rPr>
                      <w:color w:val="000000" w:themeColor="text1"/>
                      <w14:textFill>
                        <w14:solidFill>
                          <w14:schemeClr w14:val="tx1"/>
                        </w14:solidFill>
                      </w14:textFill>
                    </w:rPr>
                    <w:t>0.50</w:t>
                  </w:r>
                </w:p>
              </w:tc>
            </w:tr>
            <w:tr w14:paraId="1C820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2CB1F6B3">
                  <w:pPr>
                    <w:pStyle w:val="90"/>
                    <w:rPr>
                      <w:color w:val="000000" w:themeColor="text1"/>
                      <w14:textFill>
                        <w14:solidFill>
                          <w14:schemeClr w14:val="tx1"/>
                        </w14:solidFill>
                      </w14:textFill>
                    </w:rPr>
                  </w:pPr>
                  <w:r>
                    <w:rPr>
                      <w:color w:val="000000" w:themeColor="text1"/>
                      <w14:textFill>
                        <w14:solidFill>
                          <w14:schemeClr w14:val="tx1"/>
                        </w14:solidFill>
                      </w14:textFill>
                    </w:rPr>
                    <w:t>9</w:t>
                  </w:r>
                </w:p>
              </w:tc>
              <w:tc>
                <w:tcPr>
                  <w:tcW w:w="1668" w:type="dxa"/>
                  <w:vAlign w:val="center"/>
                </w:tcPr>
                <w:p w14:paraId="3944B7FF">
                  <w:pPr>
                    <w:pStyle w:val="90"/>
                    <w:rPr>
                      <w:color w:val="000000" w:themeColor="text1"/>
                      <w14:textFill>
                        <w14:solidFill>
                          <w14:schemeClr w14:val="tx1"/>
                        </w14:solidFill>
                      </w14:textFill>
                    </w:rPr>
                  </w:pPr>
                  <w:r>
                    <w:rPr>
                      <w:color w:val="000000" w:themeColor="text1"/>
                      <w14:textFill>
                        <w14:solidFill>
                          <w14:schemeClr w14:val="tx1"/>
                        </w14:solidFill>
                      </w14:textFill>
                    </w:rPr>
                    <w:t>汞 ≤</w:t>
                  </w:r>
                </w:p>
              </w:tc>
              <w:tc>
                <w:tcPr>
                  <w:tcW w:w="1821" w:type="dxa"/>
                  <w:vAlign w:val="center"/>
                </w:tcPr>
                <w:p w14:paraId="41D8BB2D">
                  <w:pPr>
                    <w:pStyle w:val="90"/>
                    <w:rPr>
                      <w:color w:val="000000" w:themeColor="text1"/>
                      <w14:textFill>
                        <w14:solidFill>
                          <w14:schemeClr w14:val="tx1"/>
                        </w14:solidFill>
                      </w14:textFill>
                    </w:rPr>
                  </w:pPr>
                  <w:r>
                    <w:rPr>
                      <w:color w:val="000000" w:themeColor="text1"/>
                      <w14:textFill>
                        <w14:solidFill>
                          <w14:schemeClr w14:val="tx1"/>
                        </w14:solidFill>
                      </w14:textFill>
                    </w:rPr>
                    <w:t>0.00005</w:t>
                  </w:r>
                </w:p>
              </w:tc>
              <w:tc>
                <w:tcPr>
                  <w:tcW w:w="2988" w:type="dxa"/>
                  <w:gridSpan w:val="2"/>
                  <w:vAlign w:val="center"/>
                </w:tcPr>
                <w:p w14:paraId="20FA78F1">
                  <w:pPr>
                    <w:pStyle w:val="90"/>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487" w:type="dxa"/>
                  <w:vAlign w:val="center"/>
                </w:tcPr>
                <w:p w14:paraId="22561B8E">
                  <w:pPr>
                    <w:pStyle w:val="90"/>
                    <w:rPr>
                      <w:color w:val="000000" w:themeColor="text1"/>
                      <w14:textFill>
                        <w14:solidFill>
                          <w14:schemeClr w14:val="tx1"/>
                        </w14:solidFill>
                      </w14:textFill>
                    </w:rPr>
                  </w:pPr>
                  <w:r>
                    <w:rPr>
                      <w:color w:val="000000" w:themeColor="text1"/>
                      <w14:textFill>
                        <w14:solidFill>
                          <w14:schemeClr w14:val="tx1"/>
                        </w14:solidFill>
                      </w14:textFill>
                    </w:rPr>
                    <w:t>0.0005</w:t>
                  </w:r>
                </w:p>
              </w:tc>
            </w:tr>
            <w:tr w14:paraId="3405E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4608BF1B">
                  <w:pPr>
                    <w:pStyle w:val="9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668" w:type="dxa"/>
                  <w:vAlign w:val="center"/>
                </w:tcPr>
                <w:p w14:paraId="595C4F71">
                  <w:pPr>
                    <w:pStyle w:val="90"/>
                    <w:rPr>
                      <w:color w:val="000000" w:themeColor="text1"/>
                      <w14:textFill>
                        <w14:solidFill>
                          <w14:schemeClr w14:val="tx1"/>
                        </w14:solidFill>
                      </w14:textFill>
                    </w:rPr>
                  </w:pPr>
                  <w:r>
                    <w:rPr>
                      <w:color w:val="000000" w:themeColor="text1"/>
                      <w14:textFill>
                        <w14:solidFill>
                          <w14:schemeClr w14:val="tx1"/>
                        </w14:solidFill>
                      </w14:textFill>
                    </w:rPr>
                    <w:t>铜 ≤</w:t>
                  </w:r>
                </w:p>
              </w:tc>
              <w:tc>
                <w:tcPr>
                  <w:tcW w:w="1821" w:type="dxa"/>
                  <w:vAlign w:val="center"/>
                </w:tcPr>
                <w:p w14:paraId="36DF38A8">
                  <w:pPr>
                    <w:pStyle w:val="90"/>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585" w:type="dxa"/>
                  <w:vAlign w:val="center"/>
                </w:tcPr>
                <w:p w14:paraId="026C2CAE">
                  <w:pPr>
                    <w:pStyle w:val="90"/>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2890" w:type="dxa"/>
                  <w:gridSpan w:val="2"/>
                  <w:vAlign w:val="center"/>
                </w:tcPr>
                <w:p w14:paraId="2B36F409">
                  <w:pPr>
                    <w:pStyle w:val="90"/>
                    <w:rPr>
                      <w:color w:val="000000" w:themeColor="text1"/>
                      <w14:textFill>
                        <w14:solidFill>
                          <w14:schemeClr w14:val="tx1"/>
                        </w14:solidFill>
                      </w14:textFill>
                    </w:rPr>
                  </w:pPr>
                  <w:r>
                    <w:rPr>
                      <w:color w:val="000000" w:themeColor="text1"/>
                      <w14:textFill>
                        <w14:solidFill>
                          <w14:schemeClr w14:val="tx1"/>
                        </w14:solidFill>
                      </w14:textFill>
                    </w:rPr>
                    <w:t>0.050</w:t>
                  </w:r>
                </w:p>
              </w:tc>
            </w:tr>
            <w:tr w14:paraId="05B2D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25F33C01">
                  <w:pPr>
                    <w:pStyle w:val="90"/>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668" w:type="dxa"/>
                  <w:vAlign w:val="center"/>
                </w:tcPr>
                <w:p w14:paraId="7BB0156F">
                  <w:pPr>
                    <w:pStyle w:val="90"/>
                    <w:rPr>
                      <w:color w:val="000000" w:themeColor="text1"/>
                      <w14:textFill>
                        <w14:solidFill>
                          <w14:schemeClr w14:val="tx1"/>
                        </w14:solidFill>
                      </w14:textFill>
                    </w:rPr>
                  </w:pPr>
                  <w:r>
                    <w:rPr>
                      <w:color w:val="000000" w:themeColor="text1"/>
                      <w14:textFill>
                        <w14:solidFill>
                          <w14:schemeClr w14:val="tx1"/>
                        </w14:solidFill>
                      </w14:textFill>
                    </w:rPr>
                    <w:t>铅 ≤</w:t>
                  </w:r>
                </w:p>
              </w:tc>
              <w:tc>
                <w:tcPr>
                  <w:tcW w:w="1821" w:type="dxa"/>
                  <w:vAlign w:val="center"/>
                </w:tcPr>
                <w:p w14:paraId="760F55CA">
                  <w:pPr>
                    <w:pStyle w:val="90"/>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585" w:type="dxa"/>
                  <w:vAlign w:val="center"/>
                </w:tcPr>
                <w:p w14:paraId="7F91502D">
                  <w:pPr>
                    <w:pStyle w:val="90"/>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03" w:type="dxa"/>
                  <w:vAlign w:val="center"/>
                </w:tcPr>
                <w:p w14:paraId="3ED9C4B5">
                  <w:pPr>
                    <w:pStyle w:val="90"/>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1487" w:type="dxa"/>
                  <w:vAlign w:val="center"/>
                </w:tcPr>
                <w:p w14:paraId="3EE9A91E">
                  <w:pPr>
                    <w:pStyle w:val="90"/>
                    <w:rPr>
                      <w:color w:val="000000" w:themeColor="text1"/>
                      <w14:textFill>
                        <w14:solidFill>
                          <w14:schemeClr w14:val="tx1"/>
                        </w14:solidFill>
                      </w14:textFill>
                    </w:rPr>
                  </w:pPr>
                  <w:r>
                    <w:rPr>
                      <w:color w:val="000000" w:themeColor="text1"/>
                      <w14:textFill>
                        <w14:solidFill>
                          <w14:schemeClr w14:val="tx1"/>
                        </w14:solidFill>
                      </w14:textFill>
                    </w:rPr>
                    <w:t>0.050</w:t>
                  </w:r>
                </w:p>
              </w:tc>
            </w:tr>
            <w:tr w14:paraId="69AFC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25465EF4">
                  <w:pPr>
                    <w:pStyle w:val="9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668" w:type="dxa"/>
                  <w:vAlign w:val="center"/>
                </w:tcPr>
                <w:p w14:paraId="1F23A708">
                  <w:pPr>
                    <w:pStyle w:val="90"/>
                    <w:rPr>
                      <w:color w:val="000000" w:themeColor="text1"/>
                      <w14:textFill>
                        <w14:solidFill>
                          <w14:schemeClr w14:val="tx1"/>
                        </w14:solidFill>
                      </w14:textFill>
                    </w:rPr>
                  </w:pPr>
                  <w:r>
                    <w:rPr>
                      <w:color w:val="000000" w:themeColor="text1"/>
                      <w14:textFill>
                        <w14:solidFill>
                          <w14:schemeClr w14:val="tx1"/>
                        </w14:solidFill>
                      </w14:textFill>
                    </w:rPr>
                    <w:t>镉 ≤</w:t>
                  </w:r>
                </w:p>
              </w:tc>
              <w:tc>
                <w:tcPr>
                  <w:tcW w:w="1821" w:type="dxa"/>
                  <w:vAlign w:val="center"/>
                </w:tcPr>
                <w:p w14:paraId="7AAC3363">
                  <w:pPr>
                    <w:pStyle w:val="90"/>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585" w:type="dxa"/>
                  <w:vAlign w:val="center"/>
                </w:tcPr>
                <w:p w14:paraId="659C8050">
                  <w:pPr>
                    <w:pStyle w:val="90"/>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2890" w:type="dxa"/>
                  <w:gridSpan w:val="2"/>
                  <w:vAlign w:val="center"/>
                </w:tcPr>
                <w:p w14:paraId="06527102">
                  <w:pPr>
                    <w:pStyle w:val="90"/>
                    <w:rPr>
                      <w:color w:val="000000" w:themeColor="text1"/>
                      <w14:textFill>
                        <w14:solidFill>
                          <w14:schemeClr w14:val="tx1"/>
                        </w14:solidFill>
                      </w14:textFill>
                    </w:rPr>
                  </w:pPr>
                  <w:r>
                    <w:rPr>
                      <w:color w:val="000000" w:themeColor="text1"/>
                      <w14:textFill>
                        <w14:solidFill>
                          <w14:schemeClr w14:val="tx1"/>
                        </w14:solidFill>
                      </w14:textFill>
                    </w:rPr>
                    <w:t>0.010</w:t>
                  </w:r>
                </w:p>
              </w:tc>
            </w:tr>
            <w:tr w14:paraId="6BA6D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3E7C3030">
                  <w:pPr>
                    <w:pStyle w:val="90"/>
                    <w:rPr>
                      <w:color w:val="000000" w:themeColor="text1"/>
                      <w14:textFill>
                        <w14:solidFill>
                          <w14:schemeClr w14:val="tx1"/>
                        </w14:solidFill>
                      </w14:textFill>
                    </w:rPr>
                  </w:pPr>
                  <w:r>
                    <w:rPr>
                      <w:color w:val="000000" w:themeColor="text1"/>
                      <w14:textFill>
                        <w14:solidFill>
                          <w14:schemeClr w14:val="tx1"/>
                        </w14:solidFill>
                      </w14:textFill>
                    </w:rPr>
                    <w:t>13</w:t>
                  </w:r>
                </w:p>
              </w:tc>
              <w:tc>
                <w:tcPr>
                  <w:tcW w:w="1668" w:type="dxa"/>
                  <w:vAlign w:val="center"/>
                </w:tcPr>
                <w:p w14:paraId="1A710B53">
                  <w:pPr>
                    <w:pStyle w:val="90"/>
                    <w:rPr>
                      <w:color w:val="000000" w:themeColor="text1"/>
                      <w14:textFill>
                        <w14:solidFill>
                          <w14:schemeClr w14:val="tx1"/>
                        </w14:solidFill>
                      </w14:textFill>
                    </w:rPr>
                  </w:pPr>
                  <w:r>
                    <w:rPr>
                      <w:color w:val="000000" w:themeColor="text1"/>
                      <w14:textFill>
                        <w14:solidFill>
                          <w14:schemeClr w14:val="tx1"/>
                        </w14:solidFill>
                      </w14:textFill>
                    </w:rPr>
                    <w:t>锌 ≤</w:t>
                  </w:r>
                </w:p>
              </w:tc>
              <w:tc>
                <w:tcPr>
                  <w:tcW w:w="1821" w:type="dxa"/>
                  <w:vAlign w:val="center"/>
                </w:tcPr>
                <w:p w14:paraId="033B33B0">
                  <w:pPr>
                    <w:pStyle w:val="90"/>
                    <w:rPr>
                      <w:color w:val="000000" w:themeColor="text1"/>
                      <w14:textFill>
                        <w14:solidFill>
                          <w14:schemeClr w14:val="tx1"/>
                        </w14:solidFill>
                      </w14:textFill>
                    </w:rPr>
                  </w:pPr>
                  <w:r>
                    <w:rPr>
                      <w:color w:val="000000" w:themeColor="text1"/>
                      <w14:textFill>
                        <w14:solidFill>
                          <w14:schemeClr w14:val="tx1"/>
                        </w14:solidFill>
                      </w14:textFill>
                    </w:rPr>
                    <w:t>0.020</w:t>
                  </w:r>
                </w:p>
              </w:tc>
              <w:tc>
                <w:tcPr>
                  <w:tcW w:w="1585" w:type="dxa"/>
                  <w:vAlign w:val="center"/>
                </w:tcPr>
                <w:p w14:paraId="6A0333E9">
                  <w:pPr>
                    <w:pStyle w:val="90"/>
                    <w:rPr>
                      <w:color w:val="000000" w:themeColor="text1"/>
                      <w14:textFill>
                        <w14:solidFill>
                          <w14:schemeClr w14:val="tx1"/>
                        </w14:solidFill>
                      </w14:textFill>
                    </w:rPr>
                  </w:pPr>
                  <w:r>
                    <w:rPr>
                      <w:color w:val="000000" w:themeColor="text1"/>
                      <w14:textFill>
                        <w14:solidFill>
                          <w14:schemeClr w14:val="tx1"/>
                        </w14:solidFill>
                      </w14:textFill>
                    </w:rPr>
                    <w:t>0.050</w:t>
                  </w:r>
                </w:p>
              </w:tc>
              <w:tc>
                <w:tcPr>
                  <w:tcW w:w="1403" w:type="dxa"/>
                  <w:vAlign w:val="center"/>
                </w:tcPr>
                <w:p w14:paraId="0CD92534">
                  <w:pPr>
                    <w:pStyle w:val="90"/>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487" w:type="dxa"/>
                  <w:vAlign w:val="center"/>
                </w:tcPr>
                <w:p w14:paraId="4A7DDA3C">
                  <w:pPr>
                    <w:pStyle w:val="90"/>
                    <w:rPr>
                      <w:color w:val="000000" w:themeColor="text1"/>
                      <w14:textFill>
                        <w14:solidFill>
                          <w14:schemeClr w14:val="tx1"/>
                        </w14:solidFill>
                      </w14:textFill>
                    </w:rPr>
                  </w:pPr>
                  <w:r>
                    <w:rPr>
                      <w:color w:val="000000" w:themeColor="text1"/>
                      <w14:textFill>
                        <w14:solidFill>
                          <w14:schemeClr w14:val="tx1"/>
                        </w14:solidFill>
                      </w14:textFill>
                    </w:rPr>
                    <w:t>0.50</w:t>
                  </w:r>
                </w:p>
              </w:tc>
            </w:tr>
            <w:tr w14:paraId="5CE8E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2D03F51B">
                  <w:pPr>
                    <w:pStyle w:val="90"/>
                    <w:rPr>
                      <w:color w:val="000000" w:themeColor="text1"/>
                      <w14:textFill>
                        <w14:solidFill>
                          <w14:schemeClr w14:val="tx1"/>
                        </w14:solidFill>
                      </w14:textFill>
                    </w:rPr>
                  </w:pPr>
                  <w:r>
                    <w:rPr>
                      <w:color w:val="000000" w:themeColor="text1"/>
                      <w14:textFill>
                        <w14:solidFill>
                          <w14:schemeClr w14:val="tx1"/>
                        </w14:solidFill>
                      </w14:textFill>
                    </w:rPr>
                    <w:t>14</w:t>
                  </w:r>
                </w:p>
              </w:tc>
              <w:tc>
                <w:tcPr>
                  <w:tcW w:w="1668" w:type="dxa"/>
                  <w:vAlign w:val="center"/>
                </w:tcPr>
                <w:p w14:paraId="1FFF9BA3">
                  <w:pPr>
                    <w:pStyle w:val="90"/>
                    <w:rPr>
                      <w:color w:val="000000" w:themeColor="text1"/>
                      <w14:textFill>
                        <w14:solidFill>
                          <w14:schemeClr w14:val="tx1"/>
                        </w14:solidFill>
                      </w14:textFill>
                    </w:rPr>
                  </w:pPr>
                  <w:r>
                    <w:rPr>
                      <w:color w:val="000000" w:themeColor="text1"/>
                      <w14:textFill>
                        <w14:solidFill>
                          <w14:schemeClr w14:val="tx1"/>
                        </w14:solidFill>
                      </w14:textFill>
                    </w:rPr>
                    <w:t>砷 ≤</w:t>
                  </w:r>
                </w:p>
              </w:tc>
              <w:tc>
                <w:tcPr>
                  <w:tcW w:w="1821" w:type="dxa"/>
                  <w:vAlign w:val="center"/>
                </w:tcPr>
                <w:p w14:paraId="503FD95F">
                  <w:pPr>
                    <w:pStyle w:val="90"/>
                    <w:rPr>
                      <w:color w:val="000000" w:themeColor="text1"/>
                      <w14:textFill>
                        <w14:solidFill>
                          <w14:schemeClr w14:val="tx1"/>
                        </w14:solidFill>
                      </w14:textFill>
                    </w:rPr>
                  </w:pPr>
                  <w:r>
                    <w:rPr>
                      <w:color w:val="000000" w:themeColor="text1"/>
                      <w14:textFill>
                        <w14:solidFill>
                          <w14:schemeClr w14:val="tx1"/>
                        </w14:solidFill>
                      </w14:textFill>
                    </w:rPr>
                    <w:t>0.020</w:t>
                  </w:r>
                </w:p>
              </w:tc>
              <w:tc>
                <w:tcPr>
                  <w:tcW w:w="1585" w:type="dxa"/>
                  <w:vAlign w:val="center"/>
                </w:tcPr>
                <w:p w14:paraId="5E6C4B81">
                  <w:pPr>
                    <w:pStyle w:val="90"/>
                    <w:rPr>
                      <w:color w:val="000000" w:themeColor="text1"/>
                      <w14:textFill>
                        <w14:solidFill>
                          <w14:schemeClr w14:val="tx1"/>
                        </w14:solidFill>
                      </w14:textFill>
                    </w:rPr>
                  </w:pPr>
                  <w:r>
                    <w:rPr>
                      <w:color w:val="000000" w:themeColor="text1"/>
                      <w14:textFill>
                        <w14:solidFill>
                          <w14:schemeClr w14:val="tx1"/>
                        </w14:solidFill>
                      </w14:textFill>
                    </w:rPr>
                    <w:t>0.030</w:t>
                  </w:r>
                </w:p>
              </w:tc>
              <w:tc>
                <w:tcPr>
                  <w:tcW w:w="2890" w:type="dxa"/>
                  <w:gridSpan w:val="2"/>
                  <w:vAlign w:val="center"/>
                </w:tcPr>
                <w:p w14:paraId="3A0A0E05">
                  <w:pPr>
                    <w:pStyle w:val="90"/>
                    <w:rPr>
                      <w:color w:val="000000" w:themeColor="text1"/>
                      <w14:textFill>
                        <w14:solidFill>
                          <w14:schemeClr w14:val="tx1"/>
                        </w14:solidFill>
                      </w14:textFill>
                    </w:rPr>
                  </w:pPr>
                  <w:r>
                    <w:rPr>
                      <w:color w:val="000000" w:themeColor="text1"/>
                      <w14:textFill>
                        <w14:solidFill>
                          <w14:schemeClr w14:val="tx1"/>
                        </w14:solidFill>
                      </w14:textFill>
                    </w:rPr>
                    <w:t>0.050</w:t>
                  </w:r>
                </w:p>
              </w:tc>
            </w:tr>
            <w:tr w14:paraId="0353C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50DF79B7">
                  <w:pPr>
                    <w:pStyle w:val="90"/>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668" w:type="dxa"/>
                  <w:vAlign w:val="center"/>
                </w:tcPr>
                <w:p w14:paraId="3644F742">
                  <w:pPr>
                    <w:pStyle w:val="90"/>
                    <w:rPr>
                      <w:color w:val="000000" w:themeColor="text1"/>
                      <w14:textFill>
                        <w14:solidFill>
                          <w14:schemeClr w14:val="tx1"/>
                        </w14:solidFill>
                      </w14:textFill>
                    </w:rPr>
                  </w:pPr>
                  <w:r>
                    <w:rPr>
                      <w:color w:val="000000" w:themeColor="text1"/>
                      <w14:textFill>
                        <w14:solidFill>
                          <w14:schemeClr w14:val="tx1"/>
                        </w14:solidFill>
                      </w14:textFill>
                    </w:rPr>
                    <w:t>总铬≤</w:t>
                  </w:r>
                </w:p>
              </w:tc>
              <w:tc>
                <w:tcPr>
                  <w:tcW w:w="1821" w:type="dxa"/>
                  <w:vAlign w:val="center"/>
                </w:tcPr>
                <w:p w14:paraId="7BACB326">
                  <w:pPr>
                    <w:pStyle w:val="90"/>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585" w:type="dxa"/>
                  <w:vAlign w:val="center"/>
                </w:tcPr>
                <w:p w14:paraId="4E40387C">
                  <w:pPr>
                    <w:pStyle w:val="90"/>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403" w:type="dxa"/>
                  <w:vAlign w:val="center"/>
                </w:tcPr>
                <w:p w14:paraId="2A753CAC">
                  <w:pPr>
                    <w:pStyle w:val="90"/>
                    <w:rPr>
                      <w:color w:val="000000" w:themeColor="text1"/>
                      <w14:textFill>
                        <w14:solidFill>
                          <w14:schemeClr w14:val="tx1"/>
                        </w14:solidFill>
                      </w14:textFill>
                    </w:rPr>
                  </w:pPr>
                  <w:r>
                    <w:rPr>
                      <w:color w:val="000000" w:themeColor="text1"/>
                      <w14:textFill>
                        <w14:solidFill>
                          <w14:schemeClr w14:val="tx1"/>
                        </w14:solidFill>
                      </w14:textFill>
                    </w:rPr>
                    <w:t>0.20</w:t>
                  </w:r>
                </w:p>
              </w:tc>
              <w:tc>
                <w:tcPr>
                  <w:tcW w:w="1487" w:type="dxa"/>
                  <w:vAlign w:val="center"/>
                </w:tcPr>
                <w:p w14:paraId="6233B599">
                  <w:pPr>
                    <w:pStyle w:val="90"/>
                    <w:rPr>
                      <w:color w:val="000000" w:themeColor="text1"/>
                      <w14:textFill>
                        <w14:solidFill>
                          <w14:schemeClr w14:val="tx1"/>
                        </w14:solidFill>
                      </w14:textFill>
                    </w:rPr>
                  </w:pPr>
                  <w:r>
                    <w:rPr>
                      <w:color w:val="000000" w:themeColor="text1"/>
                      <w14:textFill>
                        <w14:solidFill>
                          <w14:schemeClr w14:val="tx1"/>
                        </w14:solidFill>
                      </w14:textFill>
                    </w:rPr>
                    <w:t>0.50</w:t>
                  </w:r>
                </w:p>
              </w:tc>
            </w:tr>
            <w:tr w14:paraId="36AF2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30E06C96">
                  <w:pPr>
                    <w:pStyle w:val="90"/>
                    <w:rPr>
                      <w:color w:val="000000" w:themeColor="text1"/>
                      <w14:textFill>
                        <w14:solidFill>
                          <w14:schemeClr w14:val="tx1"/>
                        </w14:solidFill>
                      </w14:textFill>
                    </w:rPr>
                  </w:pPr>
                  <w:r>
                    <w:rPr>
                      <w:color w:val="000000" w:themeColor="text1"/>
                      <w14:textFill>
                        <w14:solidFill>
                          <w14:schemeClr w14:val="tx1"/>
                        </w14:solidFill>
                      </w14:textFill>
                    </w:rPr>
                    <w:t>16</w:t>
                  </w:r>
                </w:p>
              </w:tc>
              <w:tc>
                <w:tcPr>
                  <w:tcW w:w="1668" w:type="dxa"/>
                  <w:vAlign w:val="center"/>
                </w:tcPr>
                <w:p w14:paraId="344435B5">
                  <w:pPr>
                    <w:pStyle w:val="90"/>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3406" w:type="dxa"/>
                  <w:gridSpan w:val="2"/>
                  <w:vAlign w:val="center"/>
                </w:tcPr>
                <w:p w14:paraId="242B868E">
                  <w:pPr>
                    <w:pStyle w:val="90"/>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03" w:type="dxa"/>
                  <w:vAlign w:val="center"/>
                </w:tcPr>
                <w:p w14:paraId="2FF52D7A">
                  <w:pPr>
                    <w:pStyle w:val="90"/>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487" w:type="dxa"/>
                  <w:vAlign w:val="center"/>
                </w:tcPr>
                <w:p w14:paraId="7DCF9ADA">
                  <w:pPr>
                    <w:pStyle w:val="90"/>
                    <w:rPr>
                      <w:color w:val="000000" w:themeColor="text1"/>
                      <w14:textFill>
                        <w14:solidFill>
                          <w14:schemeClr w14:val="tx1"/>
                        </w14:solidFill>
                      </w14:textFill>
                    </w:rPr>
                  </w:pPr>
                  <w:r>
                    <w:rPr>
                      <w:color w:val="000000" w:themeColor="text1"/>
                      <w14:textFill>
                        <w14:solidFill>
                          <w14:schemeClr w14:val="tx1"/>
                        </w14:solidFill>
                      </w14:textFill>
                    </w:rPr>
                    <w:t>0.20</w:t>
                  </w:r>
                </w:p>
              </w:tc>
            </w:tr>
            <w:tr w14:paraId="1460A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6A2E38F7">
                  <w:pPr>
                    <w:pStyle w:val="90"/>
                    <w:rPr>
                      <w:color w:val="000000" w:themeColor="text1"/>
                      <w14:textFill>
                        <w14:solidFill>
                          <w14:schemeClr w14:val="tx1"/>
                        </w14:solidFill>
                      </w14:textFill>
                    </w:rPr>
                  </w:pPr>
                  <w:r>
                    <w:rPr>
                      <w:color w:val="000000" w:themeColor="text1"/>
                      <w14:textFill>
                        <w14:solidFill>
                          <w14:schemeClr w14:val="tx1"/>
                        </w14:solidFill>
                      </w14:textFill>
                    </w:rPr>
                    <w:t>17</w:t>
                  </w:r>
                </w:p>
              </w:tc>
              <w:tc>
                <w:tcPr>
                  <w:tcW w:w="1668" w:type="dxa"/>
                  <w:vAlign w:val="center"/>
                </w:tcPr>
                <w:p w14:paraId="417D8F99">
                  <w:pPr>
                    <w:pStyle w:val="90"/>
                    <w:rPr>
                      <w:color w:val="000000" w:themeColor="text1"/>
                      <w14:textFill>
                        <w14:solidFill>
                          <w14:schemeClr w14:val="tx1"/>
                        </w14:solidFill>
                      </w14:textFill>
                    </w:rPr>
                  </w:pPr>
                  <w:r>
                    <w:rPr>
                      <w:color w:val="000000" w:themeColor="text1"/>
                      <w14:textFill>
                        <w14:solidFill>
                          <w14:schemeClr w14:val="tx1"/>
                        </w14:solidFill>
                      </w14:textFill>
                    </w:rPr>
                    <w:t>硫化物≤</w:t>
                  </w:r>
                </w:p>
              </w:tc>
              <w:tc>
                <w:tcPr>
                  <w:tcW w:w="1821" w:type="dxa"/>
                  <w:vAlign w:val="center"/>
                </w:tcPr>
                <w:p w14:paraId="0B32BAF1">
                  <w:pPr>
                    <w:pStyle w:val="90"/>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585" w:type="dxa"/>
                  <w:vAlign w:val="center"/>
                </w:tcPr>
                <w:p w14:paraId="7C03D1E8">
                  <w:pPr>
                    <w:pStyle w:val="90"/>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403" w:type="dxa"/>
                  <w:vAlign w:val="center"/>
                </w:tcPr>
                <w:p w14:paraId="187FF6C1">
                  <w:pPr>
                    <w:pStyle w:val="90"/>
                    <w:rPr>
                      <w:color w:val="000000" w:themeColor="text1"/>
                      <w14:textFill>
                        <w14:solidFill>
                          <w14:schemeClr w14:val="tx1"/>
                        </w14:solidFill>
                      </w14:textFill>
                    </w:rPr>
                  </w:pPr>
                  <w:r>
                    <w:rPr>
                      <w:color w:val="000000" w:themeColor="text1"/>
                      <w14:textFill>
                        <w14:solidFill>
                          <w14:schemeClr w14:val="tx1"/>
                        </w14:solidFill>
                      </w14:textFill>
                    </w:rPr>
                    <w:t>0.10</w:t>
                  </w:r>
                </w:p>
              </w:tc>
              <w:tc>
                <w:tcPr>
                  <w:tcW w:w="1487" w:type="dxa"/>
                  <w:vAlign w:val="center"/>
                </w:tcPr>
                <w:p w14:paraId="6CCCFC11">
                  <w:pPr>
                    <w:pStyle w:val="90"/>
                    <w:rPr>
                      <w:color w:val="000000" w:themeColor="text1"/>
                      <w14:textFill>
                        <w14:solidFill>
                          <w14:schemeClr w14:val="tx1"/>
                        </w14:solidFill>
                      </w14:textFill>
                    </w:rPr>
                  </w:pPr>
                  <w:r>
                    <w:rPr>
                      <w:color w:val="000000" w:themeColor="text1"/>
                      <w14:textFill>
                        <w14:solidFill>
                          <w14:schemeClr w14:val="tx1"/>
                        </w14:solidFill>
                      </w14:textFill>
                    </w:rPr>
                    <w:t>0.25</w:t>
                  </w:r>
                </w:p>
              </w:tc>
            </w:tr>
            <w:tr w14:paraId="25291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0BE2FA56">
                  <w:pPr>
                    <w:pStyle w:val="90"/>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668" w:type="dxa"/>
                  <w:vAlign w:val="center"/>
                </w:tcPr>
                <w:p w14:paraId="0BFFBB44">
                  <w:pPr>
                    <w:pStyle w:val="90"/>
                    <w:rPr>
                      <w:color w:val="000000" w:themeColor="text1"/>
                      <w14:textFill>
                        <w14:solidFill>
                          <w14:schemeClr w14:val="tx1"/>
                        </w14:solidFill>
                      </w14:textFill>
                    </w:rPr>
                  </w:pPr>
                  <w:r>
                    <w:rPr>
                      <w:color w:val="000000" w:themeColor="text1"/>
                      <w14:textFill>
                        <w14:solidFill>
                          <w14:schemeClr w14:val="tx1"/>
                        </w14:solidFill>
                      </w14:textFill>
                    </w:rPr>
                    <w:t>挥发性酚≤</w:t>
                  </w:r>
                </w:p>
              </w:tc>
              <w:tc>
                <w:tcPr>
                  <w:tcW w:w="3406" w:type="dxa"/>
                  <w:gridSpan w:val="2"/>
                  <w:vAlign w:val="center"/>
                </w:tcPr>
                <w:p w14:paraId="7194831D">
                  <w:pPr>
                    <w:pStyle w:val="90"/>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03" w:type="dxa"/>
                  <w:vAlign w:val="center"/>
                </w:tcPr>
                <w:p w14:paraId="69C917A8">
                  <w:pPr>
                    <w:pStyle w:val="90"/>
                    <w:rPr>
                      <w:color w:val="000000" w:themeColor="text1"/>
                      <w14:textFill>
                        <w14:solidFill>
                          <w14:schemeClr w14:val="tx1"/>
                        </w14:solidFill>
                      </w14:textFill>
                    </w:rPr>
                  </w:pPr>
                  <w:r>
                    <w:rPr>
                      <w:color w:val="000000" w:themeColor="text1"/>
                      <w14:textFill>
                        <w14:solidFill>
                          <w14:schemeClr w14:val="tx1"/>
                        </w14:solidFill>
                      </w14:textFill>
                    </w:rPr>
                    <w:t>0.010</w:t>
                  </w:r>
                </w:p>
              </w:tc>
              <w:tc>
                <w:tcPr>
                  <w:tcW w:w="1487" w:type="dxa"/>
                  <w:vAlign w:val="center"/>
                </w:tcPr>
                <w:p w14:paraId="509143DC">
                  <w:pPr>
                    <w:pStyle w:val="90"/>
                    <w:rPr>
                      <w:color w:val="000000" w:themeColor="text1"/>
                      <w14:textFill>
                        <w14:solidFill>
                          <w14:schemeClr w14:val="tx1"/>
                        </w14:solidFill>
                      </w14:textFill>
                    </w:rPr>
                  </w:pPr>
                  <w:r>
                    <w:rPr>
                      <w:color w:val="000000" w:themeColor="text1"/>
                      <w14:textFill>
                        <w14:solidFill>
                          <w14:schemeClr w14:val="tx1"/>
                        </w14:solidFill>
                      </w14:textFill>
                    </w:rPr>
                    <w:t>0.050</w:t>
                  </w:r>
                </w:p>
              </w:tc>
            </w:tr>
            <w:tr w14:paraId="5A3D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3E0ED259">
                  <w:pPr>
                    <w:pStyle w:val="90"/>
                    <w:rPr>
                      <w:color w:val="000000" w:themeColor="text1"/>
                      <w14:textFill>
                        <w14:solidFill>
                          <w14:schemeClr w14:val="tx1"/>
                        </w14:solidFill>
                      </w14:textFill>
                    </w:rPr>
                  </w:pPr>
                  <w:r>
                    <w:rPr>
                      <w:color w:val="000000" w:themeColor="text1"/>
                      <w14:textFill>
                        <w14:solidFill>
                          <w14:schemeClr w14:val="tx1"/>
                        </w14:solidFill>
                      </w14:textFill>
                    </w:rPr>
                    <w:t>19</w:t>
                  </w:r>
                </w:p>
              </w:tc>
              <w:tc>
                <w:tcPr>
                  <w:tcW w:w="1668" w:type="dxa"/>
                  <w:vAlign w:val="center"/>
                </w:tcPr>
                <w:p w14:paraId="23E9D216">
                  <w:pPr>
                    <w:pStyle w:val="90"/>
                    <w:rPr>
                      <w:color w:val="000000" w:themeColor="text1"/>
                      <w14:textFill>
                        <w14:solidFill>
                          <w14:schemeClr w14:val="tx1"/>
                        </w14:solidFill>
                      </w14:textFill>
                    </w:rPr>
                  </w:pPr>
                  <w:r>
                    <w:rPr>
                      <w:color w:val="000000" w:themeColor="text1"/>
                      <w14:textFill>
                        <w14:solidFill>
                          <w14:schemeClr w14:val="tx1"/>
                        </w14:solidFill>
                      </w14:textFill>
                    </w:rPr>
                    <w:t>六六六≤</w:t>
                  </w:r>
                </w:p>
              </w:tc>
              <w:tc>
                <w:tcPr>
                  <w:tcW w:w="1821" w:type="dxa"/>
                  <w:vAlign w:val="center"/>
                </w:tcPr>
                <w:p w14:paraId="0B44484A">
                  <w:pPr>
                    <w:pStyle w:val="90"/>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1585" w:type="dxa"/>
                  <w:vAlign w:val="center"/>
                </w:tcPr>
                <w:p w14:paraId="09BC1EEE">
                  <w:pPr>
                    <w:pStyle w:val="90"/>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403" w:type="dxa"/>
                  <w:vAlign w:val="center"/>
                </w:tcPr>
                <w:p w14:paraId="691268FC">
                  <w:pPr>
                    <w:pStyle w:val="90"/>
                    <w:rPr>
                      <w:color w:val="000000" w:themeColor="text1"/>
                      <w14:textFill>
                        <w14:solidFill>
                          <w14:schemeClr w14:val="tx1"/>
                        </w14:solidFill>
                      </w14:textFill>
                    </w:rPr>
                  </w:pPr>
                  <w:r>
                    <w:rPr>
                      <w:color w:val="000000" w:themeColor="text1"/>
                      <w14:textFill>
                        <w14:solidFill>
                          <w14:schemeClr w14:val="tx1"/>
                        </w14:solidFill>
                      </w14:textFill>
                    </w:rPr>
                    <w:t>0.003</w:t>
                  </w:r>
                </w:p>
              </w:tc>
              <w:tc>
                <w:tcPr>
                  <w:tcW w:w="1487" w:type="dxa"/>
                  <w:vAlign w:val="center"/>
                </w:tcPr>
                <w:p w14:paraId="125EA596">
                  <w:pPr>
                    <w:pStyle w:val="90"/>
                    <w:rPr>
                      <w:color w:val="000000" w:themeColor="text1"/>
                      <w14:textFill>
                        <w14:solidFill>
                          <w14:schemeClr w14:val="tx1"/>
                        </w14:solidFill>
                      </w14:textFill>
                    </w:rPr>
                  </w:pPr>
                  <w:r>
                    <w:rPr>
                      <w:color w:val="000000" w:themeColor="text1"/>
                      <w14:textFill>
                        <w14:solidFill>
                          <w14:schemeClr w14:val="tx1"/>
                        </w14:solidFill>
                      </w14:textFill>
                    </w:rPr>
                    <w:t>0.005</w:t>
                  </w:r>
                </w:p>
              </w:tc>
            </w:tr>
            <w:tr w14:paraId="113B1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2C8FFD87">
                  <w:pPr>
                    <w:pStyle w:val="90"/>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668" w:type="dxa"/>
                  <w:vAlign w:val="center"/>
                </w:tcPr>
                <w:p w14:paraId="11316A3E">
                  <w:pPr>
                    <w:pStyle w:val="90"/>
                    <w:rPr>
                      <w:color w:val="000000" w:themeColor="text1"/>
                      <w14:textFill>
                        <w14:solidFill>
                          <w14:schemeClr w14:val="tx1"/>
                        </w14:solidFill>
                      </w14:textFill>
                    </w:rPr>
                  </w:pPr>
                  <w:r>
                    <w:rPr>
                      <w:color w:val="000000" w:themeColor="text1"/>
                      <w14:textFill>
                        <w14:solidFill>
                          <w14:schemeClr w14:val="tx1"/>
                        </w14:solidFill>
                      </w14:textFill>
                    </w:rPr>
                    <w:t>滴滴涕≤</w:t>
                  </w:r>
                </w:p>
              </w:tc>
              <w:tc>
                <w:tcPr>
                  <w:tcW w:w="1821" w:type="dxa"/>
                  <w:vAlign w:val="center"/>
                </w:tcPr>
                <w:p w14:paraId="65FE5D35">
                  <w:pPr>
                    <w:pStyle w:val="90"/>
                    <w:rPr>
                      <w:color w:val="000000" w:themeColor="text1"/>
                      <w14:textFill>
                        <w14:solidFill>
                          <w14:schemeClr w14:val="tx1"/>
                        </w14:solidFill>
                      </w14:textFill>
                    </w:rPr>
                  </w:pPr>
                  <w:r>
                    <w:rPr>
                      <w:color w:val="000000" w:themeColor="text1"/>
                      <w14:textFill>
                        <w14:solidFill>
                          <w14:schemeClr w14:val="tx1"/>
                        </w14:solidFill>
                      </w14:textFill>
                    </w:rPr>
                    <w:t>0.00005</w:t>
                  </w:r>
                </w:p>
              </w:tc>
              <w:tc>
                <w:tcPr>
                  <w:tcW w:w="4475" w:type="dxa"/>
                  <w:gridSpan w:val="3"/>
                  <w:vAlign w:val="center"/>
                </w:tcPr>
                <w:p w14:paraId="21E253BF">
                  <w:pPr>
                    <w:pStyle w:val="90"/>
                    <w:rPr>
                      <w:color w:val="000000" w:themeColor="text1"/>
                      <w14:textFill>
                        <w14:solidFill>
                          <w14:schemeClr w14:val="tx1"/>
                        </w14:solidFill>
                      </w14:textFill>
                    </w:rPr>
                  </w:pPr>
                  <w:r>
                    <w:rPr>
                      <w:color w:val="000000" w:themeColor="text1"/>
                      <w14:textFill>
                        <w14:solidFill>
                          <w14:schemeClr w14:val="tx1"/>
                        </w14:solidFill>
                      </w14:textFill>
                    </w:rPr>
                    <w:t>0.0001</w:t>
                  </w:r>
                </w:p>
              </w:tc>
            </w:tr>
          </w:tbl>
          <w:p w14:paraId="2AE99DAA">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海洋沉积物质量标准节选（GB 18668-2002）</w:t>
            </w:r>
          </w:p>
          <w:tbl>
            <w:tblPr>
              <w:tblStyle w:val="46"/>
              <w:tblW w:w="849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22"/>
              <w:gridCol w:w="2123"/>
              <w:gridCol w:w="2123"/>
              <w:gridCol w:w="2125"/>
            </w:tblGrid>
            <w:tr w14:paraId="015E6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4" w:hRule="atLeast"/>
              </w:trPr>
              <w:tc>
                <w:tcPr>
                  <w:tcW w:w="1249" w:type="pct"/>
                  <w:vAlign w:val="center"/>
                </w:tcPr>
                <w:p w14:paraId="1B5FBB0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 xml:space="preserve">     标准</w:t>
                  </w:r>
                </w:p>
                <w:p w14:paraId="72A4869D">
                  <w:pPr>
                    <w:pStyle w:val="144"/>
                    <w:spacing w:before="24"/>
                    <w:jc w:val="both"/>
                    <w:rPr>
                      <w:color w:val="000000" w:themeColor="text1"/>
                      <w14:textFill>
                        <w14:solidFill>
                          <w14:schemeClr w14:val="tx1"/>
                        </w14:solidFill>
                      </w14:textFill>
                    </w:rPr>
                  </w:pPr>
                  <w:r>
                    <w:rPr>
                      <w:color w:val="000000" w:themeColor="text1"/>
                      <w14:textFill>
                        <w14:solidFill>
                          <w14:schemeClr w14:val="tx1"/>
                        </w14:solidFill>
                      </w14:textFill>
                    </w:rPr>
                    <w:t>项目</w:t>
                  </w:r>
                </w:p>
                <w:p w14:paraId="59C0E800">
                  <w:pPr>
                    <w:pStyle w:val="144"/>
                    <w:spacing w:before="24"/>
                    <w:jc w:val="both"/>
                    <w:rPr>
                      <w:color w:val="000000" w:themeColor="text1"/>
                      <w14:textFill>
                        <w14:solidFill>
                          <w14:schemeClr w14:val="tx1"/>
                        </w14:solidFill>
                      </w14:textFill>
                    </w:rPr>
                  </w:pPr>
                </w:p>
              </w:tc>
              <w:tc>
                <w:tcPr>
                  <w:tcW w:w="1249" w:type="pct"/>
                  <w:vAlign w:val="center"/>
                </w:tcPr>
                <w:p w14:paraId="29F1DDA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第一类</w:t>
                  </w:r>
                </w:p>
              </w:tc>
              <w:tc>
                <w:tcPr>
                  <w:tcW w:w="1249" w:type="pct"/>
                  <w:vAlign w:val="center"/>
                </w:tcPr>
                <w:p w14:paraId="299EE19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第二类</w:t>
                  </w:r>
                </w:p>
              </w:tc>
              <w:tc>
                <w:tcPr>
                  <w:tcW w:w="1250" w:type="pct"/>
                  <w:vAlign w:val="center"/>
                </w:tcPr>
                <w:p w14:paraId="555D2FA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第三类</w:t>
                  </w:r>
                </w:p>
              </w:tc>
            </w:tr>
            <w:tr w14:paraId="179CB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9" w:type="pct"/>
                  <w:vAlign w:val="center"/>
                </w:tcPr>
                <w:p w14:paraId="59EC92E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石油类（×10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w:t>
                  </w:r>
                </w:p>
              </w:tc>
              <w:tc>
                <w:tcPr>
                  <w:tcW w:w="1249" w:type="pct"/>
                  <w:vAlign w:val="center"/>
                </w:tcPr>
                <w:p w14:paraId="4C8CEE2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249" w:type="pct"/>
                  <w:vAlign w:val="center"/>
                </w:tcPr>
                <w:p w14:paraId="489ABBAB">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1250" w:type="pct"/>
                  <w:vAlign w:val="center"/>
                </w:tcPr>
                <w:p w14:paraId="2323433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1500</w:t>
                  </w:r>
                </w:p>
              </w:tc>
            </w:tr>
            <w:tr w14:paraId="75F5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9" w:type="pct"/>
                  <w:vAlign w:val="center"/>
                </w:tcPr>
                <w:p w14:paraId="3A83758B">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硫化物（×10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w:t>
                  </w:r>
                </w:p>
              </w:tc>
              <w:tc>
                <w:tcPr>
                  <w:tcW w:w="1249" w:type="pct"/>
                  <w:vAlign w:val="center"/>
                </w:tcPr>
                <w:p w14:paraId="1AB4CADB">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249" w:type="pct"/>
                  <w:vAlign w:val="center"/>
                </w:tcPr>
                <w:p w14:paraId="2B2CF46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250" w:type="pct"/>
                  <w:vAlign w:val="center"/>
                </w:tcPr>
                <w:p w14:paraId="77AF746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600</w:t>
                  </w:r>
                </w:p>
              </w:tc>
            </w:tr>
            <w:tr w14:paraId="7020E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9" w:type="pct"/>
                  <w:vAlign w:val="center"/>
                </w:tcPr>
                <w:p w14:paraId="5926D27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有机碳（%）≤</w:t>
                  </w:r>
                </w:p>
              </w:tc>
              <w:tc>
                <w:tcPr>
                  <w:tcW w:w="1249" w:type="pct"/>
                  <w:vAlign w:val="center"/>
                </w:tcPr>
                <w:p w14:paraId="277953F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49" w:type="pct"/>
                  <w:vAlign w:val="center"/>
                </w:tcPr>
                <w:p w14:paraId="7E6E076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250" w:type="pct"/>
                  <w:vAlign w:val="center"/>
                </w:tcPr>
                <w:p w14:paraId="3CF87DB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4.0</w:t>
                  </w:r>
                </w:p>
              </w:tc>
            </w:tr>
            <w:tr w14:paraId="716E5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9" w:type="pct"/>
                  <w:vAlign w:val="center"/>
                </w:tcPr>
                <w:p w14:paraId="4AFBD70E">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汞（×10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w:t>
                  </w:r>
                </w:p>
              </w:tc>
              <w:tc>
                <w:tcPr>
                  <w:tcW w:w="1249" w:type="pct"/>
                  <w:vAlign w:val="center"/>
                </w:tcPr>
                <w:p w14:paraId="5A633F0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0.20</w:t>
                  </w:r>
                </w:p>
              </w:tc>
              <w:tc>
                <w:tcPr>
                  <w:tcW w:w="1249" w:type="pct"/>
                  <w:vAlign w:val="center"/>
                </w:tcPr>
                <w:p w14:paraId="53E387C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0.50</w:t>
                  </w:r>
                </w:p>
              </w:tc>
              <w:tc>
                <w:tcPr>
                  <w:tcW w:w="1250" w:type="pct"/>
                  <w:vAlign w:val="center"/>
                </w:tcPr>
                <w:p w14:paraId="7DC8B33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1.00</w:t>
                  </w:r>
                </w:p>
              </w:tc>
            </w:tr>
            <w:tr w14:paraId="7FE26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9" w:type="pct"/>
                  <w:vAlign w:val="center"/>
                </w:tcPr>
                <w:p w14:paraId="2E44FDA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铜（×10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w:t>
                  </w:r>
                </w:p>
              </w:tc>
              <w:tc>
                <w:tcPr>
                  <w:tcW w:w="1249" w:type="pct"/>
                  <w:vAlign w:val="center"/>
                </w:tcPr>
                <w:p w14:paraId="55EE90D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35.0</w:t>
                  </w:r>
                </w:p>
              </w:tc>
              <w:tc>
                <w:tcPr>
                  <w:tcW w:w="1249" w:type="pct"/>
                  <w:vAlign w:val="center"/>
                </w:tcPr>
                <w:p w14:paraId="4EBF7062">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1250" w:type="pct"/>
                  <w:vAlign w:val="center"/>
                </w:tcPr>
                <w:p w14:paraId="5D98A7C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200.0</w:t>
                  </w:r>
                </w:p>
              </w:tc>
            </w:tr>
            <w:tr w14:paraId="3FC3F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9" w:type="pct"/>
                  <w:vAlign w:val="center"/>
                </w:tcPr>
                <w:p w14:paraId="37BA6BD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铅（×10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w:t>
                  </w:r>
                </w:p>
              </w:tc>
              <w:tc>
                <w:tcPr>
                  <w:tcW w:w="1249" w:type="pct"/>
                  <w:vAlign w:val="center"/>
                </w:tcPr>
                <w:p w14:paraId="1B06BF2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60.0</w:t>
                  </w:r>
                </w:p>
              </w:tc>
              <w:tc>
                <w:tcPr>
                  <w:tcW w:w="1249" w:type="pct"/>
                  <w:vAlign w:val="center"/>
                </w:tcPr>
                <w:p w14:paraId="5DCD51F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130.0</w:t>
                  </w:r>
                </w:p>
              </w:tc>
              <w:tc>
                <w:tcPr>
                  <w:tcW w:w="1250" w:type="pct"/>
                  <w:vAlign w:val="center"/>
                </w:tcPr>
                <w:p w14:paraId="49493B7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250.0</w:t>
                  </w:r>
                </w:p>
              </w:tc>
            </w:tr>
            <w:tr w14:paraId="55F2B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9" w:type="pct"/>
                  <w:vAlign w:val="center"/>
                </w:tcPr>
                <w:p w14:paraId="7607941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锌（×10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w:t>
                  </w:r>
                </w:p>
              </w:tc>
              <w:tc>
                <w:tcPr>
                  <w:tcW w:w="1249" w:type="pct"/>
                  <w:vAlign w:val="center"/>
                </w:tcPr>
                <w:p w14:paraId="6D24537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150.0</w:t>
                  </w:r>
                </w:p>
              </w:tc>
              <w:tc>
                <w:tcPr>
                  <w:tcW w:w="1249" w:type="pct"/>
                  <w:vAlign w:val="center"/>
                </w:tcPr>
                <w:p w14:paraId="534A2EB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350.0</w:t>
                  </w:r>
                </w:p>
              </w:tc>
              <w:tc>
                <w:tcPr>
                  <w:tcW w:w="1250" w:type="pct"/>
                  <w:vAlign w:val="center"/>
                </w:tcPr>
                <w:p w14:paraId="1FDE386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600.0</w:t>
                  </w:r>
                </w:p>
              </w:tc>
            </w:tr>
            <w:tr w14:paraId="24FA6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9" w:type="pct"/>
                  <w:vAlign w:val="center"/>
                </w:tcPr>
                <w:p w14:paraId="32F2C73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镉（×10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w:t>
                  </w:r>
                </w:p>
              </w:tc>
              <w:tc>
                <w:tcPr>
                  <w:tcW w:w="1249" w:type="pct"/>
                  <w:vAlign w:val="center"/>
                </w:tcPr>
                <w:p w14:paraId="6CF2A67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0.50</w:t>
                  </w:r>
                </w:p>
              </w:tc>
              <w:tc>
                <w:tcPr>
                  <w:tcW w:w="1249" w:type="pct"/>
                  <w:vAlign w:val="center"/>
                </w:tcPr>
                <w:p w14:paraId="3C724CF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250" w:type="pct"/>
                  <w:vAlign w:val="center"/>
                </w:tcPr>
                <w:p w14:paraId="74D55FD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5.00</w:t>
                  </w:r>
                </w:p>
              </w:tc>
            </w:tr>
            <w:tr w14:paraId="6AA63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9" w:type="pct"/>
                  <w:vAlign w:val="center"/>
                </w:tcPr>
                <w:p w14:paraId="3E095A7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砷（×10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w:t>
                  </w:r>
                </w:p>
              </w:tc>
              <w:tc>
                <w:tcPr>
                  <w:tcW w:w="1249" w:type="pct"/>
                  <w:vAlign w:val="center"/>
                </w:tcPr>
                <w:p w14:paraId="43BE6B8B">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249" w:type="pct"/>
                  <w:vAlign w:val="center"/>
                </w:tcPr>
                <w:p w14:paraId="6E4DAA2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65.0</w:t>
                  </w:r>
                </w:p>
              </w:tc>
              <w:tc>
                <w:tcPr>
                  <w:tcW w:w="1250" w:type="pct"/>
                  <w:vAlign w:val="center"/>
                </w:tcPr>
                <w:p w14:paraId="1988E73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93.0</w:t>
                  </w:r>
                </w:p>
              </w:tc>
            </w:tr>
            <w:tr w14:paraId="10DE8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49" w:type="pct"/>
                  <w:vAlign w:val="center"/>
                </w:tcPr>
                <w:p w14:paraId="39D9D2E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铬（×10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w:t>
                  </w:r>
                </w:p>
              </w:tc>
              <w:tc>
                <w:tcPr>
                  <w:tcW w:w="1249" w:type="pct"/>
                  <w:vAlign w:val="center"/>
                </w:tcPr>
                <w:p w14:paraId="2155CD8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1249" w:type="pct"/>
                  <w:vAlign w:val="center"/>
                </w:tcPr>
                <w:p w14:paraId="4C52A25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150.0</w:t>
                  </w:r>
                </w:p>
              </w:tc>
              <w:tc>
                <w:tcPr>
                  <w:tcW w:w="1250" w:type="pct"/>
                  <w:vAlign w:val="center"/>
                </w:tcPr>
                <w:p w14:paraId="53DF6EA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270.0</w:t>
                  </w:r>
                </w:p>
              </w:tc>
            </w:tr>
          </w:tbl>
          <w:p w14:paraId="58F6C86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（5）调查结果</w:t>
            </w:r>
          </w:p>
          <w:p w14:paraId="4E066E9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①海水水质监测结果：</w:t>
            </w:r>
          </w:p>
          <w:p w14:paraId="2164416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pH：调查海域各站位的海水pH值在7.77~8.23之间，均值为8.03，Si值在0~0.97之间，所有站位的海水pH均符合相应海水水质标准。</w:t>
            </w:r>
          </w:p>
          <w:p w14:paraId="722B504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溶解氧：调查海域各站位的海水溶解氧含量在6.64~7.68mg/L之间，均值为7.21mg/L，Si值在0.14~0.42之间，所有站位的海水溶解氧含量均符合相应海水水质标准。</w:t>
            </w:r>
          </w:p>
          <w:p w14:paraId="112037C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化学需氧量：调查海域各站位的海水化学需氧量含量在0.50~1.12mg/L之间，均值为0.71mg/L，Si值在0.13~0.37之间，所有站位的海水化学需氧量含量均符合相应海水水质标准。</w:t>
            </w:r>
          </w:p>
          <w:p w14:paraId="0E5F9A8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活性磷酸盐：调查海域各站位的海水活性磷酸盐含量在0.0082~0.0366mg/L之间，均值为0.0215mg/L，Si值在0.32~1.22间，FZ1001~FZ1003、FZ1010~FZ1012、FZ1018站位的活性磷酸盐含量劣于第二、三类海水水质标准，但符合第四类海水水质标准，其它站位的海水活性磷酸盐含量符合相应海水水质标准。</w:t>
            </w:r>
          </w:p>
          <w:p w14:paraId="5428578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机氮：调查海域各站位的海水无机氮含量在0.1449~0.4538mg/L之间，均值为0.256mg/L，Si值在0.53~1.51之间，FZ1002、FZ1003、FZ1006，FZ1001站位的海水无机氮含量劣于第三类海水水质标准，但符合第四类海水水质标准（≤0.50mg/L），FZ1009~FZ1012站位的无机氮含量劣于第二类海水水质标准，其它站位的海水无机氮含量符合相应海水水质标准。</w:t>
            </w:r>
          </w:p>
          <w:p w14:paraId="1C829F2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石油类：调查海域各站位的海水石油类含量在6.2~29.2μg/L之间，均值为13.7μg/L，Si值在0.03~0.58之间，所有站位的海水石油类含量均符合相应海水水质标准。</w:t>
            </w:r>
          </w:p>
          <w:p w14:paraId="5E3608C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悬浮物：调查海域各站位的海水悬浮物含量在11.0~28.2mg/L之间，均值为17.1mg/L。</w:t>
            </w:r>
          </w:p>
          <w:p w14:paraId="05502B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锌：调查海域各站位的海水锌含量在5.2~11.7μg/L之间，均值为8.0μg/L，Si值在0.06~0.38之间，所有站位的海水锌含量均符合相应海水水质标准。</w:t>
            </w:r>
          </w:p>
          <w:p w14:paraId="2B4C531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铜：调查海域各站位的海水铜含量在0.5~1.9μg/L之间，均值为1.2μg/L，Si值在0.02~0.38之间，所有站位的海水铜含量均符合相应海水水质标准。</w:t>
            </w:r>
          </w:p>
          <w:p w14:paraId="611E71D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铅：调查海域各站位的海水铅含量在0.31L~0.96μg/L之间，均值为0.66μg/L，Si值在0.03~0.96之间，所有站位的海水铅含量均符合相应海水水质标准。</w:t>
            </w:r>
          </w:p>
          <w:p w14:paraId="1BFC1FF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镉：调查海域各站位的海水镉含量在0.07μg/L~0.15μg/L之间，平均值为0.11μg/L，Si值在0.01~0.12之间，所有站位的海水镉含量均符合相应水质标准。</w:t>
            </w:r>
          </w:p>
          <w:p w14:paraId="0FE77EF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总铬：调查海域各站位的海水铬含量在0.5~1.0μg/L之间，均值为0.7μg/L，Si值在0.003~0.016之间，所有站位的海水总铬含量均符合相应海水水质标准。</w:t>
            </w:r>
          </w:p>
          <w:p w14:paraId="1FC7F8E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汞：调查海域各站位的海水汞含量在0.009~0.038μg/L之间，均值为0.022μg/L，Si值在0.06~0.40间，所有站位的海水汞含量均符合相应海水水质标准。</w:t>
            </w:r>
          </w:p>
          <w:p w14:paraId="0262067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砷：调查海域各站位的海水砷含量在0.8~2.0μg/L之间，均值为1.2μg/L，Si值在0.02~0.07间，所有站位的海水砷含量均符合相应海水水质标准。</w:t>
            </w:r>
          </w:p>
          <w:p w14:paraId="4B7C9FC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氟化物：调查海域各站位的海水氟化物含量在0.55~1.02mg/L间，均值为0.75mg/L。</w:t>
            </w:r>
          </w:p>
          <w:p w14:paraId="3897039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多环芳烃：调查海域各站位的海水多环芳烃含量介于5~41ng/L之间，均值为16ng/L。</w:t>
            </w:r>
          </w:p>
          <w:p w14:paraId="10CEA1E3">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此外，调查海域各站位的海水硫化物、挥发性酚、六六六、滴滴涕、六价铬、多氯联苯、</w:t>
            </w:r>
            <w:r>
              <w:rPr>
                <w:rStyle w:val="54"/>
                <w:bCs/>
                <w:color w:val="000000" w:themeColor="text1"/>
                <w:lang w:bidi="ar"/>
                <w14:textFill>
                  <w14:solidFill>
                    <w14:schemeClr w14:val="tx1"/>
                  </w14:solidFill>
                </w14:textFill>
              </w:rPr>
              <w:t>苯并</w:t>
            </w:r>
            <w:r>
              <w:rPr>
                <w:rFonts w:cs="Times New Roman"/>
                <w:bCs/>
                <w:iCs/>
                <w:color w:val="000000" w:themeColor="text1"/>
                <w:lang w:bidi="ar"/>
                <w14:textFill>
                  <w14:solidFill>
                    <w14:schemeClr w14:val="tx1"/>
                  </w14:solidFill>
                </w14:textFill>
              </w:rPr>
              <w:t>[a]</w:t>
            </w:r>
            <w:r>
              <w:rPr>
                <w:rStyle w:val="54"/>
                <w:bCs/>
                <w:color w:val="000000" w:themeColor="text1"/>
                <w:lang w:bidi="ar"/>
                <w14:textFill>
                  <w14:solidFill>
                    <w14:schemeClr w14:val="tx1"/>
                  </w14:solidFill>
                </w14:textFill>
              </w:rPr>
              <w:t>芘</w:t>
            </w:r>
            <w:r>
              <w:rPr>
                <w:rFonts w:cs="Times New Roman"/>
                <w:bCs/>
                <w:color w:val="000000" w:themeColor="text1"/>
                <w14:textFill>
                  <w14:solidFill>
                    <w14:schemeClr w14:val="tx1"/>
                  </w14:solidFill>
                </w14:textFill>
              </w:rPr>
              <w:t>均未检出</w:t>
            </w:r>
            <w:r>
              <w:rPr>
                <w:rFonts w:cs="Times New Roman"/>
                <w:color w:val="000000" w:themeColor="text1"/>
                <w14:textFill>
                  <w14:solidFill>
                    <w14:schemeClr w14:val="tx1"/>
                  </w14:solidFill>
                </w14:textFill>
              </w:rPr>
              <w:t>。</w:t>
            </w:r>
          </w:p>
          <w:p w14:paraId="2D29AE3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②沉积物监测结果</w:t>
            </w:r>
          </w:p>
          <w:p w14:paraId="650C40C3">
            <w:pPr>
              <w:ind w:firstLine="480"/>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石油类：</w:t>
            </w:r>
            <w:r>
              <w:rPr>
                <w:rFonts w:cs="Times New Roman"/>
                <w:color w:val="000000" w:themeColor="text1"/>
                <w14:textFill>
                  <w14:solidFill>
                    <w14:schemeClr w14:val="tx1"/>
                  </w14:solidFill>
                </w14:textFill>
              </w:rPr>
              <w:t>调查海域沉积物的石油类含量在25.5×10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~158×10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之间，平均值为76.0×10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，Si值在0.04~0.32之间；所有测点沉积物中石油类含量均符合相应海洋沉积物质量标准。</w:t>
            </w:r>
          </w:p>
          <w:p w14:paraId="06E1968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硫化物：调查海域沉积物的硫化物含量在12.2×10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~52.2×10</w:t>
            </w:r>
            <w:r>
              <w:rPr>
                <w:rFonts w:cs="Times New Roman"/>
                <w:color w:val="000000" w:themeColor="text1"/>
                <w:vertAlign w:val="superscript"/>
                <w14:textFill>
                  <w14:solidFill>
                    <w14:schemeClr w14:val="tx1"/>
                  </w14:solidFill>
                </w14:textFill>
              </w:rPr>
              <w:t>-</w:t>
            </w:r>
            <w:r>
              <w:rPr>
                <w:rFonts w:cs="Times New Roman"/>
                <w:color w:val="000000" w:themeColor="text1"/>
                <w14:textFill>
                  <w14:solidFill>
                    <w14:schemeClr w14:val="tx1"/>
                  </w14:solidFill>
                </w14:textFill>
              </w:rPr>
              <w:t>6之间，平均值为29.8×10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，Si值在0.04~0.17之间；所有测点沉积物中硫化物含量均符合相应海洋沉积物质量标准。</w:t>
            </w:r>
          </w:p>
          <w:p w14:paraId="35B6003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有机碳：调查海域沉积物的有机碳含量在0.65%~0.96%之间，平均值为0.79%，Si值在0.25~0.48之间；所有测点沉积物中有机碳含量均符合相应海洋沉积物质量标准。</w:t>
            </w:r>
          </w:p>
          <w:p w14:paraId="1C82385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锌：调查海域沉积物的锌含量在91.2×10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~133×10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之间，平均值为103×10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，Si值在0.26~0.89之间；所有测点沉积物中锌含量均符合相应海洋沉积物质量标准。</w:t>
            </w:r>
          </w:p>
          <w:p w14:paraId="056CB76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铜：调查海域沉积物的铜含量在20.6×10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~33.7×10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之间，平均值为24.8×10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，Si值在0.22~0.96之间；所有测点沉积物中铜含量均符合相应海洋沉积物质量标准。</w:t>
            </w:r>
          </w:p>
          <w:p w14:paraId="10C3DF0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铅：调查海域沉积物的铅含量在31.4×10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~42.8×10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之间，平均值为37.5×10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，Si值在0.31~0.71之间；所有测点沉积物中铅含量均符合相应海洋沉积物质量标准。</w:t>
            </w:r>
          </w:p>
          <w:p w14:paraId="57C14D6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镉：调查海域沉积物的镉含量在0.08×10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~0.13×10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之间，平均值为0.11×10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，Si值在0.09~0.26之间；所有测点沉积物中镉含量均符合相应海洋沉积物质量标准。</w:t>
            </w:r>
          </w:p>
          <w:p w14:paraId="0DCD45C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铬：调查海域沉积物的铬含量在50.2×10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~70.2×10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之间，平均值为58.7×10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，Si值在0.40~0.88之间；所有测点沉积物中铬含量均符合相应海洋沉积物质量标准。</w:t>
            </w:r>
          </w:p>
          <w:p w14:paraId="3014054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总汞：调查海域沉积物的总汞含量在0.032×10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~0.065×10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之间，平均值为0.048×10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，Si值在0.07~0.33之间；所有测点沉积物中总汞含量均符合相应海洋沉积物质量标准。</w:t>
            </w:r>
          </w:p>
          <w:p w14:paraId="5B5E37C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砷：调查海域沉积物的砷含量在5.81×10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~9.30×10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之间，平均值为7.40×10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，Si值在0.13~0.47之间；所有测点沉积物中砷含量均符合相应海洋沉积物质量标准。</w:t>
            </w:r>
          </w:p>
          <w:p w14:paraId="60865DA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六六六、滴滴涕、多氯联苯：调查海域所有测点沉积物中六六六、滴滴涕、多氯联苯均未检出。</w:t>
            </w:r>
          </w:p>
          <w:p w14:paraId="3A04760B">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海域环境质量现状评价</w:t>
            </w:r>
          </w:p>
          <w:p w14:paraId="0361098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查海域2023年9月各测站海水中18.9%站位的活性磷酸盐含量劣于第二、三类海水水质标准，超标倍数为0.02~0.22，均符合第四类海水水质标准；21.6%站位的无机氮含量劣于第二、三类海水水质标准，超标倍数为0.12~0.51，均符合第四类海水水质标准；其余水质调查项目均符合第二类海水水质标准。2023年9月23个调查站位中，执行第一类海水水质标准的2个站位未超标；执行第二类海水水质标准的14个站位中无机氮超标率50.00%、活性磷酸盐超标率35.71%；执行第三类海水水质标准的7个站位中无机氮超标率14.29%、活性磷酸盐超标率28.57%；其他监测指标满足相应标准要求。分析认为，评价海域水质超标因子主要为活性磷酸盐和无机氮，最大超标倍数分别为1.8倍和2.14倍。评价结果显示，2023年罗源湾水质现状总体较好，监测因子无机氮和活性磷酸盐超标现象与过往该片海域水质常规监测分析结果基本一致。</w:t>
            </w:r>
          </w:p>
          <w:p w14:paraId="61EB269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调查结果表明，2023年9月调查海域各测站海洋沉积物中各项监测指标均满足相应功能区标准要求，调查海域沉积物质量总体良好。</w:t>
            </w:r>
          </w:p>
          <w:p w14:paraId="0203CE51">
            <w:pPr>
              <w:pStyle w:val="353"/>
              <w:spacing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3.2</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2023年9月水质监测结果标准指数一览表</w:t>
            </w:r>
          </w:p>
          <w:p w14:paraId="544642BA">
            <w:pPr>
              <w:pStyle w:val="353"/>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3.2</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2023年9月海洋沉积物评价指数</w:t>
            </w:r>
          </w:p>
          <w:p w14:paraId="18275716">
            <w:pPr>
              <w:pStyle w:val="353"/>
              <w:rPr>
                <w:rFonts w:cs="Times New Roman"/>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58A4EC17">
            <w:pPr>
              <w:pStyle w:val="3"/>
              <w:rPr>
                <w:rFonts w:cs="Times New Roman"/>
                <w:color w:val="000000" w:themeColor="text1"/>
                <w14:textFill>
                  <w14:solidFill>
                    <w14:schemeClr w14:val="tx1"/>
                  </w14:solidFill>
                </w14:textFill>
              </w:rPr>
            </w:pPr>
            <w:bookmarkStart w:id="115" w:name="_Toc230448038"/>
            <w:bookmarkStart w:id="116" w:name="_Toc2145440143"/>
            <w:r>
              <w:rPr>
                <w:rFonts w:cs="Times New Roman"/>
                <w:color w:val="000000" w:themeColor="text1"/>
                <w14:textFill>
                  <w14:solidFill>
                    <w14:schemeClr w14:val="tx1"/>
                  </w14:solidFill>
                </w14:textFill>
              </w:rPr>
              <w:t>地表水环境质量现状调查评价</w:t>
            </w:r>
            <w:bookmarkEnd w:id="115"/>
            <w:bookmarkEnd w:id="116"/>
          </w:p>
          <w:p w14:paraId="3CFF7FD5">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地表水环境质量现状调查</w:t>
            </w:r>
          </w:p>
          <w:p w14:paraId="7AE914D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（1）监测断面与监测因子</w:t>
            </w:r>
          </w:p>
          <w:p w14:paraId="047E641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了解项目区域地表水环境质量现状，本次评价引用了《中辰新能源材料循环再利用项目（一期）环境影响报告书》地表水体的水质监测数据。水质监测段面布设和监测项目具体见图3.3-1与表3.3-1。监测日期为2023年9月2日~4日。</w:t>
            </w:r>
          </w:p>
          <w:p w14:paraId="14454927">
            <w:pPr>
              <w:pStyle w:val="353"/>
              <w:rPr>
                <w:rFonts w:cs="Times New Roman"/>
                <w:color w:val="000000" w:themeColor="text1"/>
                <w14:textFill>
                  <w14:solidFill>
                    <w14:schemeClr w14:val="tx1"/>
                  </w14:solidFill>
                </w14:textFill>
              </w:rPr>
            </w:pPr>
          </w:p>
          <w:p w14:paraId="1028D6A8">
            <w:pPr>
              <w:pStyle w:val="304"/>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图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3.3</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图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地表水环境现状监测点位图</w:t>
            </w:r>
          </w:p>
          <w:p w14:paraId="43446BB6">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地表水监测项目一览表</w:t>
            </w:r>
          </w:p>
          <w:tbl>
            <w:tblPr>
              <w:tblStyle w:val="46"/>
              <w:tblpPr w:leftFromText="180" w:rightFromText="180" w:vertAnchor="text" w:horzAnchor="page" w:tblpX="143" w:tblpY="215"/>
              <w:tblOverlap w:val="never"/>
              <w:tblW w:w="4822" w:type="pct"/>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622"/>
              <w:gridCol w:w="1567"/>
              <w:gridCol w:w="5735"/>
            </w:tblGrid>
            <w:tr w14:paraId="488EA80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73" w:hRule="atLeast"/>
                <w:tblHeader/>
              </w:trPr>
              <w:tc>
                <w:tcPr>
                  <w:tcW w:w="392" w:type="pct"/>
                  <w:vAlign w:val="center"/>
                </w:tcPr>
                <w:p w14:paraId="690852CE">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编号</w:t>
                  </w:r>
                </w:p>
              </w:tc>
              <w:tc>
                <w:tcPr>
                  <w:tcW w:w="989" w:type="pct"/>
                  <w:vAlign w:val="center"/>
                </w:tcPr>
                <w:p w14:paraId="19336F16">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检测点位</w:t>
                  </w:r>
                </w:p>
              </w:tc>
              <w:tc>
                <w:tcPr>
                  <w:tcW w:w="3618" w:type="pct"/>
                  <w:vAlign w:val="center"/>
                </w:tcPr>
                <w:p w14:paraId="31D207DA">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监测项目</w:t>
                  </w:r>
                </w:p>
              </w:tc>
            </w:tr>
            <w:tr w14:paraId="359D927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392" w:type="pct"/>
                  <w:vAlign w:val="center"/>
                </w:tcPr>
                <w:p w14:paraId="3DFCD49A">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989" w:type="pct"/>
                  <w:vAlign w:val="center"/>
                </w:tcPr>
                <w:p w14:paraId="085152B1">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W1</w:t>
                  </w:r>
                </w:p>
              </w:tc>
              <w:tc>
                <w:tcPr>
                  <w:tcW w:w="3618" w:type="pct"/>
                  <w:vAlign w:val="center"/>
                </w:tcPr>
                <w:p w14:paraId="6F287D88">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pH、水温、COD、BOD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、氨氮、总氮、总磷、铜、锂、镍、锰</w:t>
                  </w:r>
                </w:p>
              </w:tc>
            </w:tr>
            <w:tr w14:paraId="7490451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392" w:type="pct"/>
                  <w:vAlign w:val="center"/>
                </w:tcPr>
                <w:p w14:paraId="5B27C63A">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989" w:type="pct"/>
                  <w:vAlign w:val="center"/>
                </w:tcPr>
                <w:p w14:paraId="09D6C100">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W2</w:t>
                  </w:r>
                </w:p>
              </w:tc>
              <w:tc>
                <w:tcPr>
                  <w:tcW w:w="3618" w:type="pct"/>
                  <w:vAlign w:val="center"/>
                </w:tcPr>
                <w:p w14:paraId="40C3C2DD">
                  <w:pPr>
                    <w:pStyle w:val="10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pH、DO、COD、无机氮、活性磷酸盐、石油类</w:t>
                  </w:r>
                </w:p>
              </w:tc>
            </w:tr>
          </w:tbl>
          <w:p w14:paraId="588148D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（2）监测项目分析方法</w:t>
            </w:r>
          </w:p>
          <w:p w14:paraId="660E1EB7">
            <w:pPr>
              <w:pStyle w:val="353"/>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3.3</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水质监测项目与分析方法一览表</w:t>
            </w:r>
          </w:p>
          <w:tbl>
            <w:tblPr>
              <w:tblStyle w:val="46"/>
              <w:tblW w:w="4995"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87"/>
              <w:gridCol w:w="989"/>
              <w:gridCol w:w="1783"/>
              <w:gridCol w:w="3441"/>
              <w:gridCol w:w="1309"/>
            </w:tblGrid>
            <w:tr w14:paraId="0BF7C25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07" w:hRule="atLeast"/>
                <w:tblHeader/>
                <w:jc w:val="center"/>
              </w:trPr>
              <w:tc>
                <w:tcPr>
                  <w:tcW w:w="418" w:type="pct"/>
                  <w:vAlign w:val="center"/>
                </w:tcPr>
                <w:p w14:paraId="4C952312">
                  <w:pPr>
                    <w:pStyle w:val="9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02" w:type="pct"/>
                  <w:vAlign w:val="center"/>
                </w:tcPr>
                <w:p w14:paraId="4ABC2B09">
                  <w:pPr>
                    <w:pStyle w:val="90"/>
                    <w:rPr>
                      <w:color w:val="000000" w:themeColor="text1"/>
                      <w14:textFill>
                        <w14:solidFill>
                          <w14:schemeClr w14:val="tx1"/>
                        </w14:solidFill>
                      </w14:textFill>
                    </w:rPr>
                  </w:pPr>
                  <w:r>
                    <w:rPr>
                      <w:color w:val="000000" w:themeColor="text1"/>
                      <w14:textFill>
                        <w14:solidFill>
                          <w14:schemeClr w14:val="tx1"/>
                        </w14:solidFill>
                      </w14:textFill>
                    </w:rPr>
                    <w:t>检测因子</w:t>
                  </w:r>
                </w:p>
              </w:tc>
              <w:tc>
                <w:tcPr>
                  <w:tcW w:w="1086" w:type="pct"/>
                  <w:vAlign w:val="center"/>
                </w:tcPr>
                <w:p w14:paraId="7A904109">
                  <w:pPr>
                    <w:pStyle w:val="90"/>
                    <w:rPr>
                      <w:color w:val="000000" w:themeColor="text1"/>
                      <w14:textFill>
                        <w14:solidFill>
                          <w14:schemeClr w14:val="tx1"/>
                        </w14:solidFill>
                      </w14:textFill>
                    </w:rPr>
                  </w:pPr>
                  <w:r>
                    <w:rPr>
                      <w:color w:val="000000" w:themeColor="text1"/>
                      <w14:textFill>
                        <w14:solidFill>
                          <w14:schemeClr w14:val="tx1"/>
                        </w14:solidFill>
                      </w14:textFill>
                    </w:rPr>
                    <w:t>标准号</w:t>
                  </w:r>
                </w:p>
              </w:tc>
              <w:tc>
                <w:tcPr>
                  <w:tcW w:w="2095" w:type="pct"/>
                  <w:vAlign w:val="center"/>
                </w:tcPr>
                <w:p w14:paraId="5DA4CF01">
                  <w:pPr>
                    <w:pStyle w:val="90"/>
                    <w:rPr>
                      <w:color w:val="000000" w:themeColor="text1"/>
                      <w14:textFill>
                        <w14:solidFill>
                          <w14:schemeClr w14:val="tx1"/>
                        </w14:solidFill>
                      </w14:textFill>
                    </w:rPr>
                  </w:pPr>
                  <w:r>
                    <w:rPr>
                      <w:color w:val="000000" w:themeColor="text1"/>
                      <w14:textFill>
                        <w14:solidFill>
                          <w14:schemeClr w14:val="tx1"/>
                        </w14:solidFill>
                      </w14:textFill>
                    </w:rPr>
                    <w:t>标准名称</w:t>
                  </w:r>
                </w:p>
              </w:tc>
              <w:tc>
                <w:tcPr>
                  <w:tcW w:w="797" w:type="pct"/>
                  <w:vAlign w:val="center"/>
                </w:tcPr>
                <w:p w14:paraId="3B285FD3">
                  <w:pPr>
                    <w:pStyle w:val="90"/>
                    <w:rPr>
                      <w:color w:val="000000" w:themeColor="text1"/>
                      <w14:textFill>
                        <w14:solidFill>
                          <w14:schemeClr w14:val="tx1"/>
                        </w14:solidFill>
                      </w14:textFill>
                    </w:rPr>
                  </w:pPr>
                  <w:r>
                    <w:rPr>
                      <w:color w:val="000000" w:themeColor="text1"/>
                      <w14:textFill>
                        <w14:solidFill>
                          <w14:schemeClr w14:val="tx1"/>
                        </w14:solidFill>
                      </w14:textFill>
                    </w:rPr>
                    <w:t>检出限</w:t>
                  </w:r>
                </w:p>
              </w:tc>
            </w:tr>
            <w:tr w14:paraId="6115F1D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restart"/>
                  <w:vAlign w:val="center"/>
                </w:tcPr>
                <w:p w14:paraId="17AA2937">
                  <w:pPr>
                    <w:pStyle w:val="90"/>
                    <w:rPr>
                      <w:color w:val="000000" w:themeColor="text1"/>
                      <w14:textFill>
                        <w14:solidFill>
                          <w14:schemeClr w14:val="tx1"/>
                        </w14:solidFill>
                      </w14:textFill>
                    </w:rPr>
                  </w:pPr>
                  <w:r>
                    <w:rPr>
                      <w:color w:val="000000" w:themeColor="text1"/>
                      <w14:textFill>
                        <w14:solidFill>
                          <w14:schemeClr w14:val="tx1"/>
                        </w14:solidFill>
                      </w14:textFill>
                    </w:rPr>
                    <w:t>1</w:t>
                  </w:r>
                </w:p>
              </w:tc>
              <w:tc>
                <w:tcPr>
                  <w:tcW w:w="602" w:type="pct"/>
                  <w:vMerge w:val="restart"/>
                  <w:vAlign w:val="center"/>
                </w:tcPr>
                <w:p w14:paraId="6CF9BBAE">
                  <w:pPr>
                    <w:pStyle w:val="90"/>
                    <w:rPr>
                      <w:color w:val="000000" w:themeColor="text1"/>
                      <w14:textFill>
                        <w14:solidFill>
                          <w14:schemeClr w14:val="tx1"/>
                        </w14:solidFill>
                      </w14:textFill>
                    </w:rPr>
                  </w:pPr>
                  <w:r>
                    <w:rPr>
                      <w:color w:val="000000" w:themeColor="text1"/>
                      <w14:textFill>
                        <w14:solidFill>
                          <w14:schemeClr w14:val="tx1"/>
                        </w14:solidFill>
                      </w14:textFill>
                    </w:rPr>
                    <w:t>pH值</w:t>
                  </w:r>
                </w:p>
              </w:tc>
              <w:tc>
                <w:tcPr>
                  <w:tcW w:w="1086" w:type="pct"/>
                  <w:vAlign w:val="center"/>
                </w:tcPr>
                <w:p w14:paraId="220C26B0">
                  <w:pPr>
                    <w:pStyle w:val="90"/>
                    <w:rPr>
                      <w:color w:val="000000" w:themeColor="text1"/>
                      <w14:textFill>
                        <w14:solidFill>
                          <w14:schemeClr w14:val="tx1"/>
                        </w14:solidFill>
                      </w14:textFill>
                    </w:rPr>
                  </w:pPr>
                  <w:r>
                    <w:rPr>
                      <w:color w:val="000000" w:themeColor="text1"/>
                      <w14:textFill>
                        <w14:solidFill>
                          <w14:schemeClr w14:val="tx1"/>
                        </w14:solidFill>
                      </w14:textFill>
                    </w:rPr>
                    <w:t>GB/T 920-1986</w:t>
                  </w:r>
                </w:p>
              </w:tc>
              <w:tc>
                <w:tcPr>
                  <w:tcW w:w="2095" w:type="pct"/>
                  <w:vAlign w:val="center"/>
                </w:tcPr>
                <w:p w14:paraId="5219576E">
                  <w:pPr>
                    <w:pStyle w:val="90"/>
                    <w:rPr>
                      <w:color w:val="000000" w:themeColor="text1"/>
                      <w14:textFill>
                        <w14:solidFill>
                          <w14:schemeClr w14:val="tx1"/>
                        </w14:solidFill>
                      </w14:textFill>
                    </w:rPr>
                  </w:pPr>
                  <w:r>
                    <w:rPr>
                      <w:color w:val="000000" w:themeColor="text1"/>
                      <w14:textFill>
                        <w14:solidFill>
                          <w14:schemeClr w14:val="tx1"/>
                        </w14:solidFill>
                      </w14:textFill>
                    </w:rPr>
                    <w:t>《水质 pH值的测定 玻璃电极法》</w:t>
                  </w:r>
                </w:p>
              </w:tc>
              <w:tc>
                <w:tcPr>
                  <w:tcW w:w="797" w:type="pct"/>
                  <w:vAlign w:val="center"/>
                </w:tcPr>
                <w:p w14:paraId="2751C7CD">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35CA783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continue"/>
                  <w:vAlign w:val="center"/>
                </w:tcPr>
                <w:p w14:paraId="5F7EB0A9">
                  <w:pPr>
                    <w:pStyle w:val="90"/>
                    <w:rPr>
                      <w:color w:val="000000" w:themeColor="text1"/>
                      <w14:textFill>
                        <w14:solidFill>
                          <w14:schemeClr w14:val="tx1"/>
                        </w14:solidFill>
                      </w14:textFill>
                    </w:rPr>
                  </w:pPr>
                </w:p>
              </w:tc>
              <w:tc>
                <w:tcPr>
                  <w:tcW w:w="602" w:type="pct"/>
                  <w:vMerge w:val="continue"/>
                  <w:vAlign w:val="center"/>
                </w:tcPr>
                <w:p w14:paraId="6E59F907">
                  <w:pPr>
                    <w:pStyle w:val="90"/>
                    <w:rPr>
                      <w:color w:val="000000" w:themeColor="text1"/>
                      <w14:textFill>
                        <w14:solidFill>
                          <w14:schemeClr w14:val="tx1"/>
                        </w14:solidFill>
                      </w14:textFill>
                    </w:rPr>
                  </w:pPr>
                </w:p>
              </w:tc>
              <w:tc>
                <w:tcPr>
                  <w:tcW w:w="1086" w:type="pct"/>
                  <w:vAlign w:val="center"/>
                </w:tcPr>
                <w:p w14:paraId="5D2CFB10">
                  <w:pPr>
                    <w:pStyle w:val="90"/>
                    <w:rPr>
                      <w:color w:val="000000" w:themeColor="text1"/>
                      <w14:textFill>
                        <w14:solidFill>
                          <w14:schemeClr w14:val="tx1"/>
                        </w14:solidFill>
                      </w14:textFill>
                    </w:rPr>
                  </w:pPr>
                  <w:r>
                    <w:rPr>
                      <w:color w:val="000000" w:themeColor="text1"/>
                      <w14:textFill>
                        <w14:solidFill>
                          <w14:schemeClr w14:val="tx1"/>
                        </w14:solidFill>
                      </w14:textFill>
                    </w:rPr>
                    <w:t>GB 7378.4-2007</w:t>
                  </w:r>
                </w:p>
              </w:tc>
              <w:tc>
                <w:tcPr>
                  <w:tcW w:w="2095" w:type="pct"/>
                  <w:vAlign w:val="center"/>
                </w:tcPr>
                <w:p w14:paraId="7F2E788A">
                  <w:pPr>
                    <w:pStyle w:val="90"/>
                    <w:rPr>
                      <w:color w:val="000000" w:themeColor="text1"/>
                      <w14:textFill>
                        <w14:solidFill>
                          <w14:schemeClr w14:val="tx1"/>
                        </w14:solidFill>
                      </w14:textFill>
                    </w:rPr>
                  </w:pPr>
                  <w:r>
                    <w:rPr>
                      <w:color w:val="000000" w:themeColor="text1"/>
                      <w14:textFill>
                        <w14:solidFill>
                          <w14:schemeClr w14:val="tx1"/>
                        </w14:solidFill>
                      </w14:textFill>
                    </w:rPr>
                    <w:t>26《海洋检测规范 第4部分：海水分析 pH计法》</w:t>
                  </w:r>
                </w:p>
              </w:tc>
              <w:tc>
                <w:tcPr>
                  <w:tcW w:w="797" w:type="pct"/>
                  <w:vAlign w:val="center"/>
                </w:tcPr>
                <w:p w14:paraId="7A1EDC1A">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6ABF389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1C1CEF58">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602" w:type="pct"/>
                  <w:vAlign w:val="center"/>
                </w:tcPr>
                <w:p w14:paraId="75662E63">
                  <w:pPr>
                    <w:pStyle w:val="90"/>
                    <w:rPr>
                      <w:color w:val="000000" w:themeColor="text1"/>
                      <w14:textFill>
                        <w14:solidFill>
                          <w14:schemeClr w14:val="tx1"/>
                        </w14:solidFill>
                      </w14:textFill>
                    </w:rPr>
                  </w:pPr>
                  <w:r>
                    <w:rPr>
                      <w:color w:val="000000" w:themeColor="text1"/>
                      <w14:textFill>
                        <w14:solidFill>
                          <w14:schemeClr w14:val="tx1"/>
                        </w14:solidFill>
                      </w14:textFill>
                    </w:rPr>
                    <w:t>水温</w:t>
                  </w:r>
                </w:p>
              </w:tc>
              <w:tc>
                <w:tcPr>
                  <w:tcW w:w="1086" w:type="pct"/>
                  <w:vAlign w:val="center"/>
                </w:tcPr>
                <w:p w14:paraId="461BB117">
                  <w:pPr>
                    <w:pStyle w:val="90"/>
                    <w:rPr>
                      <w:color w:val="000000" w:themeColor="text1"/>
                      <w14:textFill>
                        <w14:solidFill>
                          <w14:schemeClr w14:val="tx1"/>
                        </w14:solidFill>
                      </w14:textFill>
                    </w:rPr>
                  </w:pPr>
                  <w:r>
                    <w:rPr>
                      <w:color w:val="000000" w:themeColor="text1"/>
                      <w14:textFill>
                        <w14:solidFill>
                          <w14:schemeClr w14:val="tx1"/>
                        </w14:solidFill>
                      </w14:textFill>
                    </w:rPr>
                    <w:t>GB 13195-1991</w:t>
                  </w:r>
                </w:p>
              </w:tc>
              <w:tc>
                <w:tcPr>
                  <w:tcW w:w="2095" w:type="pct"/>
                  <w:vAlign w:val="center"/>
                </w:tcPr>
                <w:p w14:paraId="64DFF3C4">
                  <w:pPr>
                    <w:pStyle w:val="90"/>
                    <w:rPr>
                      <w:color w:val="000000" w:themeColor="text1"/>
                      <w14:textFill>
                        <w14:solidFill>
                          <w14:schemeClr w14:val="tx1"/>
                        </w14:solidFill>
                      </w14:textFill>
                    </w:rPr>
                  </w:pPr>
                  <w:r>
                    <w:rPr>
                      <w:color w:val="000000" w:themeColor="text1"/>
                      <w14:textFill>
                        <w14:solidFill>
                          <w14:schemeClr w14:val="tx1"/>
                        </w14:solidFill>
                      </w14:textFill>
                    </w:rPr>
                    <w:t>《水质 水温的测定 温度计或颠倒温度计测定法》</w:t>
                  </w:r>
                </w:p>
              </w:tc>
              <w:tc>
                <w:tcPr>
                  <w:tcW w:w="797" w:type="pct"/>
                  <w:vAlign w:val="center"/>
                </w:tcPr>
                <w:p w14:paraId="27038BB2">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7B95000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pct"/>
                  <w:vMerge w:val="restart"/>
                  <w:vAlign w:val="center"/>
                </w:tcPr>
                <w:p w14:paraId="54FD330A">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c>
                <w:tcPr>
                  <w:tcW w:w="602" w:type="pct"/>
                  <w:vMerge w:val="restart"/>
                  <w:vAlign w:val="center"/>
                </w:tcPr>
                <w:p w14:paraId="5611C146">
                  <w:pPr>
                    <w:pStyle w:val="90"/>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086" w:type="pct"/>
                  <w:vAlign w:val="center"/>
                </w:tcPr>
                <w:p w14:paraId="24381A8C">
                  <w:pPr>
                    <w:pStyle w:val="90"/>
                    <w:rPr>
                      <w:color w:val="000000" w:themeColor="text1"/>
                      <w14:textFill>
                        <w14:solidFill>
                          <w14:schemeClr w14:val="tx1"/>
                        </w14:solidFill>
                      </w14:textFill>
                    </w:rPr>
                  </w:pPr>
                  <w:r>
                    <w:rPr>
                      <w:color w:val="000000" w:themeColor="text1"/>
                      <w14:textFill>
                        <w14:solidFill>
                          <w14:schemeClr w14:val="tx1"/>
                        </w14:solidFill>
                      </w14:textFill>
                    </w:rPr>
                    <w:t>HJ 828-2017</w:t>
                  </w:r>
                </w:p>
              </w:tc>
              <w:tc>
                <w:tcPr>
                  <w:tcW w:w="2095" w:type="pct"/>
                  <w:vAlign w:val="center"/>
                </w:tcPr>
                <w:p w14:paraId="4BF7BBD6">
                  <w:pPr>
                    <w:pStyle w:val="90"/>
                    <w:rPr>
                      <w:color w:val="000000" w:themeColor="text1"/>
                      <w14:textFill>
                        <w14:solidFill>
                          <w14:schemeClr w14:val="tx1"/>
                        </w14:solidFill>
                      </w14:textFill>
                    </w:rPr>
                  </w:pPr>
                  <w:r>
                    <w:rPr>
                      <w:color w:val="000000" w:themeColor="text1"/>
                      <w14:textFill>
                        <w14:solidFill>
                          <w14:schemeClr w14:val="tx1"/>
                        </w14:solidFill>
                      </w14:textFill>
                    </w:rPr>
                    <w:t>《水质 化学需氧量 重铬酸钾法》</w:t>
                  </w:r>
                </w:p>
              </w:tc>
              <w:tc>
                <w:tcPr>
                  <w:tcW w:w="797" w:type="pct"/>
                  <w:vAlign w:val="center"/>
                </w:tcPr>
                <w:p w14:paraId="6A4CBA81">
                  <w:pPr>
                    <w:pStyle w:val="90"/>
                    <w:rPr>
                      <w:color w:val="000000" w:themeColor="text1"/>
                      <w14:textFill>
                        <w14:solidFill>
                          <w14:schemeClr w14:val="tx1"/>
                        </w14:solidFill>
                      </w14:textFill>
                    </w:rPr>
                  </w:pPr>
                  <w:r>
                    <w:rPr>
                      <w:color w:val="000000" w:themeColor="text1"/>
                      <w14:textFill>
                        <w14:solidFill>
                          <w14:schemeClr w14:val="tx1"/>
                        </w14:solidFill>
                      </w14:textFill>
                    </w:rPr>
                    <w:t>4mg/L</w:t>
                  </w:r>
                </w:p>
              </w:tc>
            </w:tr>
            <w:tr w14:paraId="795C17D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18" w:type="pct"/>
                  <w:vMerge w:val="continue"/>
                  <w:vAlign w:val="center"/>
                </w:tcPr>
                <w:p w14:paraId="363BD8D4">
                  <w:pPr>
                    <w:pStyle w:val="90"/>
                    <w:rPr>
                      <w:color w:val="000000" w:themeColor="text1"/>
                      <w14:textFill>
                        <w14:solidFill>
                          <w14:schemeClr w14:val="tx1"/>
                        </w14:solidFill>
                      </w14:textFill>
                    </w:rPr>
                  </w:pPr>
                </w:p>
              </w:tc>
              <w:tc>
                <w:tcPr>
                  <w:tcW w:w="602" w:type="pct"/>
                  <w:vMerge w:val="continue"/>
                  <w:vAlign w:val="center"/>
                </w:tcPr>
                <w:p w14:paraId="52A1798B">
                  <w:pPr>
                    <w:pStyle w:val="90"/>
                    <w:rPr>
                      <w:color w:val="000000" w:themeColor="text1"/>
                      <w14:textFill>
                        <w14:solidFill>
                          <w14:schemeClr w14:val="tx1"/>
                        </w14:solidFill>
                      </w14:textFill>
                    </w:rPr>
                  </w:pPr>
                </w:p>
              </w:tc>
              <w:tc>
                <w:tcPr>
                  <w:tcW w:w="1086" w:type="pct"/>
                  <w:vAlign w:val="center"/>
                </w:tcPr>
                <w:p w14:paraId="52E93866">
                  <w:pPr>
                    <w:pStyle w:val="90"/>
                    <w:rPr>
                      <w:color w:val="000000" w:themeColor="text1"/>
                      <w14:textFill>
                        <w14:solidFill>
                          <w14:schemeClr w14:val="tx1"/>
                        </w14:solidFill>
                      </w14:textFill>
                    </w:rPr>
                  </w:pPr>
                  <w:r>
                    <w:rPr>
                      <w:color w:val="000000" w:themeColor="text1"/>
                      <w14:textFill>
                        <w14:solidFill>
                          <w14:schemeClr w14:val="tx1"/>
                        </w14:solidFill>
                      </w14:textFill>
                    </w:rPr>
                    <w:t>GB 7378.4-2007</w:t>
                  </w:r>
                </w:p>
              </w:tc>
              <w:tc>
                <w:tcPr>
                  <w:tcW w:w="2095" w:type="pct"/>
                  <w:vAlign w:val="center"/>
                </w:tcPr>
                <w:p w14:paraId="2147F06B">
                  <w:pPr>
                    <w:pStyle w:val="90"/>
                    <w:rPr>
                      <w:color w:val="000000" w:themeColor="text1"/>
                      <w14:textFill>
                        <w14:solidFill>
                          <w14:schemeClr w14:val="tx1"/>
                        </w14:solidFill>
                      </w14:textFill>
                    </w:rPr>
                  </w:pPr>
                  <w:r>
                    <w:rPr>
                      <w:color w:val="000000" w:themeColor="text1"/>
                      <w14:textFill>
                        <w14:solidFill>
                          <w14:schemeClr w14:val="tx1"/>
                        </w14:solidFill>
                      </w14:textFill>
                    </w:rPr>
                    <w:t>32《海洋检测规范 第4部分：海水分析 碱性高锰酸钾法》</w:t>
                  </w:r>
                </w:p>
              </w:tc>
              <w:tc>
                <w:tcPr>
                  <w:tcW w:w="797" w:type="pct"/>
                  <w:vAlign w:val="center"/>
                </w:tcPr>
                <w:p w14:paraId="4CA5A73B">
                  <w:pPr>
                    <w:pStyle w:val="90"/>
                    <w:rPr>
                      <w:color w:val="000000" w:themeColor="text1"/>
                      <w14:textFill>
                        <w14:solidFill>
                          <w14:schemeClr w14:val="tx1"/>
                        </w14:solidFill>
                      </w14:textFill>
                    </w:rPr>
                  </w:pPr>
                  <w:r>
                    <w:rPr>
                      <w:color w:val="000000" w:themeColor="text1"/>
                      <w14:textFill>
                        <w14:solidFill>
                          <w14:schemeClr w14:val="tx1"/>
                        </w14:solidFill>
                      </w14:textFill>
                    </w:rPr>
                    <w:t>0.15 mg/L</w:t>
                  </w:r>
                </w:p>
              </w:tc>
            </w:tr>
            <w:tr w14:paraId="7E79546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0AB04059">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602" w:type="pct"/>
                  <w:vAlign w:val="center"/>
                </w:tcPr>
                <w:p w14:paraId="0951EF21">
                  <w:pPr>
                    <w:pStyle w:val="90"/>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086" w:type="pct"/>
                  <w:vAlign w:val="center"/>
                </w:tcPr>
                <w:p w14:paraId="4B516C3C">
                  <w:pPr>
                    <w:pStyle w:val="90"/>
                    <w:rPr>
                      <w:color w:val="000000" w:themeColor="text1"/>
                      <w14:textFill>
                        <w14:solidFill>
                          <w14:schemeClr w14:val="tx1"/>
                        </w14:solidFill>
                      </w14:textFill>
                    </w:rPr>
                  </w:pPr>
                  <w:r>
                    <w:rPr>
                      <w:color w:val="000000" w:themeColor="text1"/>
                      <w14:textFill>
                        <w14:solidFill>
                          <w14:schemeClr w14:val="tx1"/>
                        </w14:solidFill>
                      </w14:textFill>
                    </w:rPr>
                    <w:t>HJ 535-2009</w:t>
                  </w:r>
                </w:p>
              </w:tc>
              <w:tc>
                <w:tcPr>
                  <w:tcW w:w="2095" w:type="pct"/>
                  <w:vAlign w:val="center"/>
                </w:tcPr>
                <w:p w14:paraId="3D3B9F3B">
                  <w:pPr>
                    <w:pStyle w:val="90"/>
                    <w:rPr>
                      <w:color w:val="000000" w:themeColor="text1"/>
                      <w14:textFill>
                        <w14:solidFill>
                          <w14:schemeClr w14:val="tx1"/>
                        </w14:solidFill>
                      </w14:textFill>
                    </w:rPr>
                  </w:pPr>
                  <w:r>
                    <w:rPr>
                      <w:color w:val="000000" w:themeColor="text1"/>
                      <w14:textFill>
                        <w14:solidFill>
                          <w14:schemeClr w14:val="tx1"/>
                        </w14:solidFill>
                      </w14:textFill>
                    </w:rPr>
                    <w:t>《水质 氨氮的测定 纳氏试剂分光光度法》</w:t>
                  </w:r>
                </w:p>
              </w:tc>
              <w:tc>
                <w:tcPr>
                  <w:tcW w:w="797" w:type="pct"/>
                  <w:vAlign w:val="center"/>
                </w:tcPr>
                <w:p w14:paraId="161A1656">
                  <w:pPr>
                    <w:pStyle w:val="90"/>
                    <w:rPr>
                      <w:color w:val="000000" w:themeColor="text1"/>
                      <w14:textFill>
                        <w14:solidFill>
                          <w14:schemeClr w14:val="tx1"/>
                        </w14:solidFill>
                      </w14:textFill>
                    </w:rPr>
                  </w:pPr>
                  <w:r>
                    <w:rPr>
                      <w:color w:val="000000" w:themeColor="text1"/>
                      <w14:textFill>
                        <w14:solidFill>
                          <w14:schemeClr w14:val="tx1"/>
                        </w14:solidFill>
                      </w14:textFill>
                    </w:rPr>
                    <w:t>0.025mg/L</w:t>
                  </w:r>
                </w:p>
              </w:tc>
            </w:tr>
            <w:tr w14:paraId="38B5810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7BF93393">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602" w:type="pct"/>
                  <w:vAlign w:val="center"/>
                </w:tcPr>
                <w:p w14:paraId="3419387D">
                  <w:pPr>
                    <w:pStyle w:val="90"/>
                    <w:rPr>
                      <w:color w:val="000000" w:themeColor="text1"/>
                      <w14:textFill>
                        <w14:solidFill>
                          <w14:schemeClr w14:val="tx1"/>
                        </w14:solidFill>
                      </w14:textFill>
                    </w:rPr>
                  </w:pPr>
                  <w:r>
                    <w:rPr>
                      <w:color w:val="000000" w:themeColor="text1"/>
                      <w14:textFill>
                        <w14:solidFill>
                          <w14:schemeClr w14:val="tx1"/>
                        </w14:solidFill>
                      </w14:textFill>
                    </w:rPr>
                    <w:t>总磷</w:t>
                  </w:r>
                </w:p>
              </w:tc>
              <w:tc>
                <w:tcPr>
                  <w:tcW w:w="1086" w:type="pct"/>
                  <w:vAlign w:val="center"/>
                </w:tcPr>
                <w:p w14:paraId="3ADA8EEE">
                  <w:pPr>
                    <w:pStyle w:val="90"/>
                    <w:rPr>
                      <w:color w:val="000000" w:themeColor="text1"/>
                      <w14:textFill>
                        <w14:solidFill>
                          <w14:schemeClr w14:val="tx1"/>
                        </w14:solidFill>
                      </w14:textFill>
                    </w:rPr>
                  </w:pPr>
                  <w:r>
                    <w:rPr>
                      <w:color w:val="000000" w:themeColor="text1"/>
                      <w14:textFill>
                        <w14:solidFill>
                          <w14:schemeClr w14:val="tx1"/>
                        </w14:solidFill>
                      </w14:textFill>
                    </w:rPr>
                    <w:t>GB 11893-1989</w:t>
                  </w:r>
                </w:p>
              </w:tc>
              <w:tc>
                <w:tcPr>
                  <w:tcW w:w="2095" w:type="pct"/>
                  <w:vAlign w:val="center"/>
                </w:tcPr>
                <w:p w14:paraId="542EE7F0">
                  <w:pPr>
                    <w:pStyle w:val="90"/>
                    <w:rPr>
                      <w:color w:val="000000" w:themeColor="text1"/>
                      <w14:textFill>
                        <w14:solidFill>
                          <w14:schemeClr w14:val="tx1"/>
                        </w14:solidFill>
                      </w14:textFill>
                    </w:rPr>
                  </w:pPr>
                  <w:r>
                    <w:rPr>
                      <w:color w:val="000000" w:themeColor="text1"/>
                      <w14:textFill>
                        <w14:solidFill>
                          <w14:schemeClr w14:val="tx1"/>
                        </w14:solidFill>
                      </w14:textFill>
                    </w:rPr>
                    <w:t>水质 总磷的测定 钼酸铵分光光度法》</w:t>
                  </w:r>
                </w:p>
              </w:tc>
              <w:tc>
                <w:tcPr>
                  <w:tcW w:w="797" w:type="pct"/>
                  <w:vAlign w:val="center"/>
                </w:tcPr>
                <w:p w14:paraId="0BC62AE8">
                  <w:pPr>
                    <w:pStyle w:val="90"/>
                    <w:rPr>
                      <w:color w:val="000000" w:themeColor="text1"/>
                      <w14:textFill>
                        <w14:solidFill>
                          <w14:schemeClr w14:val="tx1"/>
                        </w14:solidFill>
                      </w14:textFill>
                    </w:rPr>
                  </w:pPr>
                  <w:r>
                    <w:rPr>
                      <w:color w:val="000000" w:themeColor="text1"/>
                      <w14:textFill>
                        <w14:solidFill>
                          <w14:schemeClr w14:val="tx1"/>
                        </w14:solidFill>
                      </w14:textFill>
                    </w:rPr>
                    <w:t>0.01mg/L</w:t>
                  </w:r>
                </w:p>
              </w:tc>
            </w:tr>
            <w:tr w14:paraId="560EE7E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34971865">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602" w:type="pct"/>
                  <w:vAlign w:val="center"/>
                </w:tcPr>
                <w:p w14:paraId="7D424DE4">
                  <w:pPr>
                    <w:pStyle w:val="90"/>
                    <w:rPr>
                      <w:color w:val="000000" w:themeColor="text1"/>
                      <w14:textFill>
                        <w14:solidFill>
                          <w14:schemeClr w14:val="tx1"/>
                        </w14:solidFill>
                      </w14:textFill>
                    </w:rPr>
                  </w:pPr>
                  <w:r>
                    <w:rPr>
                      <w:color w:val="000000" w:themeColor="text1"/>
                      <w14:textFill>
                        <w14:solidFill>
                          <w14:schemeClr w14:val="tx1"/>
                        </w14:solidFill>
                      </w14:textFill>
                    </w:rPr>
                    <w:t>总氮</w:t>
                  </w:r>
                </w:p>
              </w:tc>
              <w:tc>
                <w:tcPr>
                  <w:tcW w:w="1086" w:type="pct"/>
                  <w:vAlign w:val="center"/>
                </w:tcPr>
                <w:p w14:paraId="14640560">
                  <w:pPr>
                    <w:pStyle w:val="90"/>
                    <w:rPr>
                      <w:color w:val="000000" w:themeColor="text1"/>
                      <w14:textFill>
                        <w14:solidFill>
                          <w14:schemeClr w14:val="tx1"/>
                        </w14:solidFill>
                      </w14:textFill>
                    </w:rPr>
                  </w:pPr>
                  <w:r>
                    <w:rPr>
                      <w:color w:val="000000" w:themeColor="text1"/>
                      <w14:textFill>
                        <w14:solidFill>
                          <w14:schemeClr w14:val="tx1"/>
                        </w14:solidFill>
                      </w14:textFill>
                    </w:rPr>
                    <w:t>HJ 636-2012</w:t>
                  </w:r>
                </w:p>
              </w:tc>
              <w:tc>
                <w:tcPr>
                  <w:tcW w:w="2095" w:type="pct"/>
                  <w:vAlign w:val="center"/>
                </w:tcPr>
                <w:p w14:paraId="334D7B15">
                  <w:pPr>
                    <w:pStyle w:val="90"/>
                    <w:rPr>
                      <w:color w:val="000000" w:themeColor="text1"/>
                      <w14:textFill>
                        <w14:solidFill>
                          <w14:schemeClr w14:val="tx1"/>
                        </w14:solidFill>
                      </w14:textFill>
                    </w:rPr>
                  </w:pPr>
                  <w:r>
                    <w:rPr>
                      <w:color w:val="000000" w:themeColor="text1"/>
                      <w14:textFill>
                        <w14:solidFill>
                          <w14:schemeClr w14:val="tx1"/>
                        </w14:solidFill>
                      </w14:textFill>
                    </w:rPr>
                    <w:t>《水质 总氮的测定 碱性过硫酸钾消解紫外分光光度法》</w:t>
                  </w:r>
                </w:p>
              </w:tc>
              <w:tc>
                <w:tcPr>
                  <w:tcW w:w="797" w:type="pct"/>
                  <w:vAlign w:val="center"/>
                </w:tcPr>
                <w:p w14:paraId="51F0F257">
                  <w:pPr>
                    <w:pStyle w:val="90"/>
                    <w:rPr>
                      <w:color w:val="000000" w:themeColor="text1"/>
                      <w14:textFill>
                        <w14:solidFill>
                          <w14:schemeClr w14:val="tx1"/>
                        </w14:solidFill>
                      </w14:textFill>
                    </w:rPr>
                  </w:pPr>
                  <w:r>
                    <w:rPr>
                      <w:color w:val="000000" w:themeColor="text1"/>
                      <w14:textFill>
                        <w14:solidFill>
                          <w14:schemeClr w14:val="tx1"/>
                        </w14:solidFill>
                      </w14:textFill>
                    </w:rPr>
                    <w:t>0.05mg/L</w:t>
                  </w:r>
                </w:p>
              </w:tc>
            </w:tr>
            <w:tr w14:paraId="7729CD3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39C9A793">
                  <w:pPr>
                    <w:pStyle w:val="90"/>
                    <w:rPr>
                      <w:color w:val="000000" w:themeColor="text1"/>
                      <w14:textFill>
                        <w14:solidFill>
                          <w14:schemeClr w14:val="tx1"/>
                        </w14:solidFill>
                      </w14:textFill>
                    </w:rPr>
                  </w:pPr>
                  <w:r>
                    <w:rPr>
                      <w:color w:val="000000" w:themeColor="text1"/>
                      <w14:textFill>
                        <w14:solidFill>
                          <w14:schemeClr w14:val="tx1"/>
                        </w14:solidFill>
                      </w14:textFill>
                    </w:rPr>
                    <w:t>7</w:t>
                  </w:r>
                </w:p>
              </w:tc>
              <w:tc>
                <w:tcPr>
                  <w:tcW w:w="602" w:type="pct"/>
                  <w:vAlign w:val="center"/>
                </w:tcPr>
                <w:p w14:paraId="44B5CAA3">
                  <w:pPr>
                    <w:pStyle w:val="90"/>
                    <w:rPr>
                      <w:color w:val="000000" w:themeColor="text1"/>
                      <w14:textFill>
                        <w14:solidFill>
                          <w14:schemeClr w14:val="tx1"/>
                        </w14:solidFill>
                      </w14:textFill>
                    </w:rPr>
                  </w:pPr>
                  <w:r>
                    <w:rPr>
                      <w:color w:val="000000" w:themeColor="text1"/>
                      <w14:textFill>
                        <w14:solidFill>
                          <w14:schemeClr w14:val="tx1"/>
                        </w14:solidFill>
                      </w14:textFill>
                    </w:rPr>
                    <w:t>锰</w:t>
                  </w:r>
                </w:p>
              </w:tc>
              <w:tc>
                <w:tcPr>
                  <w:tcW w:w="1086" w:type="pct"/>
                  <w:vAlign w:val="center"/>
                </w:tcPr>
                <w:p w14:paraId="16719017">
                  <w:pPr>
                    <w:pStyle w:val="90"/>
                    <w:rPr>
                      <w:color w:val="000000" w:themeColor="text1"/>
                      <w14:textFill>
                        <w14:solidFill>
                          <w14:schemeClr w14:val="tx1"/>
                        </w14:solidFill>
                      </w14:textFill>
                    </w:rPr>
                  </w:pPr>
                  <w:r>
                    <w:rPr>
                      <w:color w:val="000000" w:themeColor="text1"/>
                      <w14:textFill>
                        <w14:solidFill>
                          <w14:schemeClr w14:val="tx1"/>
                        </w14:solidFill>
                      </w14:textFill>
                    </w:rPr>
                    <w:t>GB 11911-1989</w:t>
                  </w:r>
                </w:p>
              </w:tc>
              <w:tc>
                <w:tcPr>
                  <w:tcW w:w="2095" w:type="pct"/>
                  <w:vAlign w:val="center"/>
                </w:tcPr>
                <w:p w14:paraId="3E347FE4">
                  <w:pPr>
                    <w:pStyle w:val="90"/>
                    <w:rPr>
                      <w:color w:val="000000" w:themeColor="text1"/>
                      <w14:textFill>
                        <w14:solidFill>
                          <w14:schemeClr w14:val="tx1"/>
                        </w14:solidFill>
                      </w14:textFill>
                    </w:rPr>
                  </w:pPr>
                  <w:r>
                    <w:rPr>
                      <w:color w:val="000000" w:themeColor="text1"/>
                      <w14:textFill>
                        <w14:solidFill>
                          <w14:schemeClr w14:val="tx1"/>
                        </w14:solidFill>
                      </w14:textFill>
                    </w:rPr>
                    <w:t>《水质 铁、锰的测定 火焰原子吸收分光光度法》</w:t>
                  </w:r>
                </w:p>
              </w:tc>
              <w:tc>
                <w:tcPr>
                  <w:tcW w:w="797" w:type="pct"/>
                  <w:vAlign w:val="center"/>
                </w:tcPr>
                <w:p w14:paraId="1A7B7B71">
                  <w:pPr>
                    <w:pStyle w:val="90"/>
                    <w:rPr>
                      <w:color w:val="000000" w:themeColor="text1"/>
                      <w14:textFill>
                        <w14:solidFill>
                          <w14:schemeClr w14:val="tx1"/>
                        </w14:solidFill>
                      </w14:textFill>
                    </w:rPr>
                  </w:pPr>
                  <w:r>
                    <w:rPr>
                      <w:color w:val="000000" w:themeColor="text1"/>
                      <w14:textFill>
                        <w14:solidFill>
                          <w14:schemeClr w14:val="tx1"/>
                        </w14:solidFill>
                      </w14:textFill>
                    </w:rPr>
                    <w:t>0.01mg/L</w:t>
                  </w:r>
                </w:p>
              </w:tc>
            </w:tr>
            <w:tr w14:paraId="3A3CA01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3641E352">
                  <w:pPr>
                    <w:pStyle w:val="90"/>
                    <w:rPr>
                      <w:color w:val="000000" w:themeColor="text1"/>
                      <w14:textFill>
                        <w14:solidFill>
                          <w14:schemeClr w14:val="tx1"/>
                        </w14:solidFill>
                      </w14:textFill>
                    </w:rPr>
                  </w:pPr>
                  <w:r>
                    <w:rPr>
                      <w:color w:val="000000" w:themeColor="text1"/>
                      <w14:textFill>
                        <w14:solidFill>
                          <w14:schemeClr w14:val="tx1"/>
                        </w14:solidFill>
                      </w14:textFill>
                    </w:rPr>
                    <w:t>8</w:t>
                  </w:r>
                </w:p>
              </w:tc>
              <w:tc>
                <w:tcPr>
                  <w:tcW w:w="602" w:type="pct"/>
                  <w:vAlign w:val="center"/>
                </w:tcPr>
                <w:p w14:paraId="11A2342E">
                  <w:pPr>
                    <w:pStyle w:val="90"/>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1086" w:type="pct"/>
                  <w:vAlign w:val="center"/>
                </w:tcPr>
                <w:p w14:paraId="364E3EEB">
                  <w:pPr>
                    <w:pStyle w:val="90"/>
                    <w:rPr>
                      <w:color w:val="000000" w:themeColor="text1"/>
                      <w14:textFill>
                        <w14:solidFill>
                          <w14:schemeClr w14:val="tx1"/>
                        </w14:solidFill>
                      </w14:textFill>
                    </w:rPr>
                  </w:pPr>
                  <w:r>
                    <w:rPr>
                      <w:color w:val="000000" w:themeColor="text1"/>
                      <w14:textFill>
                        <w14:solidFill>
                          <w14:schemeClr w14:val="tx1"/>
                        </w14:solidFill>
                      </w14:textFill>
                    </w:rPr>
                    <w:t>GB 11912-1989</w:t>
                  </w:r>
                </w:p>
              </w:tc>
              <w:tc>
                <w:tcPr>
                  <w:tcW w:w="2095" w:type="pct"/>
                  <w:vAlign w:val="center"/>
                </w:tcPr>
                <w:p w14:paraId="10533E14">
                  <w:pPr>
                    <w:pStyle w:val="90"/>
                    <w:rPr>
                      <w:color w:val="000000" w:themeColor="text1"/>
                      <w14:textFill>
                        <w14:solidFill>
                          <w14:schemeClr w14:val="tx1"/>
                        </w14:solidFill>
                      </w14:textFill>
                    </w:rPr>
                  </w:pPr>
                  <w:r>
                    <w:rPr>
                      <w:color w:val="000000" w:themeColor="text1"/>
                      <w14:textFill>
                        <w14:solidFill>
                          <w14:schemeClr w14:val="tx1"/>
                        </w14:solidFill>
                      </w14:textFill>
                    </w:rPr>
                    <w:t>《水质 镍的测定 火焰原子吸收分光光度法》</w:t>
                  </w:r>
                </w:p>
              </w:tc>
              <w:tc>
                <w:tcPr>
                  <w:tcW w:w="797" w:type="pct"/>
                  <w:vAlign w:val="center"/>
                </w:tcPr>
                <w:p w14:paraId="402161CB">
                  <w:pPr>
                    <w:pStyle w:val="90"/>
                    <w:rPr>
                      <w:color w:val="000000" w:themeColor="text1"/>
                      <w14:textFill>
                        <w14:solidFill>
                          <w14:schemeClr w14:val="tx1"/>
                        </w14:solidFill>
                      </w14:textFill>
                    </w:rPr>
                  </w:pPr>
                  <w:r>
                    <w:rPr>
                      <w:color w:val="000000" w:themeColor="text1"/>
                      <w14:textFill>
                        <w14:solidFill>
                          <w14:schemeClr w14:val="tx1"/>
                        </w14:solidFill>
                      </w14:textFill>
                    </w:rPr>
                    <w:t>0.05 mg/L</w:t>
                  </w:r>
                </w:p>
              </w:tc>
            </w:tr>
            <w:tr w14:paraId="1FC550C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6BC5BB6D">
                  <w:pPr>
                    <w:pStyle w:val="90"/>
                    <w:rPr>
                      <w:color w:val="000000" w:themeColor="text1"/>
                      <w14:textFill>
                        <w14:solidFill>
                          <w14:schemeClr w14:val="tx1"/>
                        </w14:solidFill>
                      </w14:textFill>
                    </w:rPr>
                  </w:pPr>
                  <w:r>
                    <w:rPr>
                      <w:color w:val="000000" w:themeColor="text1"/>
                      <w14:textFill>
                        <w14:solidFill>
                          <w14:schemeClr w14:val="tx1"/>
                        </w14:solidFill>
                      </w14:textFill>
                    </w:rPr>
                    <w:t>9</w:t>
                  </w:r>
                </w:p>
              </w:tc>
              <w:tc>
                <w:tcPr>
                  <w:tcW w:w="602" w:type="pct"/>
                  <w:vAlign w:val="center"/>
                </w:tcPr>
                <w:p w14:paraId="0E812974">
                  <w:pPr>
                    <w:pStyle w:val="90"/>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1086" w:type="pct"/>
                  <w:vAlign w:val="center"/>
                </w:tcPr>
                <w:p w14:paraId="4C91DBAC">
                  <w:pPr>
                    <w:pStyle w:val="90"/>
                    <w:rPr>
                      <w:color w:val="000000" w:themeColor="text1"/>
                      <w14:textFill>
                        <w14:solidFill>
                          <w14:schemeClr w14:val="tx1"/>
                        </w14:solidFill>
                      </w14:textFill>
                    </w:rPr>
                  </w:pPr>
                  <w:r>
                    <w:rPr>
                      <w:color w:val="000000" w:themeColor="text1"/>
                      <w14:textFill>
                        <w14:solidFill>
                          <w14:schemeClr w14:val="tx1"/>
                        </w14:solidFill>
                      </w14:textFill>
                    </w:rPr>
                    <w:t>GB 7475-1987</w:t>
                  </w:r>
                </w:p>
              </w:tc>
              <w:tc>
                <w:tcPr>
                  <w:tcW w:w="2095" w:type="pct"/>
                  <w:vAlign w:val="center"/>
                </w:tcPr>
                <w:p w14:paraId="3D6BEB6E">
                  <w:pPr>
                    <w:pStyle w:val="90"/>
                    <w:rPr>
                      <w:color w:val="000000" w:themeColor="text1"/>
                      <w14:textFill>
                        <w14:solidFill>
                          <w14:schemeClr w14:val="tx1"/>
                        </w14:solidFill>
                      </w14:textFill>
                    </w:rPr>
                  </w:pPr>
                  <w:r>
                    <w:rPr>
                      <w:color w:val="000000" w:themeColor="text1"/>
                      <w14:textFill>
                        <w14:solidFill>
                          <w14:schemeClr w14:val="tx1"/>
                        </w14:solidFill>
                      </w14:textFill>
                    </w:rPr>
                    <w:t>《水质 铜、锌、铅、镉的测定原子吸收分光光度法》</w:t>
                  </w:r>
                </w:p>
              </w:tc>
              <w:tc>
                <w:tcPr>
                  <w:tcW w:w="797" w:type="pct"/>
                  <w:vAlign w:val="center"/>
                </w:tcPr>
                <w:p w14:paraId="0D854153">
                  <w:pPr>
                    <w:pStyle w:val="90"/>
                    <w:rPr>
                      <w:color w:val="000000" w:themeColor="text1"/>
                      <w14:textFill>
                        <w14:solidFill>
                          <w14:schemeClr w14:val="tx1"/>
                        </w14:solidFill>
                      </w14:textFill>
                    </w:rPr>
                  </w:pPr>
                  <w:r>
                    <w:rPr>
                      <w:color w:val="000000" w:themeColor="text1"/>
                      <w14:textFill>
                        <w14:solidFill>
                          <w14:schemeClr w14:val="tx1"/>
                        </w14:solidFill>
                      </w14:textFill>
                    </w:rPr>
                    <w:t>0.05mg/L</w:t>
                  </w:r>
                </w:p>
              </w:tc>
            </w:tr>
            <w:tr w14:paraId="4FEB900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50DF8AD2">
                  <w:pPr>
                    <w:pStyle w:val="9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602" w:type="pct"/>
                  <w:vAlign w:val="center"/>
                </w:tcPr>
                <w:p w14:paraId="3E513BD8">
                  <w:pPr>
                    <w:pStyle w:val="90"/>
                    <w:rPr>
                      <w:color w:val="000000" w:themeColor="text1"/>
                      <w14:textFill>
                        <w14:solidFill>
                          <w14:schemeClr w14:val="tx1"/>
                        </w14:solidFill>
                      </w14:textFill>
                    </w:rPr>
                  </w:pPr>
                  <w:r>
                    <w:rPr>
                      <w:color w:val="000000" w:themeColor="text1"/>
                      <w14:textFill>
                        <w14:solidFill>
                          <w14:schemeClr w14:val="tx1"/>
                        </w14:solidFill>
                      </w14:textFill>
                    </w:rPr>
                    <w:t>锂</w:t>
                  </w:r>
                </w:p>
              </w:tc>
              <w:tc>
                <w:tcPr>
                  <w:tcW w:w="1086" w:type="pct"/>
                  <w:vAlign w:val="center"/>
                </w:tcPr>
                <w:p w14:paraId="65876B90">
                  <w:pPr>
                    <w:pStyle w:val="90"/>
                    <w:rPr>
                      <w:color w:val="000000" w:themeColor="text1"/>
                      <w14:textFill>
                        <w14:solidFill>
                          <w14:schemeClr w14:val="tx1"/>
                        </w14:solidFill>
                      </w14:textFill>
                    </w:rPr>
                  </w:pPr>
                  <w:r>
                    <w:rPr>
                      <w:color w:val="000000" w:themeColor="text1"/>
                      <w14:textFill>
                        <w14:solidFill>
                          <w14:schemeClr w14:val="tx1"/>
                        </w14:solidFill>
                      </w14:textFill>
                    </w:rPr>
                    <w:t>HJ776-2015</w:t>
                  </w:r>
                </w:p>
              </w:tc>
              <w:tc>
                <w:tcPr>
                  <w:tcW w:w="2095" w:type="pct"/>
                  <w:vAlign w:val="center"/>
                </w:tcPr>
                <w:p w14:paraId="55A9B29A">
                  <w:pPr>
                    <w:pStyle w:val="90"/>
                    <w:rPr>
                      <w:color w:val="000000" w:themeColor="text1"/>
                      <w14:textFill>
                        <w14:solidFill>
                          <w14:schemeClr w14:val="tx1"/>
                        </w14:solidFill>
                      </w14:textFill>
                    </w:rPr>
                  </w:pPr>
                  <w:r>
                    <w:rPr>
                      <w:color w:val="000000" w:themeColor="text1"/>
                      <w14:textFill>
                        <w14:solidFill>
                          <w14:schemeClr w14:val="tx1"/>
                        </w14:solidFill>
                      </w14:textFill>
                    </w:rPr>
                    <w:t>《水质 32种元素的测定 电感耦合等离子体发射光谱法》</w:t>
                  </w:r>
                </w:p>
              </w:tc>
              <w:tc>
                <w:tcPr>
                  <w:tcW w:w="797" w:type="pct"/>
                  <w:vAlign w:val="center"/>
                </w:tcPr>
                <w:p w14:paraId="2C16C325">
                  <w:pPr>
                    <w:pStyle w:val="90"/>
                    <w:rPr>
                      <w:color w:val="000000" w:themeColor="text1"/>
                      <w14:textFill>
                        <w14:solidFill>
                          <w14:schemeClr w14:val="tx1"/>
                        </w14:solidFill>
                      </w14:textFill>
                    </w:rPr>
                  </w:pPr>
                  <w:r>
                    <w:rPr>
                      <w:color w:val="000000" w:themeColor="text1"/>
                      <w14:textFill>
                        <w14:solidFill>
                          <w14:schemeClr w14:val="tx1"/>
                        </w14:solidFill>
                      </w14:textFill>
                    </w:rPr>
                    <w:t>0.02mg/L</w:t>
                  </w:r>
                </w:p>
              </w:tc>
            </w:tr>
            <w:tr w14:paraId="6C90E4E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2760B963">
                  <w:pPr>
                    <w:pStyle w:val="90"/>
                    <w:rPr>
                      <w:color w:val="000000" w:themeColor="text1"/>
                      <w14:textFill>
                        <w14:solidFill>
                          <w14:schemeClr w14:val="tx1"/>
                        </w14:solidFill>
                      </w14:textFill>
                    </w:rPr>
                  </w:pPr>
                  <w:r>
                    <w:rPr>
                      <w:color w:val="000000" w:themeColor="text1"/>
                      <w14:textFill>
                        <w14:solidFill>
                          <w14:schemeClr w14:val="tx1"/>
                        </w14:solidFill>
                      </w14:textFill>
                    </w:rPr>
                    <w:t>11</w:t>
                  </w:r>
                </w:p>
              </w:tc>
              <w:tc>
                <w:tcPr>
                  <w:tcW w:w="602" w:type="pct"/>
                  <w:vAlign w:val="center"/>
                </w:tcPr>
                <w:p w14:paraId="575A898A">
                  <w:pPr>
                    <w:pStyle w:val="90"/>
                    <w:rPr>
                      <w:color w:val="000000" w:themeColor="text1"/>
                      <w14:textFill>
                        <w14:solidFill>
                          <w14:schemeClr w14:val="tx1"/>
                        </w14:solidFill>
                      </w14:textFill>
                    </w:rPr>
                  </w:pPr>
                  <w:r>
                    <w:rPr>
                      <w:color w:val="000000" w:themeColor="text1"/>
                      <w14:textFill>
                        <w14:solidFill>
                          <w14:schemeClr w14:val="tx1"/>
                        </w14:solidFill>
                      </w14:textFill>
                    </w:rPr>
                    <w:t>钴</w:t>
                  </w:r>
                </w:p>
              </w:tc>
              <w:tc>
                <w:tcPr>
                  <w:tcW w:w="1086" w:type="pct"/>
                  <w:vAlign w:val="center"/>
                </w:tcPr>
                <w:p w14:paraId="5E86207A">
                  <w:pPr>
                    <w:pStyle w:val="90"/>
                    <w:rPr>
                      <w:color w:val="000000" w:themeColor="text1"/>
                      <w14:textFill>
                        <w14:solidFill>
                          <w14:schemeClr w14:val="tx1"/>
                        </w14:solidFill>
                      </w14:textFill>
                    </w:rPr>
                  </w:pPr>
                  <w:r>
                    <w:rPr>
                      <w:color w:val="000000" w:themeColor="text1"/>
                      <w14:textFill>
                        <w14:solidFill>
                          <w14:schemeClr w14:val="tx1"/>
                        </w14:solidFill>
                      </w14:textFill>
                    </w:rPr>
                    <w:t>HJ958-2018</w:t>
                  </w:r>
                </w:p>
              </w:tc>
              <w:tc>
                <w:tcPr>
                  <w:tcW w:w="2095" w:type="pct"/>
                  <w:vAlign w:val="center"/>
                </w:tcPr>
                <w:p w14:paraId="398F7B5B">
                  <w:pPr>
                    <w:pStyle w:val="90"/>
                    <w:rPr>
                      <w:color w:val="000000" w:themeColor="text1"/>
                      <w14:textFill>
                        <w14:solidFill>
                          <w14:schemeClr w14:val="tx1"/>
                        </w14:solidFill>
                      </w14:textFill>
                    </w:rPr>
                  </w:pPr>
                  <w:r>
                    <w:rPr>
                      <w:color w:val="000000" w:themeColor="text1"/>
                      <w14:textFill>
                        <w14:solidFill>
                          <w14:schemeClr w14:val="tx1"/>
                        </w14:solidFill>
                      </w14:textFill>
                    </w:rPr>
                    <w:t>《水质 钴的测定 石墨炉原子吸收分光光度法》</w:t>
                  </w:r>
                </w:p>
              </w:tc>
              <w:tc>
                <w:tcPr>
                  <w:tcW w:w="797" w:type="pct"/>
                  <w:vAlign w:val="center"/>
                </w:tcPr>
                <w:p w14:paraId="7B7DE2DF">
                  <w:pPr>
                    <w:pStyle w:val="90"/>
                    <w:rPr>
                      <w:color w:val="000000" w:themeColor="text1"/>
                      <w14:textFill>
                        <w14:solidFill>
                          <w14:schemeClr w14:val="tx1"/>
                        </w14:solidFill>
                      </w14:textFill>
                    </w:rPr>
                  </w:pPr>
                  <w:r>
                    <w:rPr>
                      <w:color w:val="000000" w:themeColor="text1"/>
                      <w14:textFill>
                        <w14:solidFill>
                          <w14:schemeClr w14:val="tx1"/>
                        </w14:solidFill>
                      </w14:textFill>
                    </w:rPr>
                    <w:t>0.002mg/L</w:t>
                  </w:r>
                </w:p>
              </w:tc>
            </w:tr>
            <w:tr w14:paraId="7AB45FE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2188DD56">
                  <w:pPr>
                    <w:pStyle w:val="9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602" w:type="pct"/>
                  <w:vAlign w:val="center"/>
                </w:tcPr>
                <w:p w14:paraId="3DCA8EC7">
                  <w:pPr>
                    <w:pStyle w:val="90"/>
                    <w:rPr>
                      <w:color w:val="000000" w:themeColor="text1"/>
                      <w14:textFill>
                        <w14:solidFill>
                          <w14:schemeClr w14:val="tx1"/>
                        </w14:solidFill>
                      </w14:textFill>
                    </w:rPr>
                  </w:pPr>
                  <w:r>
                    <w:rPr>
                      <w:color w:val="000000" w:themeColor="text1"/>
                      <w14:textFill>
                        <w14:solidFill>
                          <w14:schemeClr w14:val="tx1"/>
                        </w14:solidFill>
                      </w14:textFill>
                    </w:rPr>
                    <w:t>无机氮</w:t>
                  </w:r>
                </w:p>
              </w:tc>
              <w:tc>
                <w:tcPr>
                  <w:tcW w:w="1086" w:type="pct"/>
                  <w:vAlign w:val="center"/>
                </w:tcPr>
                <w:p w14:paraId="0E432E03">
                  <w:pPr>
                    <w:pStyle w:val="90"/>
                    <w:rPr>
                      <w:color w:val="000000" w:themeColor="text1"/>
                      <w14:textFill>
                        <w14:solidFill>
                          <w14:schemeClr w14:val="tx1"/>
                        </w14:solidFill>
                      </w14:textFill>
                    </w:rPr>
                  </w:pPr>
                  <w:r>
                    <w:rPr>
                      <w:color w:val="000000" w:themeColor="text1"/>
                      <w14:textFill>
                        <w14:solidFill>
                          <w14:schemeClr w14:val="tx1"/>
                        </w14:solidFill>
                      </w14:textFill>
                    </w:rPr>
                    <w:t>GB 7378.4-2007</w:t>
                  </w:r>
                </w:p>
              </w:tc>
              <w:tc>
                <w:tcPr>
                  <w:tcW w:w="2095" w:type="pct"/>
                  <w:vAlign w:val="center"/>
                </w:tcPr>
                <w:p w14:paraId="266924D3">
                  <w:pPr>
                    <w:pStyle w:val="90"/>
                    <w:rPr>
                      <w:color w:val="000000" w:themeColor="text1"/>
                      <w14:textFill>
                        <w14:solidFill>
                          <w14:schemeClr w14:val="tx1"/>
                        </w14:solidFill>
                      </w14:textFill>
                    </w:rPr>
                  </w:pPr>
                  <w:r>
                    <w:rPr>
                      <w:color w:val="000000" w:themeColor="text1"/>
                      <w14:textFill>
                        <w14:solidFill>
                          <w14:schemeClr w14:val="tx1"/>
                        </w14:solidFill>
                      </w14:textFill>
                    </w:rPr>
                    <w:t>35《海洋检测规范 第4部分：海水分析 无机氮</w:t>
                  </w:r>
                </w:p>
              </w:tc>
              <w:tc>
                <w:tcPr>
                  <w:tcW w:w="797" w:type="pct"/>
                  <w:vAlign w:val="center"/>
                </w:tcPr>
                <w:p w14:paraId="07BA8DAA">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72D1A34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197C2CA5">
                  <w:pPr>
                    <w:pStyle w:val="90"/>
                    <w:rPr>
                      <w:color w:val="000000" w:themeColor="text1"/>
                      <w14:textFill>
                        <w14:solidFill>
                          <w14:schemeClr w14:val="tx1"/>
                        </w14:solidFill>
                      </w14:textFill>
                    </w:rPr>
                  </w:pPr>
                  <w:r>
                    <w:rPr>
                      <w:color w:val="000000" w:themeColor="text1"/>
                      <w14:textFill>
                        <w14:solidFill>
                          <w14:schemeClr w14:val="tx1"/>
                        </w14:solidFill>
                      </w14:textFill>
                    </w:rPr>
                    <w:t>13</w:t>
                  </w:r>
                </w:p>
              </w:tc>
              <w:tc>
                <w:tcPr>
                  <w:tcW w:w="602" w:type="pct"/>
                  <w:vAlign w:val="center"/>
                </w:tcPr>
                <w:p w14:paraId="117FE275">
                  <w:pPr>
                    <w:pStyle w:val="90"/>
                    <w:rPr>
                      <w:color w:val="000000" w:themeColor="text1"/>
                      <w14:textFill>
                        <w14:solidFill>
                          <w14:schemeClr w14:val="tx1"/>
                        </w14:solidFill>
                      </w14:textFill>
                    </w:rPr>
                  </w:pPr>
                  <w:r>
                    <w:rPr>
                      <w:color w:val="000000" w:themeColor="text1"/>
                      <w14:textFill>
                        <w14:solidFill>
                          <w14:schemeClr w14:val="tx1"/>
                        </w14:solidFill>
                      </w14:textFill>
                    </w:rPr>
                    <w:t>活性磷酸盐</w:t>
                  </w:r>
                </w:p>
              </w:tc>
              <w:tc>
                <w:tcPr>
                  <w:tcW w:w="1086" w:type="pct"/>
                  <w:vAlign w:val="center"/>
                </w:tcPr>
                <w:p w14:paraId="7B78E3A4">
                  <w:pPr>
                    <w:pStyle w:val="90"/>
                    <w:rPr>
                      <w:color w:val="000000" w:themeColor="text1"/>
                      <w14:textFill>
                        <w14:solidFill>
                          <w14:schemeClr w14:val="tx1"/>
                        </w14:solidFill>
                      </w14:textFill>
                    </w:rPr>
                  </w:pPr>
                  <w:r>
                    <w:rPr>
                      <w:color w:val="000000" w:themeColor="text1"/>
                      <w14:textFill>
                        <w14:solidFill>
                          <w14:schemeClr w14:val="tx1"/>
                        </w14:solidFill>
                      </w14:textFill>
                    </w:rPr>
                    <w:t>GB 7378.4-2007</w:t>
                  </w:r>
                </w:p>
              </w:tc>
              <w:tc>
                <w:tcPr>
                  <w:tcW w:w="2095" w:type="pct"/>
                  <w:vAlign w:val="center"/>
                </w:tcPr>
                <w:p w14:paraId="3C8E95DF">
                  <w:pPr>
                    <w:pStyle w:val="90"/>
                    <w:rPr>
                      <w:color w:val="000000" w:themeColor="text1"/>
                      <w14:textFill>
                        <w14:solidFill>
                          <w14:schemeClr w14:val="tx1"/>
                        </w14:solidFill>
                      </w14:textFill>
                    </w:rPr>
                  </w:pPr>
                  <w:r>
                    <w:rPr>
                      <w:color w:val="000000" w:themeColor="text1"/>
                      <w14:textFill>
                        <w14:solidFill>
                          <w14:schemeClr w14:val="tx1"/>
                        </w14:solidFill>
                      </w14:textFill>
                    </w:rPr>
                    <w:t>39.1《海洋检测规范 第4部分：海水分析 磷钼蓝分光光度法》</w:t>
                  </w:r>
                </w:p>
              </w:tc>
              <w:tc>
                <w:tcPr>
                  <w:tcW w:w="797" w:type="pct"/>
                  <w:vAlign w:val="center"/>
                </w:tcPr>
                <w:p w14:paraId="1AFE3ED5">
                  <w:pPr>
                    <w:pStyle w:val="90"/>
                    <w:rPr>
                      <w:color w:val="000000" w:themeColor="text1"/>
                      <w14:textFill>
                        <w14:solidFill>
                          <w14:schemeClr w14:val="tx1"/>
                        </w14:solidFill>
                      </w14:textFill>
                    </w:rPr>
                  </w:pPr>
                  <w:r>
                    <w:rPr>
                      <w:color w:val="000000" w:themeColor="text1"/>
                      <w14:textFill>
                        <w14:solidFill>
                          <w14:schemeClr w14:val="tx1"/>
                        </w14:solidFill>
                      </w14:textFill>
                    </w:rPr>
                    <w:t>0.001mg/L</w:t>
                  </w:r>
                </w:p>
              </w:tc>
            </w:tr>
            <w:tr w14:paraId="1AECF82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Align w:val="center"/>
                </w:tcPr>
                <w:p w14:paraId="744CBB1F">
                  <w:pPr>
                    <w:pStyle w:val="90"/>
                    <w:rPr>
                      <w:color w:val="000000" w:themeColor="text1"/>
                      <w14:textFill>
                        <w14:solidFill>
                          <w14:schemeClr w14:val="tx1"/>
                        </w14:solidFill>
                      </w14:textFill>
                    </w:rPr>
                  </w:pPr>
                  <w:r>
                    <w:rPr>
                      <w:color w:val="000000" w:themeColor="text1"/>
                      <w14:textFill>
                        <w14:solidFill>
                          <w14:schemeClr w14:val="tx1"/>
                        </w14:solidFill>
                      </w14:textFill>
                    </w:rPr>
                    <w:t>14</w:t>
                  </w:r>
                </w:p>
              </w:tc>
              <w:tc>
                <w:tcPr>
                  <w:tcW w:w="602" w:type="pct"/>
                  <w:vAlign w:val="center"/>
                </w:tcPr>
                <w:p w14:paraId="3F0D66C7">
                  <w:pPr>
                    <w:pStyle w:val="90"/>
                    <w:rPr>
                      <w:color w:val="000000" w:themeColor="text1"/>
                      <w14:textFill>
                        <w14:solidFill>
                          <w14:schemeClr w14:val="tx1"/>
                        </w14:solidFill>
                      </w14:textFill>
                    </w:rPr>
                  </w:pPr>
                  <w:r>
                    <w:rPr>
                      <w:color w:val="000000" w:themeColor="text1"/>
                      <w14:textFill>
                        <w14:solidFill>
                          <w14:schemeClr w14:val="tx1"/>
                        </w14:solidFill>
                      </w14:textFill>
                    </w:rPr>
                    <w:t>油类</w:t>
                  </w:r>
                </w:p>
              </w:tc>
              <w:tc>
                <w:tcPr>
                  <w:tcW w:w="1086" w:type="pct"/>
                  <w:vAlign w:val="center"/>
                </w:tcPr>
                <w:p w14:paraId="76280132">
                  <w:pPr>
                    <w:pStyle w:val="90"/>
                    <w:rPr>
                      <w:color w:val="000000" w:themeColor="text1"/>
                      <w14:textFill>
                        <w14:solidFill>
                          <w14:schemeClr w14:val="tx1"/>
                        </w14:solidFill>
                      </w14:textFill>
                    </w:rPr>
                  </w:pPr>
                  <w:r>
                    <w:rPr>
                      <w:color w:val="000000" w:themeColor="text1"/>
                      <w14:textFill>
                        <w14:solidFill>
                          <w14:schemeClr w14:val="tx1"/>
                        </w14:solidFill>
                      </w14:textFill>
                    </w:rPr>
                    <w:t>GB 17378.4-2007</w:t>
                  </w:r>
                </w:p>
              </w:tc>
              <w:tc>
                <w:tcPr>
                  <w:tcW w:w="2095" w:type="pct"/>
                  <w:vAlign w:val="center"/>
                </w:tcPr>
                <w:p w14:paraId="5F82B7F7">
                  <w:pPr>
                    <w:pStyle w:val="90"/>
                    <w:rPr>
                      <w:color w:val="000000" w:themeColor="text1"/>
                      <w14:textFill>
                        <w14:solidFill>
                          <w14:schemeClr w14:val="tx1"/>
                        </w14:solidFill>
                      </w14:textFill>
                    </w:rPr>
                  </w:pPr>
                  <w:r>
                    <w:rPr>
                      <w:color w:val="000000" w:themeColor="text1"/>
                      <w14:textFill>
                        <w14:solidFill>
                          <w14:schemeClr w14:val="tx1"/>
                        </w14:solidFill>
                      </w14:textFill>
                    </w:rPr>
                    <w:t>13.2《海洋检测规范 第4部分：海水分析 紫外分光光度法》</w:t>
                  </w:r>
                </w:p>
              </w:tc>
              <w:tc>
                <w:tcPr>
                  <w:tcW w:w="797" w:type="pct"/>
                  <w:vAlign w:val="center"/>
                </w:tcPr>
                <w:p w14:paraId="20BCC366">
                  <w:pPr>
                    <w:pStyle w:val="90"/>
                    <w:rPr>
                      <w:color w:val="000000" w:themeColor="text1"/>
                      <w14:textFill>
                        <w14:solidFill>
                          <w14:schemeClr w14:val="tx1"/>
                        </w14:solidFill>
                      </w14:textFill>
                    </w:rPr>
                  </w:pPr>
                  <w:r>
                    <w:rPr>
                      <w:color w:val="000000" w:themeColor="text1"/>
                      <w14:textFill>
                        <w14:solidFill>
                          <w14:schemeClr w14:val="tx1"/>
                        </w14:solidFill>
                      </w14:textFill>
                    </w:rPr>
                    <w:t>0.0035mg/L</w:t>
                  </w:r>
                </w:p>
              </w:tc>
            </w:tr>
          </w:tbl>
          <w:p w14:paraId="7686DF7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（3）评价标准</w:t>
            </w:r>
          </w:p>
          <w:p w14:paraId="34461CE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罗源县城市环境规划（修编）》（2002年）：白水垦区内排洪渠、滞洪区使用功能为景观水域；《福建罗源湾经济开发区环境影响报告书》：开发区内水体功能为工业用水和农业用水，水环境功能区为Ⅳ类。基于园区行洪闸管控规律，海水只回流至宝钢德盛南侧滞洪区，排洪渠W1断面地表水环境执行《地表水环境质量标准》（GB3838-2002）中的Ⅳ类标准，具体数值详见下表。拟建项目相邻海域为罗源湾北部四类区，主导功能为港口、航运，辅助功能为一般工业用水，滞洪区W2断面海水水质执行《海水水质标准》（GB3097-1997）中第三类海水水质标准。</w:t>
            </w:r>
          </w:p>
          <w:p w14:paraId="209588C3">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地表水环境质量标准 （单位：mg/L）</w:t>
            </w:r>
          </w:p>
          <w:tbl>
            <w:tblPr>
              <w:tblStyle w:val="46"/>
              <w:tblW w:w="4994"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2432"/>
              <w:gridCol w:w="1172"/>
              <w:gridCol w:w="1274"/>
              <w:gridCol w:w="1170"/>
              <w:gridCol w:w="1069"/>
              <w:gridCol w:w="1090"/>
            </w:tblGrid>
            <w:tr w14:paraId="4207267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67" w:hRule="atLeast"/>
                <w:tblHeader/>
                <w:jc w:val="center"/>
              </w:trPr>
              <w:tc>
                <w:tcPr>
                  <w:tcW w:w="1481" w:type="pct"/>
                  <w:vAlign w:val="center"/>
                </w:tcPr>
                <w:p w14:paraId="73CC6B9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tc>
                <w:tcPr>
                  <w:tcW w:w="714" w:type="pct"/>
                  <w:vAlign w:val="center"/>
                </w:tcPr>
                <w:p w14:paraId="2065F3D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Ⅰ类</w:t>
                  </w:r>
                </w:p>
              </w:tc>
              <w:tc>
                <w:tcPr>
                  <w:tcW w:w="776" w:type="pct"/>
                  <w:vAlign w:val="center"/>
                </w:tcPr>
                <w:p w14:paraId="140BE8C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Ⅱ类</w:t>
                  </w:r>
                </w:p>
              </w:tc>
              <w:tc>
                <w:tcPr>
                  <w:tcW w:w="713" w:type="pct"/>
                  <w:vAlign w:val="center"/>
                </w:tcPr>
                <w:p w14:paraId="5CA4032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Ⅲ类</w:t>
                  </w:r>
                </w:p>
              </w:tc>
              <w:tc>
                <w:tcPr>
                  <w:tcW w:w="651" w:type="pct"/>
                  <w:vAlign w:val="center"/>
                </w:tcPr>
                <w:p w14:paraId="7EFABD1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Ⅳ类</w:t>
                  </w:r>
                </w:p>
              </w:tc>
              <w:tc>
                <w:tcPr>
                  <w:tcW w:w="661" w:type="pct"/>
                  <w:vAlign w:val="center"/>
                </w:tcPr>
                <w:p w14:paraId="3091192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Ⅴ类</w:t>
                  </w:r>
                </w:p>
              </w:tc>
            </w:tr>
            <w:tr w14:paraId="6608F63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44F6ADD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水温（℃）</w:t>
                  </w:r>
                </w:p>
              </w:tc>
              <w:tc>
                <w:tcPr>
                  <w:tcW w:w="3518" w:type="pct"/>
                  <w:gridSpan w:val="5"/>
                  <w:vAlign w:val="center"/>
                </w:tcPr>
                <w:p w14:paraId="4CF41EA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人为造成的环境水温变化应限制在：</w:t>
                  </w:r>
                </w:p>
                <w:p w14:paraId="7E4FF32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周平均最大温升≤1；周平均最大温降≤2</w:t>
                  </w:r>
                </w:p>
              </w:tc>
            </w:tr>
            <w:tr w14:paraId="1AA214A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686B9ED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pH（无量纲）</w:t>
                  </w:r>
                </w:p>
              </w:tc>
              <w:tc>
                <w:tcPr>
                  <w:tcW w:w="3518" w:type="pct"/>
                  <w:gridSpan w:val="5"/>
                  <w:vAlign w:val="center"/>
                </w:tcPr>
                <w:p w14:paraId="18702EC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6～9</w:t>
                  </w:r>
                </w:p>
              </w:tc>
            </w:tr>
            <w:tr w14:paraId="27D0102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6EFC7B4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化学需氧量≤</w:t>
                  </w:r>
                </w:p>
              </w:tc>
              <w:tc>
                <w:tcPr>
                  <w:tcW w:w="714" w:type="pct"/>
                  <w:vAlign w:val="center"/>
                </w:tcPr>
                <w:p w14:paraId="61FFFAB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776" w:type="pct"/>
                  <w:vAlign w:val="center"/>
                </w:tcPr>
                <w:p w14:paraId="032D944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713" w:type="pct"/>
                  <w:vAlign w:val="center"/>
                </w:tcPr>
                <w:p w14:paraId="2C97E1B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651" w:type="pct"/>
                  <w:vAlign w:val="center"/>
                </w:tcPr>
                <w:p w14:paraId="14B4CF2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661" w:type="pct"/>
                  <w:vAlign w:val="center"/>
                </w:tcPr>
                <w:p w14:paraId="6C13687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r>
            <w:tr w14:paraId="423A51A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0787109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BOD</w:t>
                  </w:r>
                  <w:r>
                    <w:rPr>
                      <w:rFonts w:cs="Times New Roman"/>
                      <w:color w:val="000000" w:themeColor="text1"/>
                      <w:vertAlign w:val="subscript"/>
                      <w14:textFill>
                        <w14:solidFill>
                          <w14:schemeClr w14:val="tx1"/>
                        </w14:solidFill>
                      </w14:textFill>
                    </w:rPr>
                    <w:t>5</w:t>
                  </w:r>
                </w:p>
              </w:tc>
              <w:tc>
                <w:tcPr>
                  <w:tcW w:w="714" w:type="pct"/>
                  <w:vAlign w:val="center"/>
                </w:tcPr>
                <w:p w14:paraId="768F682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776" w:type="pct"/>
                  <w:vAlign w:val="center"/>
                </w:tcPr>
                <w:p w14:paraId="6ADD6EC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713" w:type="pct"/>
                  <w:vAlign w:val="center"/>
                </w:tcPr>
                <w:p w14:paraId="1F90ABE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651" w:type="pct"/>
                  <w:vAlign w:val="center"/>
                </w:tcPr>
                <w:p w14:paraId="7F7EAC0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661" w:type="pct"/>
                  <w:vAlign w:val="center"/>
                </w:tcPr>
                <w:p w14:paraId="5A4BE54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14:paraId="2C23143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1347476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氨氮≤</w:t>
                  </w:r>
                </w:p>
              </w:tc>
              <w:tc>
                <w:tcPr>
                  <w:tcW w:w="714" w:type="pct"/>
                  <w:vAlign w:val="center"/>
                </w:tcPr>
                <w:p w14:paraId="683D13D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0.15</w:t>
                  </w:r>
                </w:p>
              </w:tc>
              <w:tc>
                <w:tcPr>
                  <w:tcW w:w="776" w:type="pct"/>
                  <w:vAlign w:val="center"/>
                </w:tcPr>
                <w:p w14:paraId="20B2C3E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c>
                <w:tcPr>
                  <w:tcW w:w="713" w:type="pct"/>
                  <w:vAlign w:val="center"/>
                </w:tcPr>
                <w:p w14:paraId="3A7BA7B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651" w:type="pct"/>
                  <w:vAlign w:val="center"/>
                </w:tcPr>
                <w:p w14:paraId="54E2D61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661" w:type="pct"/>
                  <w:vAlign w:val="center"/>
                </w:tcPr>
                <w:p w14:paraId="34844D7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r>
            <w:tr w14:paraId="676ACA7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0B1FEE9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总磷(以P计)≤</w:t>
                  </w:r>
                </w:p>
              </w:tc>
              <w:tc>
                <w:tcPr>
                  <w:tcW w:w="714" w:type="pct"/>
                  <w:vAlign w:val="center"/>
                </w:tcPr>
                <w:p w14:paraId="6B34D18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0.02</w:t>
                  </w:r>
                </w:p>
                <w:p w14:paraId="021090F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(湖、库0.01)</w:t>
                  </w:r>
                </w:p>
              </w:tc>
              <w:tc>
                <w:tcPr>
                  <w:tcW w:w="776" w:type="pct"/>
                  <w:vAlign w:val="center"/>
                </w:tcPr>
                <w:p w14:paraId="5A799A2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w:t>
                  </w:r>
                </w:p>
                <w:p w14:paraId="433A8C0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(湖、库0.025)</w:t>
                  </w:r>
                </w:p>
              </w:tc>
              <w:tc>
                <w:tcPr>
                  <w:tcW w:w="713" w:type="pct"/>
                  <w:vAlign w:val="center"/>
                </w:tcPr>
                <w:p w14:paraId="72EC0AE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0.2</w:t>
                  </w:r>
                </w:p>
                <w:p w14:paraId="435676F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(湖、库0.05)</w:t>
                  </w:r>
                </w:p>
              </w:tc>
              <w:tc>
                <w:tcPr>
                  <w:tcW w:w="651" w:type="pct"/>
                  <w:vAlign w:val="center"/>
                </w:tcPr>
                <w:p w14:paraId="1B6F865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w:t>
                  </w:r>
                </w:p>
                <w:p w14:paraId="6E3692D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(湖、库0.1)</w:t>
                  </w:r>
                </w:p>
              </w:tc>
              <w:tc>
                <w:tcPr>
                  <w:tcW w:w="661" w:type="pct"/>
                  <w:vAlign w:val="center"/>
                </w:tcPr>
                <w:p w14:paraId="018E1DA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0.4</w:t>
                  </w:r>
                </w:p>
                <w:p w14:paraId="45BC0D9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(湖、库0.2)</w:t>
                  </w:r>
                </w:p>
              </w:tc>
            </w:tr>
            <w:tr w14:paraId="5D556CD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5E44BDF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总氮≤</w:t>
                  </w:r>
                </w:p>
              </w:tc>
              <w:tc>
                <w:tcPr>
                  <w:tcW w:w="714" w:type="pct"/>
                  <w:vAlign w:val="center"/>
                </w:tcPr>
                <w:p w14:paraId="79B79EF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0.2</w:t>
                  </w:r>
                </w:p>
              </w:tc>
              <w:tc>
                <w:tcPr>
                  <w:tcW w:w="776" w:type="pct"/>
                  <w:vAlign w:val="center"/>
                </w:tcPr>
                <w:p w14:paraId="41ACC05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c>
                <w:tcPr>
                  <w:tcW w:w="713" w:type="pct"/>
                  <w:vAlign w:val="center"/>
                </w:tcPr>
                <w:p w14:paraId="74B597C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651" w:type="pct"/>
                  <w:vAlign w:val="center"/>
                </w:tcPr>
                <w:p w14:paraId="36064CC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661" w:type="pct"/>
                  <w:vAlign w:val="center"/>
                </w:tcPr>
                <w:p w14:paraId="7E69E06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r>
            <w:tr w14:paraId="0606C94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07CF406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锌≤</w:t>
                  </w:r>
                </w:p>
              </w:tc>
              <w:tc>
                <w:tcPr>
                  <w:tcW w:w="714" w:type="pct"/>
                  <w:vAlign w:val="center"/>
                </w:tcPr>
                <w:p w14:paraId="50581D8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0.05</w:t>
                  </w:r>
                </w:p>
              </w:tc>
              <w:tc>
                <w:tcPr>
                  <w:tcW w:w="776" w:type="pct"/>
                  <w:vAlign w:val="center"/>
                </w:tcPr>
                <w:p w14:paraId="1B690BE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713" w:type="pct"/>
                  <w:vAlign w:val="center"/>
                </w:tcPr>
                <w:p w14:paraId="749803B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651" w:type="pct"/>
                  <w:vAlign w:val="center"/>
                </w:tcPr>
                <w:p w14:paraId="05B4D40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661" w:type="pct"/>
                  <w:vAlign w:val="center"/>
                </w:tcPr>
                <w:p w14:paraId="7944A43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r>
            <w:tr w14:paraId="2AAD6A7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46E580C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锰≤</w:t>
                  </w:r>
                </w:p>
              </w:tc>
              <w:tc>
                <w:tcPr>
                  <w:tcW w:w="3518" w:type="pct"/>
                  <w:gridSpan w:val="5"/>
                  <w:vAlign w:val="center"/>
                </w:tcPr>
                <w:p w14:paraId="604AE2F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w:t>
                  </w:r>
                </w:p>
              </w:tc>
            </w:tr>
            <w:tr w14:paraId="7F7614A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7E38D86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铜≤</w:t>
                  </w:r>
                </w:p>
              </w:tc>
              <w:tc>
                <w:tcPr>
                  <w:tcW w:w="714" w:type="pct"/>
                  <w:vAlign w:val="center"/>
                </w:tcPr>
                <w:p w14:paraId="59F005D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0.01</w:t>
                  </w:r>
                </w:p>
              </w:tc>
              <w:tc>
                <w:tcPr>
                  <w:tcW w:w="776" w:type="pct"/>
                  <w:vAlign w:val="center"/>
                </w:tcPr>
                <w:p w14:paraId="100C06E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713" w:type="pct"/>
                  <w:vAlign w:val="center"/>
                </w:tcPr>
                <w:p w14:paraId="2DFF10C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651" w:type="pct"/>
                  <w:vAlign w:val="center"/>
                </w:tcPr>
                <w:p w14:paraId="1E10685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661" w:type="pct"/>
                  <w:vAlign w:val="center"/>
                </w:tcPr>
                <w:p w14:paraId="5F56033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14:paraId="142ADCA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1481" w:type="pct"/>
                  <w:vAlign w:val="center"/>
                </w:tcPr>
                <w:p w14:paraId="2E97E01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钴≤</w:t>
                  </w:r>
                </w:p>
              </w:tc>
              <w:tc>
                <w:tcPr>
                  <w:tcW w:w="3518" w:type="pct"/>
                  <w:gridSpan w:val="5"/>
                  <w:vAlign w:val="center"/>
                </w:tcPr>
                <w:p w14:paraId="4BB8D07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w:t>
                  </w:r>
                </w:p>
              </w:tc>
            </w:tr>
          </w:tbl>
          <w:p w14:paraId="239BD0EF">
            <w:pPr>
              <w:pStyle w:val="304"/>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3.3</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海水水质标准（单位：mg/L）</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3172"/>
              <w:gridCol w:w="3333"/>
            </w:tblGrid>
            <w:tr w14:paraId="3FB46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blHeader/>
                <w:jc w:val="center"/>
              </w:trPr>
              <w:tc>
                <w:tcPr>
                  <w:tcW w:w="1035" w:type="pct"/>
                  <w:tcBorders>
                    <w:top w:val="single" w:color="auto" w:sz="6" w:space="0"/>
                    <w:left w:val="single" w:color="auto" w:sz="6" w:space="0"/>
                    <w:bottom w:val="single" w:color="auto" w:sz="4" w:space="0"/>
                    <w:tl2br w:val="single" w:color="auto" w:sz="4" w:space="0"/>
                  </w:tcBorders>
                  <w:vAlign w:val="center"/>
                </w:tcPr>
                <w:p w14:paraId="285F58BF">
                  <w:pPr>
                    <w:pStyle w:val="90"/>
                    <w:rPr>
                      <w:color w:val="000000" w:themeColor="text1"/>
                      <w14:textFill>
                        <w14:solidFill>
                          <w14:schemeClr w14:val="tx1"/>
                        </w14:solidFill>
                      </w14:textFill>
                    </w:rPr>
                  </w:pPr>
                  <w:r>
                    <w:rPr>
                      <w:color w:val="000000" w:themeColor="text1"/>
                      <w14:textFill>
                        <w14:solidFill>
                          <w14:schemeClr w14:val="tx1"/>
                        </w14:solidFill>
                      </w14:textFill>
                    </w:rPr>
                    <w:t xml:space="preserve">     标准</w:t>
                  </w:r>
                </w:p>
                <w:p w14:paraId="6347880C">
                  <w:pPr>
                    <w:pStyle w:val="9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932" w:type="pct"/>
                  <w:tcBorders>
                    <w:top w:val="single" w:color="auto" w:sz="6" w:space="0"/>
                    <w:bottom w:val="single" w:color="auto" w:sz="4" w:space="0"/>
                  </w:tcBorders>
                  <w:vAlign w:val="center"/>
                </w:tcPr>
                <w:p w14:paraId="625DD60F">
                  <w:pPr>
                    <w:pStyle w:val="90"/>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2031" w:type="pct"/>
                  <w:tcBorders>
                    <w:top w:val="single" w:color="auto" w:sz="6" w:space="0"/>
                    <w:bottom w:val="single" w:color="auto" w:sz="4" w:space="0"/>
                    <w:right w:val="single" w:color="auto" w:sz="6" w:space="0"/>
                  </w:tcBorders>
                  <w:vAlign w:val="center"/>
                </w:tcPr>
                <w:p w14:paraId="3DE36F17">
                  <w:pPr>
                    <w:pStyle w:val="90"/>
                    <w:rPr>
                      <w:color w:val="000000" w:themeColor="text1"/>
                      <w14:textFill>
                        <w14:solidFill>
                          <w14:schemeClr w14:val="tx1"/>
                        </w14:solidFill>
                      </w14:textFill>
                    </w:rPr>
                  </w:pPr>
                  <w:r>
                    <w:rPr>
                      <w:color w:val="000000" w:themeColor="text1"/>
                      <w14:textFill>
                        <w14:solidFill>
                          <w14:schemeClr w14:val="tx1"/>
                        </w14:solidFill>
                      </w14:textFill>
                    </w:rPr>
                    <w:t>第三类</w:t>
                  </w:r>
                </w:p>
              </w:tc>
            </w:tr>
            <w:tr w14:paraId="1D157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5" w:type="pct"/>
                  <w:tcBorders>
                    <w:top w:val="single" w:color="auto" w:sz="4" w:space="0"/>
                    <w:left w:val="single" w:color="auto" w:sz="6" w:space="0"/>
                    <w:bottom w:val="single" w:color="auto" w:sz="4" w:space="0"/>
                  </w:tcBorders>
                  <w:vAlign w:val="center"/>
                </w:tcPr>
                <w:p w14:paraId="0944E9FC">
                  <w:pPr>
                    <w:pStyle w:val="90"/>
                    <w:rPr>
                      <w:color w:val="000000" w:themeColor="text1"/>
                      <w14:textFill>
                        <w14:solidFill>
                          <w14:schemeClr w14:val="tx1"/>
                        </w14:solidFill>
                      </w14:textFill>
                    </w:rPr>
                  </w:pPr>
                  <w:r>
                    <w:rPr>
                      <w:color w:val="000000" w:themeColor="text1"/>
                      <w14:textFill>
                        <w14:solidFill>
                          <w14:schemeClr w14:val="tx1"/>
                        </w14:solidFill>
                      </w14:textFill>
                    </w:rPr>
                    <w:t>pH</w:t>
                  </w:r>
                </w:p>
              </w:tc>
              <w:tc>
                <w:tcPr>
                  <w:tcW w:w="1932" w:type="pct"/>
                  <w:tcBorders>
                    <w:top w:val="single" w:color="auto" w:sz="4" w:space="0"/>
                    <w:bottom w:val="single" w:color="auto" w:sz="4" w:space="0"/>
                  </w:tcBorders>
                  <w:vAlign w:val="center"/>
                </w:tcPr>
                <w:p w14:paraId="19BB8CBE">
                  <w:pPr>
                    <w:pStyle w:val="90"/>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2031" w:type="pct"/>
                  <w:tcBorders>
                    <w:top w:val="single" w:color="auto" w:sz="4" w:space="0"/>
                    <w:bottom w:val="single" w:color="auto" w:sz="4" w:space="0"/>
                    <w:right w:val="single" w:color="auto" w:sz="6" w:space="0"/>
                  </w:tcBorders>
                  <w:vAlign w:val="center"/>
                </w:tcPr>
                <w:p w14:paraId="72CD5F64">
                  <w:pPr>
                    <w:pStyle w:val="90"/>
                    <w:rPr>
                      <w:color w:val="000000" w:themeColor="text1"/>
                      <w14:textFill>
                        <w14:solidFill>
                          <w14:schemeClr w14:val="tx1"/>
                        </w14:solidFill>
                      </w14:textFill>
                    </w:rPr>
                  </w:pPr>
                  <w:r>
                    <w:rPr>
                      <w:color w:val="000000" w:themeColor="text1"/>
                      <w14:textFill>
                        <w14:solidFill>
                          <w14:schemeClr w14:val="tx1"/>
                        </w14:solidFill>
                      </w14:textFill>
                    </w:rPr>
                    <w:t>6.8~8.8</w:t>
                  </w:r>
                </w:p>
              </w:tc>
            </w:tr>
            <w:tr w14:paraId="4050E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5" w:type="pct"/>
                  <w:tcBorders>
                    <w:top w:val="single" w:color="auto" w:sz="4" w:space="0"/>
                    <w:left w:val="single" w:color="auto" w:sz="6" w:space="0"/>
                    <w:bottom w:val="single" w:color="auto" w:sz="4" w:space="0"/>
                  </w:tcBorders>
                  <w:vAlign w:val="center"/>
                </w:tcPr>
                <w:p w14:paraId="1106D15B">
                  <w:pPr>
                    <w:pStyle w:val="90"/>
                    <w:rPr>
                      <w:color w:val="000000" w:themeColor="text1"/>
                      <w14:textFill>
                        <w14:solidFill>
                          <w14:schemeClr w14:val="tx1"/>
                        </w14:solidFill>
                      </w14:textFill>
                    </w:rPr>
                  </w:pPr>
                  <w:r>
                    <w:rPr>
                      <w:color w:val="000000" w:themeColor="text1"/>
                      <w14:textFill>
                        <w14:solidFill>
                          <w14:schemeClr w14:val="tx1"/>
                        </w14:solidFill>
                      </w14:textFill>
                    </w:rPr>
                    <w:t>DO&gt;</w:t>
                  </w:r>
                </w:p>
              </w:tc>
              <w:tc>
                <w:tcPr>
                  <w:tcW w:w="1932" w:type="pct"/>
                  <w:tcBorders>
                    <w:top w:val="single" w:color="auto" w:sz="4" w:space="0"/>
                    <w:bottom w:val="single" w:color="auto" w:sz="4" w:space="0"/>
                  </w:tcBorders>
                  <w:vAlign w:val="center"/>
                </w:tcPr>
                <w:p w14:paraId="564C5109">
                  <w:pPr>
                    <w:pStyle w:val="9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2031" w:type="pct"/>
                  <w:tcBorders>
                    <w:top w:val="single" w:color="auto" w:sz="4" w:space="0"/>
                    <w:bottom w:val="single" w:color="auto" w:sz="4" w:space="0"/>
                    <w:right w:val="single" w:color="auto" w:sz="6" w:space="0"/>
                  </w:tcBorders>
                  <w:vAlign w:val="center"/>
                </w:tcPr>
                <w:p w14:paraId="2D8121CD">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r>
            <w:tr w14:paraId="3D65B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5" w:type="pct"/>
                  <w:tcBorders>
                    <w:top w:val="single" w:color="auto" w:sz="4" w:space="0"/>
                    <w:left w:val="single" w:color="auto" w:sz="6" w:space="0"/>
                    <w:bottom w:val="single" w:color="auto" w:sz="4" w:space="0"/>
                  </w:tcBorders>
                  <w:vAlign w:val="center"/>
                </w:tcPr>
                <w:p w14:paraId="16EEF735">
                  <w:pPr>
                    <w:pStyle w:val="90"/>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932" w:type="pct"/>
                  <w:tcBorders>
                    <w:top w:val="single" w:color="auto" w:sz="4" w:space="0"/>
                    <w:bottom w:val="single" w:color="auto" w:sz="4" w:space="0"/>
                  </w:tcBorders>
                  <w:vAlign w:val="center"/>
                </w:tcPr>
                <w:p w14:paraId="168F673A">
                  <w:pPr>
                    <w:pStyle w:val="9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2031" w:type="pct"/>
                  <w:tcBorders>
                    <w:top w:val="single" w:color="auto" w:sz="4" w:space="0"/>
                    <w:bottom w:val="single" w:color="auto" w:sz="4" w:space="0"/>
                    <w:right w:val="single" w:color="auto" w:sz="6" w:space="0"/>
                  </w:tcBorders>
                  <w:vAlign w:val="center"/>
                </w:tcPr>
                <w:p w14:paraId="545294CC">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r>
            <w:tr w14:paraId="3FAC1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5" w:type="pct"/>
                  <w:tcBorders>
                    <w:top w:val="single" w:color="auto" w:sz="4" w:space="0"/>
                    <w:left w:val="single" w:color="auto" w:sz="6" w:space="0"/>
                    <w:bottom w:val="single" w:color="auto" w:sz="4" w:space="0"/>
                  </w:tcBorders>
                  <w:vAlign w:val="center"/>
                </w:tcPr>
                <w:p w14:paraId="59659DBA">
                  <w:pPr>
                    <w:pStyle w:val="90"/>
                    <w:rPr>
                      <w:color w:val="000000" w:themeColor="text1"/>
                      <w14:textFill>
                        <w14:solidFill>
                          <w14:schemeClr w14:val="tx1"/>
                        </w14:solidFill>
                      </w14:textFill>
                    </w:rPr>
                  </w:pPr>
                  <w:r>
                    <w:rPr>
                      <w:color w:val="000000" w:themeColor="text1"/>
                      <w14:textFill>
                        <w14:solidFill>
                          <w14:schemeClr w14:val="tx1"/>
                        </w14:solidFill>
                      </w14:textFill>
                    </w:rPr>
                    <w:t>无机氮≤</w:t>
                  </w:r>
                </w:p>
              </w:tc>
              <w:tc>
                <w:tcPr>
                  <w:tcW w:w="1932" w:type="pct"/>
                  <w:tcBorders>
                    <w:top w:val="single" w:color="auto" w:sz="4" w:space="0"/>
                    <w:bottom w:val="single" w:color="auto" w:sz="4" w:space="0"/>
                  </w:tcBorders>
                  <w:vAlign w:val="center"/>
                </w:tcPr>
                <w:p w14:paraId="2E5CF257">
                  <w:pPr>
                    <w:pStyle w:val="9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2031" w:type="pct"/>
                  <w:tcBorders>
                    <w:top w:val="single" w:color="auto" w:sz="4" w:space="0"/>
                    <w:bottom w:val="single" w:color="auto" w:sz="4" w:space="0"/>
                    <w:right w:val="single" w:color="auto" w:sz="6" w:space="0"/>
                  </w:tcBorders>
                  <w:vAlign w:val="center"/>
                </w:tcPr>
                <w:p w14:paraId="3D5E8A52">
                  <w:pPr>
                    <w:pStyle w:val="90"/>
                    <w:rPr>
                      <w:color w:val="000000" w:themeColor="text1"/>
                      <w14:textFill>
                        <w14:solidFill>
                          <w14:schemeClr w14:val="tx1"/>
                        </w14:solidFill>
                      </w14:textFill>
                    </w:rPr>
                  </w:pPr>
                  <w:r>
                    <w:rPr>
                      <w:color w:val="000000" w:themeColor="text1"/>
                      <w14:textFill>
                        <w14:solidFill>
                          <w14:schemeClr w14:val="tx1"/>
                        </w14:solidFill>
                      </w14:textFill>
                    </w:rPr>
                    <w:t>0.4</w:t>
                  </w:r>
                </w:p>
              </w:tc>
            </w:tr>
            <w:tr w14:paraId="4D01E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5" w:type="pct"/>
                  <w:tcBorders>
                    <w:top w:val="single" w:color="auto" w:sz="4" w:space="0"/>
                    <w:left w:val="single" w:color="auto" w:sz="6" w:space="0"/>
                    <w:bottom w:val="single" w:color="auto" w:sz="4" w:space="0"/>
                  </w:tcBorders>
                  <w:vAlign w:val="center"/>
                </w:tcPr>
                <w:p w14:paraId="1E6A3ED1">
                  <w:pPr>
                    <w:pStyle w:val="90"/>
                    <w:rPr>
                      <w:color w:val="000000" w:themeColor="text1"/>
                      <w14:textFill>
                        <w14:solidFill>
                          <w14:schemeClr w14:val="tx1"/>
                        </w14:solidFill>
                      </w14:textFill>
                    </w:rPr>
                  </w:pPr>
                  <w:r>
                    <w:rPr>
                      <w:color w:val="000000" w:themeColor="text1"/>
                      <w14:textFill>
                        <w14:solidFill>
                          <w14:schemeClr w14:val="tx1"/>
                        </w14:solidFill>
                      </w14:textFill>
                    </w:rPr>
                    <w:t>活性磷酸盐≤</w:t>
                  </w:r>
                </w:p>
              </w:tc>
              <w:tc>
                <w:tcPr>
                  <w:tcW w:w="1932" w:type="pct"/>
                  <w:tcBorders>
                    <w:top w:val="single" w:color="auto" w:sz="4" w:space="0"/>
                    <w:bottom w:val="single" w:color="auto" w:sz="4" w:space="0"/>
                  </w:tcBorders>
                  <w:vAlign w:val="center"/>
                </w:tcPr>
                <w:p w14:paraId="28604E7D">
                  <w:pPr>
                    <w:pStyle w:val="9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2031" w:type="pct"/>
                  <w:tcBorders>
                    <w:top w:val="single" w:color="auto" w:sz="4" w:space="0"/>
                    <w:bottom w:val="single" w:color="auto" w:sz="4" w:space="0"/>
                    <w:right w:val="single" w:color="auto" w:sz="6" w:space="0"/>
                  </w:tcBorders>
                  <w:vAlign w:val="center"/>
                </w:tcPr>
                <w:p w14:paraId="64AAA927">
                  <w:pPr>
                    <w:pStyle w:val="90"/>
                    <w:rPr>
                      <w:color w:val="000000" w:themeColor="text1"/>
                      <w14:textFill>
                        <w14:solidFill>
                          <w14:schemeClr w14:val="tx1"/>
                        </w14:solidFill>
                      </w14:textFill>
                    </w:rPr>
                  </w:pPr>
                  <w:r>
                    <w:rPr>
                      <w:color w:val="000000" w:themeColor="text1"/>
                      <w14:textFill>
                        <w14:solidFill>
                          <w14:schemeClr w14:val="tx1"/>
                        </w14:solidFill>
                      </w14:textFill>
                    </w:rPr>
                    <w:t>0.03</w:t>
                  </w:r>
                </w:p>
              </w:tc>
            </w:tr>
            <w:tr w14:paraId="392F9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5" w:type="pct"/>
                  <w:tcBorders>
                    <w:top w:val="single" w:color="auto" w:sz="4" w:space="0"/>
                    <w:left w:val="single" w:color="auto" w:sz="6" w:space="0"/>
                    <w:bottom w:val="single" w:color="auto" w:sz="4" w:space="0"/>
                  </w:tcBorders>
                  <w:vAlign w:val="center"/>
                </w:tcPr>
                <w:p w14:paraId="0F67891D">
                  <w:pPr>
                    <w:pStyle w:val="90"/>
                    <w:rPr>
                      <w:color w:val="000000" w:themeColor="text1"/>
                      <w14:textFill>
                        <w14:solidFill>
                          <w14:schemeClr w14:val="tx1"/>
                        </w14:solidFill>
                      </w14:textFill>
                    </w:rPr>
                  </w:pPr>
                  <w:r>
                    <w:rPr>
                      <w:color w:val="000000" w:themeColor="text1"/>
                      <w14:textFill>
                        <w14:solidFill>
                          <w14:schemeClr w14:val="tx1"/>
                        </w14:solidFill>
                      </w14:textFill>
                    </w:rPr>
                    <w:t>石油类≤</w:t>
                  </w:r>
                </w:p>
              </w:tc>
              <w:tc>
                <w:tcPr>
                  <w:tcW w:w="1932" w:type="pct"/>
                  <w:tcBorders>
                    <w:top w:val="single" w:color="auto" w:sz="4" w:space="0"/>
                    <w:bottom w:val="single" w:color="auto" w:sz="4" w:space="0"/>
                  </w:tcBorders>
                  <w:vAlign w:val="center"/>
                </w:tcPr>
                <w:p w14:paraId="67AE4D57">
                  <w:pPr>
                    <w:pStyle w:val="9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2031" w:type="pct"/>
                  <w:tcBorders>
                    <w:top w:val="single" w:color="auto" w:sz="4" w:space="0"/>
                    <w:bottom w:val="single" w:color="auto" w:sz="4" w:space="0"/>
                    <w:right w:val="single" w:color="auto" w:sz="6" w:space="0"/>
                  </w:tcBorders>
                  <w:vAlign w:val="center"/>
                </w:tcPr>
                <w:p w14:paraId="0F4CF636">
                  <w:pPr>
                    <w:pStyle w:val="90"/>
                    <w:rPr>
                      <w:color w:val="000000" w:themeColor="text1"/>
                      <w14:textFill>
                        <w14:solidFill>
                          <w14:schemeClr w14:val="tx1"/>
                        </w14:solidFill>
                      </w14:textFill>
                    </w:rPr>
                  </w:pPr>
                  <w:r>
                    <w:rPr>
                      <w:color w:val="000000" w:themeColor="text1"/>
                      <w14:textFill>
                        <w14:solidFill>
                          <w14:schemeClr w14:val="tx1"/>
                        </w14:solidFill>
                      </w14:textFill>
                    </w:rPr>
                    <w:t>0.3</w:t>
                  </w:r>
                </w:p>
              </w:tc>
            </w:tr>
          </w:tbl>
          <w:p w14:paraId="17131E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（4）地表水水质评价方法</w:t>
            </w:r>
          </w:p>
          <w:p w14:paraId="266EBE4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按《环境影响评价技术导则 地表水环境》（HJ 2.3-2018）中水环境质量评价方法。</w:t>
            </w:r>
          </w:p>
          <w:p w14:paraId="123E84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①一般性水质因子的指数计算公式：</w:t>
            </w:r>
          </w:p>
          <w:p w14:paraId="3BCF32AC">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25" o:spt="75" type="#_x0000_t75" style="height:17.8pt;width:56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5B93FA3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②DO的标准指数为：</w:t>
            </w:r>
          </w:p>
          <w:p w14:paraId="378A263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当DOj＞DOf时</w:t>
            </w:r>
          </w:p>
          <w:p w14:paraId="03E37FCF">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26" o:spt="75" type="#_x0000_t75" style="height:29.35pt;width:72.9pt;" o:ole="t" filled="f" o:preferrelative="t" stroked="f" coordsize="21600,21600">
                  <v:path/>
                  <v:fill on="f" focussize="0,0"/>
                  <v:stroke on="f" joinstyle="miter"/>
                  <v:imagedata r:id="rId26" o:title=""/>
                  <o:lock v:ext="edit" aspectratio="t"/>
                  <w10:wrap type="none"/>
                  <w10:anchorlock/>
                </v:shape>
                <o:OLEObject Type="Embed" ProgID="Equation.DSMT4" ShapeID="_x0000_i1026" DrawAspect="Content" ObjectID="_1468075726" r:id="rId25">
                  <o:LockedField>false</o:LockedField>
                </o:OLEObject>
              </w:object>
            </w:r>
          </w:p>
          <w:p w14:paraId="5ABD2EC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当DOj≤DOf时</w:t>
            </w:r>
          </w:p>
          <w:p w14:paraId="0D45DDB6">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27" o:spt="75" type="#_x0000_t75" style="height:17.8pt;width:89.8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p>
          <w:p w14:paraId="6AA6238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其中：DOf为饱和溶解氧浓度，mg/L，对于河流，DOf=468/（31.6+T）；对于盐度比较高的湖泊、水库及入海河口、近岸海域，DOf=（491-2.65S）/（33.5+T）</w:t>
            </w:r>
          </w:p>
          <w:p w14:paraId="06E005A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③pH的标准指数为：</w:t>
            </w:r>
          </w:p>
          <w:p w14:paraId="0F754ED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当PHj≤7.0时</w:t>
            </w:r>
          </w:p>
          <w:p w14:paraId="10CCCD56">
            <w:pPr>
              <w:pStyle w:val="90"/>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35.55pt;width:89.8pt;" o:ole="t" filled="f" o:preferrelative="t" stroked="f" coordsize="21600,21600">
                  <v:path/>
                  <v:fill on="f" focussize="0,0"/>
                  <v:stroke on="f" joinstyle="miter"/>
                  <v:imagedata r:id="rId30" o:title=""/>
                  <o:lock v:ext="edit" aspectratio="t"/>
                  <w10:wrap type="none"/>
                  <w10:anchorlock/>
                </v:shape>
                <o:OLEObject Type="Embed" ProgID="Equation.DSMT4" ShapeID="_x0000_i1028" DrawAspect="Content" ObjectID="_1468075728" r:id="rId29">
                  <o:LockedField>false</o:LockedField>
                </o:OLEObject>
              </w:object>
            </w:r>
          </w:p>
          <w:p w14:paraId="78D7BA3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当PHj＞7.0时</w:t>
            </w:r>
          </w:p>
          <w:p w14:paraId="3EE81155">
            <w:pPr>
              <w:pStyle w:val="90"/>
              <w:rPr>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33.8pt;width:77.35pt;" o:ole="t" filled="f" o:preferrelative="t" stroked="f" coordsize="21600,21600">
                  <v:path/>
                  <v:fill on="f" focussize="0,0"/>
                  <v:stroke on="f" joinstyle="miter"/>
                  <v:imagedata r:id="rId32" o:title=""/>
                  <o:lock v:ext="edit" aspectratio="t"/>
                  <w10:wrap type="none"/>
                  <w10:anchorlock/>
                </v:shape>
                <o:OLEObject Type="Embed" ProgID="Equation.DSMT4" ShapeID="_x0000_i1029" DrawAspect="Content" ObjectID="_1468075729" r:id="rId31">
                  <o:LockedField>false</o:LockedField>
                </o:OLEObject>
              </w:object>
            </w:r>
          </w:p>
          <w:p w14:paraId="6249B64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其中：pHsd  为评价标准中pH值下限；pHsu 为评价标准中pH值上限。</w:t>
            </w:r>
          </w:p>
          <w:p w14:paraId="25215B3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某一测点的任一水质因子的标准指数＞1，表明该测点的水质超过了规定的水质标准。</w:t>
            </w:r>
          </w:p>
          <w:p w14:paraId="04107EE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（5）地表水水质监测结果</w:t>
            </w:r>
          </w:p>
          <w:p w14:paraId="532C3C2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地表水水质评价结果见下表。</w:t>
            </w:r>
          </w:p>
          <w:p w14:paraId="62128E55">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W1断面地表水检测结果一览表</w:t>
            </w:r>
          </w:p>
          <w:tbl>
            <w:tblPr>
              <w:tblStyle w:val="46"/>
              <w:tblW w:w="4998"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552"/>
              <w:gridCol w:w="1577"/>
              <w:gridCol w:w="1577"/>
              <w:gridCol w:w="1582"/>
            </w:tblGrid>
            <w:tr w14:paraId="2CF4E42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72" w:type="pct"/>
                  <w:vMerge w:val="restart"/>
                  <w:vAlign w:val="center"/>
                </w:tcPr>
                <w:p w14:paraId="7085E1B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检测项目时间及点位</w:t>
                  </w:r>
                </w:p>
              </w:tc>
              <w:tc>
                <w:tcPr>
                  <w:tcW w:w="944" w:type="pct"/>
                  <w:vMerge w:val="restart"/>
                  <w:vAlign w:val="center"/>
                </w:tcPr>
                <w:p w14:paraId="7C98126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2883" w:type="pct"/>
                  <w:gridSpan w:val="3"/>
                  <w:vAlign w:val="center"/>
                </w:tcPr>
                <w:p w14:paraId="779FF18E">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W1</w:t>
                  </w:r>
                </w:p>
              </w:tc>
            </w:tr>
            <w:tr w14:paraId="0C9F018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72" w:type="pct"/>
                  <w:vMerge w:val="continue"/>
                  <w:vAlign w:val="center"/>
                </w:tcPr>
                <w:p w14:paraId="5B45BEAF">
                  <w:pPr>
                    <w:pStyle w:val="144"/>
                    <w:spacing w:before="24"/>
                    <w:rPr>
                      <w:color w:val="000000" w:themeColor="text1"/>
                      <w14:textFill>
                        <w14:solidFill>
                          <w14:schemeClr w14:val="tx1"/>
                        </w14:solidFill>
                      </w14:textFill>
                    </w:rPr>
                  </w:pPr>
                </w:p>
              </w:tc>
              <w:tc>
                <w:tcPr>
                  <w:tcW w:w="944" w:type="pct"/>
                  <w:vMerge w:val="continue"/>
                  <w:vAlign w:val="center"/>
                </w:tcPr>
                <w:p w14:paraId="14ED79BE">
                  <w:pPr>
                    <w:pStyle w:val="144"/>
                    <w:spacing w:before="24"/>
                    <w:rPr>
                      <w:color w:val="000000" w:themeColor="text1"/>
                      <w14:textFill>
                        <w14:solidFill>
                          <w14:schemeClr w14:val="tx1"/>
                        </w14:solidFill>
                      </w14:textFill>
                    </w:rPr>
                  </w:pPr>
                </w:p>
              </w:tc>
              <w:tc>
                <w:tcPr>
                  <w:tcW w:w="960" w:type="pct"/>
                  <w:vAlign w:val="center"/>
                </w:tcPr>
                <w:p w14:paraId="7A0A898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2023.9.2</w:t>
                  </w:r>
                </w:p>
              </w:tc>
              <w:tc>
                <w:tcPr>
                  <w:tcW w:w="960" w:type="pct"/>
                  <w:vAlign w:val="center"/>
                </w:tcPr>
                <w:p w14:paraId="13898AF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2023.9.3</w:t>
                  </w:r>
                </w:p>
              </w:tc>
              <w:tc>
                <w:tcPr>
                  <w:tcW w:w="963" w:type="pct"/>
                  <w:vAlign w:val="center"/>
                </w:tcPr>
                <w:p w14:paraId="3563156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2023.9.4</w:t>
                  </w:r>
                </w:p>
              </w:tc>
            </w:tr>
            <w:tr w14:paraId="635514E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991" w:type="dxa"/>
                  <w:vAlign w:val="center"/>
                </w:tcPr>
                <w:p w14:paraId="002A5DB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pH值</w:t>
                  </w:r>
                </w:p>
              </w:tc>
              <w:tc>
                <w:tcPr>
                  <w:tcW w:w="1604" w:type="dxa"/>
                  <w:vAlign w:val="center"/>
                </w:tcPr>
                <w:p w14:paraId="73EFB3DE">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1631" w:type="dxa"/>
                  <w:vAlign w:val="center"/>
                </w:tcPr>
                <w:p w14:paraId="1E63A9F2">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7.8</w:t>
                  </w:r>
                </w:p>
              </w:tc>
              <w:tc>
                <w:tcPr>
                  <w:tcW w:w="1631" w:type="dxa"/>
                  <w:vAlign w:val="center"/>
                </w:tcPr>
                <w:p w14:paraId="1159CB8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637" w:type="dxa"/>
                  <w:vAlign w:val="center"/>
                </w:tcPr>
                <w:p w14:paraId="5732C97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7.8</w:t>
                  </w:r>
                </w:p>
              </w:tc>
            </w:tr>
            <w:tr w14:paraId="3C7F741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991" w:type="dxa"/>
                  <w:vAlign w:val="center"/>
                </w:tcPr>
                <w:p w14:paraId="2D3F4E72">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水温</w:t>
                  </w:r>
                </w:p>
              </w:tc>
              <w:tc>
                <w:tcPr>
                  <w:tcW w:w="1604" w:type="dxa"/>
                  <w:vAlign w:val="center"/>
                </w:tcPr>
                <w:p w14:paraId="64B155F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631" w:type="dxa"/>
                  <w:vAlign w:val="center"/>
                </w:tcPr>
                <w:p w14:paraId="1D18A6FB">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25.9</w:t>
                  </w:r>
                </w:p>
              </w:tc>
              <w:tc>
                <w:tcPr>
                  <w:tcW w:w="1631" w:type="dxa"/>
                  <w:vAlign w:val="center"/>
                </w:tcPr>
                <w:p w14:paraId="3435462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24.3</w:t>
                  </w:r>
                </w:p>
              </w:tc>
              <w:tc>
                <w:tcPr>
                  <w:tcW w:w="1637" w:type="dxa"/>
                  <w:vAlign w:val="center"/>
                </w:tcPr>
                <w:p w14:paraId="1D470DA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23.4</w:t>
                  </w:r>
                </w:p>
              </w:tc>
            </w:tr>
            <w:tr w14:paraId="2A9C0B6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991" w:type="dxa"/>
                  <w:vAlign w:val="center"/>
                </w:tcPr>
                <w:p w14:paraId="3BD978F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604" w:type="dxa"/>
                  <w:vAlign w:val="center"/>
                </w:tcPr>
                <w:p w14:paraId="7D81DB9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631" w:type="dxa"/>
                  <w:vAlign w:val="center"/>
                </w:tcPr>
                <w:p w14:paraId="179CBAD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631" w:type="dxa"/>
                  <w:vAlign w:val="center"/>
                </w:tcPr>
                <w:p w14:paraId="013810F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28</w:t>
                  </w:r>
                </w:p>
              </w:tc>
              <w:tc>
                <w:tcPr>
                  <w:tcW w:w="1637" w:type="dxa"/>
                  <w:vAlign w:val="center"/>
                </w:tcPr>
                <w:p w14:paraId="34A2202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29</w:t>
                  </w:r>
                </w:p>
              </w:tc>
            </w:tr>
            <w:tr w14:paraId="725FA84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991" w:type="dxa"/>
                  <w:vAlign w:val="center"/>
                </w:tcPr>
                <w:p w14:paraId="38CEF56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604" w:type="dxa"/>
                  <w:vAlign w:val="center"/>
                </w:tcPr>
                <w:p w14:paraId="5D2E9B42">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631" w:type="dxa"/>
                  <w:vAlign w:val="center"/>
                </w:tcPr>
                <w:p w14:paraId="7C8F46C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0.538</w:t>
                  </w:r>
                </w:p>
              </w:tc>
              <w:tc>
                <w:tcPr>
                  <w:tcW w:w="1631" w:type="dxa"/>
                  <w:vAlign w:val="center"/>
                </w:tcPr>
                <w:p w14:paraId="3469B84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0.477</w:t>
                  </w:r>
                </w:p>
              </w:tc>
              <w:tc>
                <w:tcPr>
                  <w:tcW w:w="1637" w:type="dxa"/>
                  <w:vAlign w:val="center"/>
                </w:tcPr>
                <w:p w14:paraId="7AA50F1E">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0.610</w:t>
                  </w:r>
                </w:p>
              </w:tc>
            </w:tr>
            <w:tr w14:paraId="015A7D7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72" w:type="pct"/>
                  <w:vAlign w:val="center"/>
                </w:tcPr>
                <w:p w14:paraId="17BC6A8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总氮</w:t>
                  </w:r>
                </w:p>
              </w:tc>
              <w:tc>
                <w:tcPr>
                  <w:tcW w:w="944" w:type="pct"/>
                  <w:vAlign w:val="center"/>
                </w:tcPr>
                <w:p w14:paraId="09CDA17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960" w:type="pct"/>
                  <w:vAlign w:val="center"/>
                </w:tcPr>
                <w:p w14:paraId="629CD3FB">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0.95</w:t>
                  </w:r>
                </w:p>
              </w:tc>
              <w:tc>
                <w:tcPr>
                  <w:tcW w:w="960" w:type="pct"/>
                  <w:vAlign w:val="center"/>
                </w:tcPr>
                <w:p w14:paraId="74C5986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0.87</w:t>
                  </w:r>
                </w:p>
              </w:tc>
              <w:tc>
                <w:tcPr>
                  <w:tcW w:w="963" w:type="pct"/>
                  <w:vAlign w:val="center"/>
                </w:tcPr>
                <w:p w14:paraId="3DC4E00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1.04</w:t>
                  </w:r>
                </w:p>
              </w:tc>
            </w:tr>
            <w:tr w14:paraId="7AFC5E7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72" w:type="pct"/>
                  <w:vAlign w:val="center"/>
                </w:tcPr>
                <w:p w14:paraId="739870C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总磷</w:t>
                  </w:r>
                </w:p>
              </w:tc>
              <w:tc>
                <w:tcPr>
                  <w:tcW w:w="944" w:type="pct"/>
                  <w:vAlign w:val="center"/>
                </w:tcPr>
                <w:p w14:paraId="106FA82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960" w:type="pct"/>
                  <w:vAlign w:val="center"/>
                </w:tcPr>
                <w:p w14:paraId="45F3345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0.084</w:t>
                  </w:r>
                </w:p>
              </w:tc>
              <w:tc>
                <w:tcPr>
                  <w:tcW w:w="960" w:type="pct"/>
                  <w:vAlign w:val="center"/>
                </w:tcPr>
                <w:p w14:paraId="66C784A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0.096</w:t>
                  </w:r>
                </w:p>
              </w:tc>
              <w:tc>
                <w:tcPr>
                  <w:tcW w:w="963" w:type="pct"/>
                  <w:vAlign w:val="center"/>
                </w:tcPr>
                <w:p w14:paraId="17A6389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0.089</w:t>
                  </w:r>
                </w:p>
              </w:tc>
            </w:tr>
            <w:tr w14:paraId="3FD60D7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72" w:type="pct"/>
                  <w:vAlign w:val="center"/>
                </w:tcPr>
                <w:p w14:paraId="047BB64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944" w:type="pct"/>
                  <w:vAlign w:val="center"/>
                </w:tcPr>
                <w:p w14:paraId="7FE5500B">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960" w:type="pct"/>
                </w:tcPr>
                <w:p w14:paraId="38B396E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4.0</w:t>
                  </w:r>
                </w:p>
              </w:tc>
              <w:tc>
                <w:tcPr>
                  <w:tcW w:w="960" w:type="pct"/>
                </w:tcPr>
                <w:p w14:paraId="1C9FF22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4.8</w:t>
                  </w:r>
                </w:p>
              </w:tc>
              <w:tc>
                <w:tcPr>
                  <w:tcW w:w="963" w:type="pct"/>
                </w:tcPr>
                <w:p w14:paraId="7AF393A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5.1</w:t>
                  </w:r>
                </w:p>
              </w:tc>
            </w:tr>
            <w:tr w14:paraId="01F51D7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72" w:type="pct"/>
                  <w:vAlign w:val="center"/>
                </w:tcPr>
                <w:p w14:paraId="23A5EB4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944" w:type="pct"/>
                  <w:vAlign w:val="center"/>
                </w:tcPr>
                <w:p w14:paraId="1CAC863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960" w:type="pct"/>
                </w:tcPr>
                <w:p w14:paraId="67CF87F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960" w:type="pct"/>
                </w:tcPr>
                <w:p w14:paraId="33FD257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963" w:type="pct"/>
                </w:tcPr>
                <w:p w14:paraId="369D631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r>
            <w:tr w14:paraId="40F3B7F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72" w:type="pct"/>
                  <w:vAlign w:val="center"/>
                </w:tcPr>
                <w:p w14:paraId="6A29F0C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锂</w:t>
                  </w:r>
                </w:p>
              </w:tc>
              <w:tc>
                <w:tcPr>
                  <w:tcW w:w="944" w:type="pct"/>
                  <w:vAlign w:val="center"/>
                </w:tcPr>
                <w:p w14:paraId="0A7D4C8E">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960" w:type="pct"/>
                </w:tcPr>
                <w:p w14:paraId="6B82541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960" w:type="pct"/>
                </w:tcPr>
                <w:p w14:paraId="7BEDD4E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963" w:type="pct"/>
                </w:tcPr>
                <w:p w14:paraId="5FA1863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r>
            <w:tr w14:paraId="5110C2F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72" w:type="pct"/>
                  <w:vAlign w:val="center"/>
                </w:tcPr>
                <w:p w14:paraId="0AE246C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钴</w:t>
                  </w:r>
                </w:p>
              </w:tc>
              <w:tc>
                <w:tcPr>
                  <w:tcW w:w="944" w:type="pct"/>
                  <w:vAlign w:val="center"/>
                </w:tcPr>
                <w:p w14:paraId="3A78E2B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960" w:type="pct"/>
                </w:tcPr>
                <w:p w14:paraId="20575E2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960" w:type="pct"/>
                </w:tcPr>
                <w:p w14:paraId="49D641F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963" w:type="pct"/>
                </w:tcPr>
                <w:p w14:paraId="3EE1E7D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r>
            <w:tr w14:paraId="0558417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72" w:type="pct"/>
                  <w:vAlign w:val="center"/>
                </w:tcPr>
                <w:p w14:paraId="5B8F0E1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944" w:type="pct"/>
                  <w:vAlign w:val="center"/>
                </w:tcPr>
                <w:p w14:paraId="19F2DC2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960" w:type="pct"/>
                </w:tcPr>
                <w:p w14:paraId="164FFF6B">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960" w:type="pct"/>
                </w:tcPr>
                <w:p w14:paraId="7F68189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963" w:type="pct"/>
                </w:tcPr>
                <w:p w14:paraId="2F93489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r>
            <w:tr w14:paraId="0D4DD27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72" w:type="pct"/>
                  <w:vAlign w:val="center"/>
                </w:tcPr>
                <w:p w14:paraId="10B122A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锰</w:t>
                  </w:r>
                </w:p>
              </w:tc>
              <w:tc>
                <w:tcPr>
                  <w:tcW w:w="944" w:type="pct"/>
                  <w:vAlign w:val="center"/>
                </w:tcPr>
                <w:p w14:paraId="79B4313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960" w:type="pct"/>
                  <w:vAlign w:val="center"/>
                </w:tcPr>
                <w:p w14:paraId="6E3814E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960" w:type="pct"/>
                  <w:vAlign w:val="center"/>
                </w:tcPr>
                <w:p w14:paraId="38E1AF8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963" w:type="pct"/>
                  <w:vAlign w:val="center"/>
                </w:tcPr>
                <w:p w14:paraId="6E97466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未检出</w:t>
                  </w:r>
                </w:p>
              </w:tc>
            </w:tr>
          </w:tbl>
          <w:p w14:paraId="30CCD1F0">
            <w:pPr>
              <w:pStyle w:val="304"/>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3.3</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W2断面地表水检测结果一览表</w:t>
            </w:r>
          </w:p>
          <w:tbl>
            <w:tblPr>
              <w:tblStyle w:val="46"/>
              <w:tblW w:w="4996"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107"/>
              <w:gridCol w:w="1053"/>
              <w:gridCol w:w="818"/>
              <w:gridCol w:w="719"/>
              <w:gridCol w:w="870"/>
              <w:gridCol w:w="872"/>
              <w:gridCol w:w="1067"/>
              <w:gridCol w:w="683"/>
            </w:tblGrid>
            <w:tr w14:paraId="36AC441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1" w:type="pct"/>
                  <w:vAlign w:val="center"/>
                </w:tcPr>
                <w:p w14:paraId="174B6B7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检测项目时间</w:t>
                  </w:r>
                </w:p>
              </w:tc>
              <w:tc>
                <w:tcPr>
                  <w:tcW w:w="673" w:type="pct"/>
                  <w:vAlign w:val="center"/>
                </w:tcPr>
                <w:p w14:paraId="381D610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位置</w:t>
                  </w:r>
                </w:p>
              </w:tc>
              <w:tc>
                <w:tcPr>
                  <w:tcW w:w="640" w:type="pct"/>
                  <w:vAlign w:val="center"/>
                </w:tcPr>
                <w:p w14:paraId="5F9FFC9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指标</w:t>
                  </w:r>
                </w:p>
              </w:tc>
              <w:tc>
                <w:tcPr>
                  <w:tcW w:w="498" w:type="pct"/>
                  <w:vAlign w:val="center"/>
                </w:tcPr>
                <w:p w14:paraId="1317468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pH(无量纲)</w:t>
                  </w:r>
                </w:p>
              </w:tc>
              <w:tc>
                <w:tcPr>
                  <w:tcW w:w="438" w:type="pct"/>
                  <w:vAlign w:val="center"/>
                </w:tcPr>
                <w:p w14:paraId="2483D49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DO</w:t>
                  </w:r>
                </w:p>
              </w:tc>
              <w:tc>
                <w:tcPr>
                  <w:tcW w:w="530" w:type="pct"/>
                  <w:vAlign w:val="center"/>
                </w:tcPr>
                <w:p w14:paraId="76A99A0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w:t>
                  </w:r>
                </w:p>
              </w:tc>
              <w:tc>
                <w:tcPr>
                  <w:tcW w:w="531" w:type="pct"/>
                  <w:vAlign w:val="center"/>
                </w:tcPr>
                <w:p w14:paraId="51181C2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无机氮</w:t>
                  </w:r>
                </w:p>
              </w:tc>
              <w:tc>
                <w:tcPr>
                  <w:tcW w:w="649" w:type="pct"/>
                  <w:vAlign w:val="center"/>
                </w:tcPr>
                <w:p w14:paraId="0B509E5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活性磷酸盐</w:t>
                  </w:r>
                </w:p>
              </w:tc>
              <w:tc>
                <w:tcPr>
                  <w:tcW w:w="416" w:type="pct"/>
                  <w:vAlign w:val="center"/>
                </w:tcPr>
                <w:p w14:paraId="4D8DD15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油类</w:t>
                  </w:r>
                </w:p>
              </w:tc>
            </w:tr>
            <w:tr w14:paraId="31C5C04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1" w:type="pct"/>
                  <w:vAlign w:val="center"/>
                </w:tcPr>
                <w:p w14:paraId="45EA5A1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2023.4</w:t>
                  </w:r>
                </w:p>
              </w:tc>
              <w:tc>
                <w:tcPr>
                  <w:tcW w:w="673" w:type="pct"/>
                  <w:vAlign w:val="center"/>
                </w:tcPr>
                <w:p w14:paraId="471E621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W2</w:t>
                  </w:r>
                </w:p>
                <w:p w14:paraId="4546A89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(FJD01021)</w:t>
                  </w:r>
                </w:p>
              </w:tc>
              <w:tc>
                <w:tcPr>
                  <w:tcW w:w="640" w:type="pct"/>
                  <w:vAlign w:val="center"/>
                </w:tcPr>
                <w:p w14:paraId="3FB749A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监测值（mg/L）</w:t>
                  </w:r>
                </w:p>
              </w:tc>
              <w:tc>
                <w:tcPr>
                  <w:tcW w:w="498" w:type="pct"/>
                  <w:vAlign w:val="center"/>
                </w:tcPr>
                <w:p w14:paraId="622E039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8.29</w:t>
                  </w:r>
                </w:p>
              </w:tc>
              <w:tc>
                <w:tcPr>
                  <w:tcW w:w="438" w:type="pct"/>
                  <w:vAlign w:val="center"/>
                </w:tcPr>
                <w:p w14:paraId="4C581F1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7.94</w:t>
                  </w:r>
                </w:p>
              </w:tc>
              <w:tc>
                <w:tcPr>
                  <w:tcW w:w="530" w:type="pct"/>
                  <w:vAlign w:val="center"/>
                </w:tcPr>
                <w:p w14:paraId="3E32CB7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0.74</w:t>
                  </w:r>
                </w:p>
              </w:tc>
              <w:tc>
                <w:tcPr>
                  <w:tcW w:w="531" w:type="pct"/>
                  <w:vAlign w:val="center"/>
                </w:tcPr>
                <w:p w14:paraId="38FD640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0.29</w:t>
                  </w:r>
                </w:p>
              </w:tc>
              <w:tc>
                <w:tcPr>
                  <w:tcW w:w="649" w:type="pct"/>
                  <w:vAlign w:val="center"/>
                </w:tcPr>
                <w:p w14:paraId="1A50531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0.026</w:t>
                  </w:r>
                </w:p>
              </w:tc>
              <w:tc>
                <w:tcPr>
                  <w:tcW w:w="416" w:type="pct"/>
                  <w:vAlign w:val="center"/>
                </w:tcPr>
                <w:p w14:paraId="4CDB940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0.005</w:t>
                  </w:r>
                </w:p>
              </w:tc>
            </w:tr>
          </w:tbl>
          <w:p w14:paraId="1C38364D">
            <w:pPr>
              <w:ind w:firstLine="480"/>
              <w:rPr>
                <w:rFonts w:cs="Times New Roman"/>
                <w:color w:val="000000" w:themeColor="text1"/>
                <w14:textFill>
                  <w14:solidFill>
                    <w14:schemeClr w14:val="tx1"/>
                  </w14:solidFill>
                </w14:textFill>
              </w:rPr>
            </w:pPr>
          </w:p>
          <w:p w14:paraId="2E1DB25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（5）地表水水质评价结果</w:t>
            </w:r>
          </w:p>
          <w:p w14:paraId="3BB0EF3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地表水水质评价结果见下表。</w:t>
            </w:r>
          </w:p>
          <w:p w14:paraId="081EC4CC">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Ｗ１断面地表水评价结果一览表</w:t>
            </w:r>
          </w:p>
          <w:tbl>
            <w:tblPr>
              <w:tblStyle w:val="46"/>
              <w:tblW w:w="4999"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1943"/>
              <w:gridCol w:w="1942"/>
              <w:gridCol w:w="1957"/>
            </w:tblGrid>
            <w:tr w14:paraId="358DEE3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Merge w:val="restart"/>
                  <w:vAlign w:val="center"/>
                </w:tcPr>
                <w:p w14:paraId="04B1061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检测项目时间及点位</w:t>
                  </w:r>
                </w:p>
              </w:tc>
              <w:tc>
                <w:tcPr>
                  <w:tcW w:w="3555" w:type="pct"/>
                  <w:gridSpan w:val="3"/>
                  <w:vAlign w:val="center"/>
                </w:tcPr>
                <w:p w14:paraId="0E8A99C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W1</w:t>
                  </w:r>
                </w:p>
              </w:tc>
            </w:tr>
            <w:tr w14:paraId="0E2CF92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Merge w:val="continue"/>
                  <w:vAlign w:val="center"/>
                </w:tcPr>
                <w:p w14:paraId="7A084F18">
                  <w:pPr>
                    <w:pStyle w:val="144"/>
                    <w:spacing w:before="24"/>
                    <w:rPr>
                      <w:color w:val="000000" w:themeColor="text1"/>
                      <w14:textFill>
                        <w14:solidFill>
                          <w14:schemeClr w14:val="tx1"/>
                        </w14:solidFill>
                      </w14:textFill>
                    </w:rPr>
                  </w:pPr>
                </w:p>
              </w:tc>
              <w:tc>
                <w:tcPr>
                  <w:tcW w:w="1182" w:type="pct"/>
                  <w:vAlign w:val="center"/>
                </w:tcPr>
                <w:p w14:paraId="2F15F55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2023.9.2</w:t>
                  </w:r>
                </w:p>
              </w:tc>
              <w:tc>
                <w:tcPr>
                  <w:tcW w:w="1182" w:type="pct"/>
                  <w:vAlign w:val="center"/>
                </w:tcPr>
                <w:p w14:paraId="053926D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2023.9.3</w:t>
                  </w:r>
                </w:p>
              </w:tc>
              <w:tc>
                <w:tcPr>
                  <w:tcW w:w="1189" w:type="pct"/>
                  <w:vAlign w:val="center"/>
                </w:tcPr>
                <w:p w14:paraId="6D84F96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2023.9.4</w:t>
                  </w:r>
                </w:p>
              </w:tc>
            </w:tr>
            <w:tr w14:paraId="50D9B47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1349466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pH值</w:t>
                  </w:r>
                </w:p>
              </w:tc>
              <w:tc>
                <w:tcPr>
                  <w:tcW w:w="1182" w:type="pct"/>
                  <w:vAlign w:val="center"/>
                </w:tcPr>
                <w:p w14:paraId="36312D5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0.4</w:t>
                  </w:r>
                </w:p>
              </w:tc>
              <w:tc>
                <w:tcPr>
                  <w:tcW w:w="1182" w:type="pct"/>
                  <w:vAlign w:val="center"/>
                </w:tcPr>
                <w:p w14:paraId="709125E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189" w:type="pct"/>
                  <w:vAlign w:val="center"/>
                </w:tcPr>
                <w:p w14:paraId="02353CF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0.4</w:t>
                  </w:r>
                </w:p>
              </w:tc>
            </w:tr>
            <w:tr w14:paraId="3CD98F5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5EE17FA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水温</w:t>
                  </w:r>
                </w:p>
              </w:tc>
              <w:tc>
                <w:tcPr>
                  <w:tcW w:w="1182" w:type="pct"/>
                  <w:vAlign w:val="center"/>
                </w:tcPr>
                <w:p w14:paraId="6D8555D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2" w:type="pct"/>
                  <w:vAlign w:val="center"/>
                </w:tcPr>
                <w:p w14:paraId="26C55FA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9" w:type="pct"/>
                  <w:vAlign w:val="center"/>
                </w:tcPr>
                <w:p w14:paraId="43D707B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r>
            <w:tr w14:paraId="0163E1F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2C9A1BD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182" w:type="pct"/>
                  <w:vAlign w:val="center"/>
                </w:tcPr>
                <w:p w14:paraId="394DD4C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0.93</w:t>
                  </w:r>
                </w:p>
              </w:tc>
              <w:tc>
                <w:tcPr>
                  <w:tcW w:w="1182" w:type="pct"/>
                  <w:vAlign w:val="center"/>
                </w:tcPr>
                <w:p w14:paraId="06FADD8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0.93</w:t>
                  </w:r>
                </w:p>
              </w:tc>
              <w:tc>
                <w:tcPr>
                  <w:tcW w:w="1189" w:type="pct"/>
                  <w:vAlign w:val="center"/>
                </w:tcPr>
                <w:p w14:paraId="0993BDF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0.96</w:t>
                  </w:r>
                </w:p>
              </w:tc>
            </w:tr>
            <w:tr w14:paraId="078553A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49CE647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182" w:type="pct"/>
                  <w:vAlign w:val="center"/>
                </w:tcPr>
                <w:p w14:paraId="2408D49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0.36 </w:t>
                  </w:r>
                </w:p>
              </w:tc>
              <w:tc>
                <w:tcPr>
                  <w:tcW w:w="1182" w:type="pct"/>
                  <w:vAlign w:val="center"/>
                </w:tcPr>
                <w:p w14:paraId="115CE3E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0.32 </w:t>
                  </w:r>
                </w:p>
              </w:tc>
              <w:tc>
                <w:tcPr>
                  <w:tcW w:w="1189" w:type="pct"/>
                  <w:vAlign w:val="center"/>
                </w:tcPr>
                <w:p w14:paraId="71BC132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0.41 </w:t>
                  </w:r>
                </w:p>
              </w:tc>
            </w:tr>
            <w:tr w14:paraId="1CC0704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2D5FB28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总氮</w:t>
                  </w:r>
                </w:p>
              </w:tc>
              <w:tc>
                <w:tcPr>
                  <w:tcW w:w="1182" w:type="pct"/>
                  <w:vAlign w:val="center"/>
                </w:tcPr>
                <w:p w14:paraId="575037E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0.63 </w:t>
                  </w:r>
                </w:p>
              </w:tc>
              <w:tc>
                <w:tcPr>
                  <w:tcW w:w="1182" w:type="pct"/>
                  <w:vAlign w:val="center"/>
                </w:tcPr>
                <w:p w14:paraId="7F92C19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0.58 </w:t>
                  </w:r>
                </w:p>
              </w:tc>
              <w:tc>
                <w:tcPr>
                  <w:tcW w:w="1189" w:type="pct"/>
                  <w:vAlign w:val="center"/>
                </w:tcPr>
                <w:p w14:paraId="0FFD2E5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0.69 </w:t>
                  </w:r>
                </w:p>
              </w:tc>
            </w:tr>
            <w:tr w14:paraId="4B41300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15AB313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总磷</w:t>
                  </w:r>
                </w:p>
              </w:tc>
              <w:tc>
                <w:tcPr>
                  <w:tcW w:w="1182" w:type="pct"/>
                  <w:vAlign w:val="center"/>
                </w:tcPr>
                <w:p w14:paraId="3F30A88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0.28 </w:t>
                  </w:r>
                </w:p>
              </w:tc>
              <w:tc>
                <w:tcPr>
                  <w:tcW w:w="1182" w:type="pct"/>
                  <w:vAlign w:val="center"/>
                </w:tcPr>
                <w:p w14:paraId="4DB2B98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0.32 </w:t>
                  </w:r>
                </w:p>
              </w:tc>
              <w:tc>
                <w:tcPr>
                  <w:tcW w:w="1189" w:type="pct"/>
                  <w:vAlign w:val="center"/>
                </w:tcPr>
                <w:p w14:paraId="409E59D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0.30 </w:t>
                  </w:r>
                </w:p>
              </w:tc>
            </w:tr>
            <w:tr w14:paraId="3656676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0470B0E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1182" w:type="pct"/>
                  <w:vAlign w:val="center"/>
                </w:tcPr>
                <w:p w14:paraId="701F8B5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0.67 </w:t>
                  </w:r>
                </w:p>
              </w:tc>
              <w:tc>
                <w:tcPr>
                  <w:tcW w:w="1182" w:type="pct"/>
                  <w:vAlign w:val="center"/>
                </w:tcPr>
                <w:p w14:paraId="1DE6734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0.80 </w:t>
                  </w:r>
                </w:p>
              </w:tc>
              <w:tc>
                <w:tcPr>
                  <w:tcW w:w="1189" w:type="pct"/>
                  <w:vAlign w:val="center"/>
                </w:tcPr>
                <w:p w14:paraId="28F3D3C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0.85 </w:t>
                  </w:r>
                </w:p>
              </w:tc>
            </w:tr>
            <w:tr w14:paraId="3389E27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188CDCC2">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1182" w:type="pct"/>
                </w:tcPr>
                <w:p w14:paraId="1EE8CBE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2" w:type="pct"/>
                </w:tcPr>
                <w:p w14:paraId="5ADF6D4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9" w:type="pct"/>
                </w:tcPr>
                <w:p w14:paraId="42BFB00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r>
            <w:tr w14:paraId="3ACA6AB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2A53B3F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锂</w:t>
                  </w:r>
                </w:p>
              </w:tc>
              <w:tc>
                <w:tcPr>
                  <w:tcW w:w="1182" w:type="pct"/>
                </w:tcPr>
                <w:p w14:paraId="3885322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2" w:type="pct"/>
                </w:tcPr>
                <w:p w14:paraId="3D96EBB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9" w:type="pct"/>
                </w:tcPr>
                <w:p w14:paraId="36D7E4A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r>
            <w:tr w14:paraId="478A64E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32C99A4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钴</w:t>
                  </w:r>
                </w:p>
              </w:tc>
              <w:tc>
                <w:tcPr>
                  <w:tcW w:w="1182" w:type="pct"/>
                </w:tcPr>
                <w:p w14:paraId="0991DED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2" w:type="pct"/>
                </w:tcPr>
                <w:p w14:paraId="11C80AC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9" w:type="pct"/>
                </w:tcPr>
                <w:p w14:paraId="25E6851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r>
            <w:tr w14:paraId="3134A4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62A810C2">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1182" w:type="pct"/>
                </w:tcPr>
                <w:p w14:paraId="1E1D191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2" w:type="pct"/>
                </w:tcPr>
                <w:p w14:paraId="1C7ED0B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9" w:type="pct"/>
                </w:tcPr>
                <w:p w14:paraId="2EEFC3F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r>
            <w:tr w14:paraId="1C213CF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44" w:type="pct"/>
                  <w:vAlign w:val="center"/>
                </w:tcPr>
                <w:p w14:paraId="3A620DB2">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锰</w:t>
                  </w:r>
                </w:p>
              </w:tc>
              <w:tc>
                <w:tcPr>
                  <w:tcW w:w="1182" w:type="pct"/>
                </w:tcPr>
                <w:p w14:paraId="64B982D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2" w:type="pct"/>
                </w:tcPr>
                <w:p w14:paraId="5FF7D0CF">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9" w:type="pct"/>
                </w:tcPr>
                <w:p w14:paraId="4CA1390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73A36303">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W2断面地表水评价结果一览表</w:t>
            </w:r>
          </w:p>
          <w:tbl>
            <w:tblPr>
              <w:tblStyle w:val="46"/>
              <w:tblW w:w="4996"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107"/>
              <w:gridCol w:w="1053"/>
              <w:gridCol w:w="818"/>
              <w:gridCol w:w="719"/>
              <w:gridCol w:w="870"/>
              <w:gridCol w:w="872"/>
              <w:gridCol w:w="1067"/>
              <w:gridCol w:w="683"/>
            </w:tblGrid>
            <w:tr w14:paraId="22EE68C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1" w:type="pct"/>
                  <w:vAlign w:val="center"/>
                </w:tcPr>
                <w:p w14:paraId="049C618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检测项目时间</w:t>
                  </w:r>
                </w:p>
              </w:tc>
              <w:tc>
                <w:tcPr>
                  <w:tcW w:w="673" w:type="pct"/>
                  <w:vAlign w:val="center"/>
                </w:tcPr>
                <w:p w14:paraId="0BA9822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位置</w:t>
                  </w:r>
                </w:p>
              </w:tc>
              <w:tc>
                <w:tcPr>
                  <w:tcW w:w="640" w:type="pct"/>
                  <w:vAlign w:val="center"/>
                </w:tcPr>
                <w:p w14:paraId="629BB32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指标</w:t>
                  </w:r>
                </w:p>
              </w:tc>
              <w:tc>
                <w:tcPr>
                  <w:tcW w:w="498" w:type="pct"/>
                  <w:vAlign w:val="center"/>
                </w:tcPr>
                <w:p w14:paraId="4B71399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pH(无量纲)</w:t>
                  </w:r>
                </w:p>
              </w:tc>
              <w:tc>
                <w:tcPr>
                  <w:tcW w:w="438" w:type="pct"/>
                  <w:vAlign w:val="center"/>
                </w:tcPr>
                <w:p w14:paraId="3EEC6DD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DO</w:t>
                  </w:r>
                </w:p>
              </w:tc>
              <w:tc>
                <w:tcPr>
                  <w:tcW w:w="530" w:type="pct"/>
                  <w:vAlign w:val="center"/>
                </w:tcPr>
                <w:p w14:paraId="3ADB72A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w:t>
                  </w:r>
                </w:p>
              </w:tc>
              <w:tc>
                <w:tcPr>
                  <w:tcW w:w="531" w:type="pct"/>
                  <w:vAlign w:val="center"/>
                </w:tcPr>
                <w:p w14:paraId="54A91C2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无机氮</w:t>
                  </w:r>
                </w:p>
              </w:tc>
              <w:tc>
                <w:tcPr>
                  <w:tcW w:w="649" w:type="pct"/>
                  <w:vAlign w:val="center"/>
                </w:tcPr>
                <w:p w14:paraId="6E73D3A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活性磷酸盐</w:t>
                  </w:r>
                </w:p>
              </w:tc>
              <w:tc>
                <w:tcPr>
                  <w:tcW w:w="416" w:type="pct"/>
                  <w:vAlign w:val="center"/>
                </w:tcPr>
                <w:p w14:paraId="68CF59F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油类</w:t>
                  </w:r>
                </w:p>
              </w:tc>
            </w:tr>
            <w:tr w14:paraId="766E219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1" w:type="pct"/>
                  <w:vAlign w:val="center"/>
                </w:tcPr>
                <w:p w14:paraId="3ACE687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2023.4</w:t>
                  </w:r>
                </w:p>
              </w:tc>
              <w:tc>
                <w:tcPr>
                  <w:tcW w:w="673" w:type="pct"/>
                  <w:vAlign w:val="center"/>
                </w:tcPr>
                <w:p w14:paraId="6D87F8C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W2</w:t>
                  </w:r>
                </w:p>
                <w:p w14:paraId="63E1A80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(FJD01021)</w:t>
                  </w:r>
                </w:p>
              </w:tc>
              <w:tc>
                <w:tcPr>
                  <w:tcW w:w="640" w:type="pct"/>
                  <w:vAlign w:val="center"/>
                </w:tcPr>
                <w:p w14:paraId="665064C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监测值（mg/L）</w:t>
                  </w:r>
                </w:p>
              </w:tc>
              <w:tc>
                <w:tcPr>
                  <w:tcW w:w="498" w:type="pct"/>
                  <w:vAlign w:val="center"/>
                </w:tcPr>
                <w:p w14:paraId="7DAB649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0.645</w:t>
                  </w:r>
                </w:p>
              </w:tc>
              <w:tc>
                <w:tcPr>
                  <w:tcW w:w="438" w:type="pct"/>
                  <w:vAlign w:val="center"/>
                </w:tcPr>
                <w:p w14:paraId="1FF7512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0.36</w:t>
                  </w:r>
                </w:p>
              </w:tc>
              <w:tc>
                <w:tcPr>
                  <w:tcW w:w="530" w:type="pct"/>
                  <w:vAlign w:val="center"/>
                </w:tcPr>
                <w:p w14:paraId="09A91A0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0.185</w:t>
                  </w:r>
                </w:p>
              </w:tc>
              <w:tc>
                <w:tcPr>
                  <w:tcW w:w="531" w:type="pct"/>
                  <w:vAlign w:val="center"/>
                </w:tcPr>
                <w:p w14:paraId="5ED56E6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0.725</w:t>
                  </w:r>
                </w:p>
              </w:tc>
              <w:tc>
                <w:tcPr>
                  <w:tcW w:w="649" w:type="pct"/>
                  <w:vAlign w:val="center"/>
                </w:tcPr>
                <w:p w14:paraId="7744511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0.867</w:t>
                  </w:r>
                </w:p>
              </w:tc>
              <w:tc>
                <w:tcPr>
                  <w:tcW w:w="416" w:type="pct"/>
                  <w:vAlign w:val="center"/>
                </w:tcPr>
                <w:p w14:paraId="0EC6B55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0.017</w:t>
                  </w:r>
                </w:p>
              </w:tc>
            </w:tr>
          </w:tbl>
          <w:p w14:paraId="095224D6">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地表水环境质量现状评价</w:t>
            </w:r>
          </w:p>
          <w:p w14:paraId="6829F22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由上表结果可知，引用的W1#监测断面各水质指标均满足《地表水环境质量标准》（GB3838-2002）Ⅳ类标准。引用的W2监测断面各水质指标均满足《海水水质标准》（GB3097-1997）中第三类海水水质标准。</w:t>
            </w:r>
          </w:p>
          <w:p w14:paraId="428AE875">
            <w:pPr>
              <w:pStyle w:val="3"/>
              <w:rPr>
                <w:rFonts w:cs="Times New Roman"/>
                <w:color w:val="000000" w:themeColor="text1"/>
                <w14:textFill>
                  <w14:solidFill>
                    <w14:schemeClr w14:val="tx1"/>
                  </w14:solidFill>
                </w14:textFill>
              </w:rPr>
            </w:pPr>
            <w:bookmarkStart w:id="117" w:name="_Toc230448039"/>
            <w:bookmarkStart w:id="118" w:name="_Toc1107415122"/>
            <w:r>
              <w:rPr>
                <w:rFonts w:cs="Times New Roman"/>
                <w:color w:val="000000" w:themeColor="text1"/>
                <w14:textFill>
                  <w14:solidFill>
                    <w14:schemeClr w14:val="tx1"/>
                  </w14:solidFill>
                </w14:textFill>
              </w:rPr>
              <w:t>地下水环境质量现状调查与评价</w:t>
            </w:r>
            <w:bookmarkEnd w:id="117"/>
            <w:bookmarkEnd w:id="118"/>
          </w:p>
          <w:p w14:paraId="2A2F0863">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地下水环境质量现状调查</w:t>
            </w:r>
          </w:p>
          <w:p w14:paraId="4E33D57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本次评价引用了企业2024年的地下水监测数据，了解企业地下水环境质量。监测单位为福建宏其检测科技有限公司。监测期间，现有工程满负荷生产。</w:t>
            </w:r>
          </w:p>
          <w:p w14:paraId="3328123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（1）监测点位</w:t>
            </w:r>
          </w:p>
          <w:p w14:paraId="75891E8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2024年监测点位共计5处，监测时间为2024年9月，监测点位布置情况详见表3.4-1和图3.4-1。</w:t>
            </w:r>
          </w:p>
          <w:p w14:paraId="572370CE">
            <w:pPr>
              <w:pStyle w:val="90"/>
              <w:rPr>
                <w:color w:val="000000" w:themeColor="text1"/>
                <w14:textFill>
                  <w14:solidFill>
                    <w14:schemeClr w14:val="tx1"/>
                  </w14:solidFill>
                </w14:textFill>
              </w:rPr>
            </w:pPr>
          </w:p>
          <w:p w14:paraId="4862CAF0">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地下水及土壤监测点位示意图</w:t>
            </w:r>
          </w:p>
          <w:p w14:paraId="207B677C">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地下水采样点位</w:t>
            </w:r>
          </w:p>
          <w:tbl>
            <w:tblPr>
              <w:tblStyle w:val="46"/>
              <w:tblW w:w="4872"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228"/>
              <w:gridCol w:w="4575"/>
            </w:tblGrid>
            <w:tr w14:paraId="1AD1D9A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752" w:type="pct"/>
                  <w:vAlign w:val="center"/>
                </w:tcPr>
                <w:p w14:paraId="32BA5F3E">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391" w:type="pct"/>
                  <w:vAlign w:val="center"/>
                </w:tcPr>
                <w:p w14:paraId="5B0C1F3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点位名称</w:t>
                  </w:r>
                </w:p>
              </w:tc>
              <w:tc>
                <w:tcPr>
                  <w:tcW w:w="2856" w:type="pct"/>
                  <w:vAlign w:val="center"/>
                </w:tcPr>
                <w:p w14:paraId="07C944E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采样点位区域</w:t>
                  </w:r>
                </w:p>
              </w:tc>
            </w:tr>
            <w:tr w14:paraId="01B2AD4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752" w:type="pct"/>
                  <w:vAlign w:val="center"/>
                </w:tcPr>
                <w:p w14:paraId="104E9DF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w:t>
                  </w:r>
                </w:p>
              </w:tc>
              <w:tc>
                <w:tcPr>
                  <w:tcW w:w="1391" w:type="pct"/>
                  <w:vAlign w:val="center"/>
                </w:tcPr>
                <w:p w14:paraId="782D462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HS1</w:t>
                  </w:r>
                </w:p>
              </w:tc>
              <w:tc>
                <w:tcPr>
                  <w:tcW w:w="2856" w:type="pct"/>
                  <w:vAlign w:val="center"/>
                </w:tcPr>
                <w:p w14:paraId="21D0E32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冷轧水处理站</w:t>
                  </w:r>
                </w:p>
              </w:tc>
            </w:tr>
            <w:tr w14:paraId="30216AE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2" w:type="pct"/>
                  <w:vAlign w:val="center"/>
                </w:tcPr>
                <w:p w14:paraId="0693684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91" w:type="pct"/>
                  <w:vAlign w:val="center"/>
                </w:tcPr>
                <w:p w14:paraId="3822756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KS1</w:t>
                  </w:r>
                </w:p>
              </w:tc>
              <w:tc>
                <w:tcPr>
                  <w:tcW w:w="2856" w:type="pct"/>
                  <w:vAlign w:val="center"/>
                </w:tcPr>
                <w:p w14:paraId="1E57B19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厂区西部下游地下水监控点</w:t>
                  </w:r>
                </w:p>
              </w:tc>
            </w:tr>
            <w:tr w14:paraId="0580F58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752" w:type="pct"/>
                  <w:vAlign w:val="center"/>
                </w:tcPr>
                <w:p w14:paraId="5E62C96E">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91" w:type="pct"/>
                  <w:vAlign w:val="center"/>
                </w:tcPr>
                <w:p w14:paraId="1C19981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JS1</w:t>
                  </w:r>
                </w:p>
              </w:tc>
              <w:tc>
                <w:tcPr>
                  <w:tcW w:w="2856" w:type="pct"/>
                  <w:vAlign w:val="center"/>
                </w:tcPr>
                <w:p w14:paraId="6993BD49">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中央污水处理站</w:t>
                  </w:r>
                </w:p>
              </w:tc>
            </w:tr>
            <w:tr w14:paraId="7057B1E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752" w:type="pct"/>
                  <w:vAlign w:val="center"/>
                </w:tcPr>
                <w:p w14:paraId="73F73BC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4</w:t>
                  </w:r>
                </w:p>
              </w:tc>
              <w:tc>
                <w:tcPr>
                  <w:tcW w:w="1391" w:type="pct"/>
                  <w:vAlign w:val="center"/>
                </w:tcPr>
                <w:p w14:paraId="6175DBE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MS1</w:t>
                  </w:r>
                </w:p>
              </w:tc>
              <w:tc>
                <w:tcPr>
                  <w:tcW w:w="2856" w:type="pct"/>
                  <w:vAlign w:val="center"/>
                </w:tcPr>
                <w:p w14:paraId="4C5040E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西区污水处理站</w:t>
                  </w:r>
                </w:p>
              </w:tc>
            </w:tr>
            <w:tr w14:paraId="44F55D1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752" w:type="pct"/>
                  <w:vAlign w:val="center"/>
                </w:tcPr>
                <w:p w14:paraId="2E104ED2">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5</w:t>
                  </w:r>
                </w:p>
              </w:tc>
              <w:tc>
                <w:tcPr>
                  <w:tcW w:w="1391" w:type="pct"/>
                  <w:vAlign w:val="center"/>
                </w:tcPr>
                <w:p w14:paraId="2E39162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NS1</w:t>
                  </w:r>
                </w:p>
              </w:tc>
              <w:tc>
                <w:tcPr>
                  <w:tcW w:w="2856" w:type="pct"/>
                  <w:vAlign w:val="center"/>
                </w:tcPr>
                <w:p w14:paraId="18229F33">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旧线高炉、烧结</w:t>
                  </w:r>
                </w:p>
              </w:tc>
            </w:tr>
          </w:tbl>
          <w:p w14:paraId="176B634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（2）监测内容</w:t>
            </w:r>
          </w:p>
          <w:p w14:paraId="71BBA7B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根据钢铁行业常见污染物类别，结合企业的生产工艺以及原辅材料的种类选定地下水监测因子。</w:t>
            </w:r>
          </w:p>
          <w:p w14:paraId="275CAE90">
            <w:pPr>
              <w:pStyle w:val="351"/>
              <w:spacing w:before="120"/>
              <w:rPr>
                <w:color w:val="000000" w:themeColor="text1"/>
                <w14:textFill>
                  <w14:solidFill>
                    <w14:schemeClr w14:val="tx1"/>
                  </w14:solidFill>
                </w14:textFill>
              </w:rPr>
            </w:pPr>
          </w:p>
          <w:p w14:paraId="32ADDF39">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地下水监测因子</w:t>
            </w:r>
          </w:p>
          <w:tbl>
            <w:tblPr>
              <w:tblStyle w:val="46"/>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1902"/>
              <w:gridCol w:w="4935"/>
            </w:tblGrid>
            <w:tr w14:paraId="3EF2CD8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7" w:type="pct"/>
                  <w:vAlign w:val="center"/>
                </w:tcPr>
                <w:p w14:paraId="305EB0DB">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58" w:type="pct"/>
                  <w:vAlign w:val="center"/>
                </w:tcPr>
                <w:p w14:paraId="05E9667A">
                  <w:pPr>
                    <w:pStyle w:val="90"/>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3004" w:type="pct"/>
                  <w:vAlign w:val="center"/>
                </w:tcPr>
                <w:p w14:paraId="52AA9808">
                  <w:pPr>
                    <w:pStyle w:val="90"/>
                    <w:rPr>
                      <w:color w:val="000000" w:themeColor="text1"/>
                      <w14:textFill>
                        <w14:solidFill>
                          <w14:schemeClr w14:val="tx1"/>
                        </w14:solidFill>
                      </w14:textFill>
                    </w:rPr>
                  </w:pPr>
                  <w:r>
                    <w:rPr>
                      <w:color w:val="000000" w:themeColor="text1"/>
                      <w14:textFill>
                        <w14:solidFill>
                          <w14:schemeClr w14:val="tx1"/>
                        </w14:solidFill>
                      </w14:textFill>
                    </w:rPr>
                    <w:t>监测因子</w:t>
                  </w:r>
                </w:p>
              </w:tc>
            </w:tr>
            <w:tr w14:paraId="46A06C7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pct"/>
                  <w:vAlign w:val="center"/>
                </w:tcPr>
                <w:p w14:paraId="2C3A8D4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58" w:type="pct"/>
                  <w:vAlign w:val="center"/>
                </w:tcPr>
                <w:p w14:paraId="0418F1A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HS1</w:t>
                  </w:r>
                </w:p>
              </w:tc>
              <w:tc>
                <w:tcPr>
                  <w:tcW w:w="3004" w:type="pct"/>
                  <w:vMerge w:val="restart"/>
                  <w:vAlign w:val="center"/>
                </w:tcPr>
                <w:p w14:paraId="0516AFD9">
                  <w:pPr>
                    <w:pStyle w:val="90"/>
                    <w:rPr>
                      <w:color w:val="000000" w:themeColor="text1"/>
                      <w14:textFill>
                        <w14:solidFill>
                          <w14:schemeClr w14:val="tx1"/>
                        </w14:solidFill>
                      </w14:textFill>
                    </w:rPr>
                  </w:pPr>
                  <w:r>
                    <w:rPr>
                      <w:color w:val="000000" w:themeColor="text1"/>
                      <w14:textFill>
                        <w14:solidFill>
                          <w14:schemeClr w14:val="tx1"/>
                        </w14:solidFill>
                      </w14:textFill>
                    </w:rPr>
                    <w:t>色、pH值、铁、锰、铜、锌、铝、挥发酚、高锰酸盐指数（耗氧量）、氨氮、硫化物、亚硝酸盐、硝酸盐、氰化物、氟化物、氯化物、汞、砷、硒、镉、六价铬、铅、铍、锑、镍、钴、钼、铊、蒽、荧蒽、苯并[b]荧蒽、苯并[a]芘、萘</w:t>
                  </w:r>
                </w:p>
              </w:tc>
            </w:tr>
            <w:tr w14:paraId="1647D2B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837" w:type="pct"/>
                  <w:vAlign w:val="center"/>
                </w:tcPr>
                <w:p w14:paraId="39EBA47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58" w:type="pct"/>
                  <w:vAlign w:val="center"/>
                </w:tcPr>
                <w:p w14:paraId="16F7EEC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KS1</w:t>
                  </w:r>
                </w:p>
              </w:tc>
              <w:tc>
                <w:tcPr>
                  <w:tcW w:w="3004" w:type="pct"/>
                  <w:vMerge w:val="continue"/>
                  <w:vAlign w:val="center"/>
                </w:tcPr>
                <w:p w14:paraId="0DA8FFDD">
                  <w:pPr>
                    <w:pStyle w:val="90"/>
                    <w:rPr>
                      <w:color w:val="000000" w:themeColor="text1"/>
                      <w14:textFill>
                        <w14:solidFill>
                          <w14:schemeClr w14:val="tx1"/>
                        </w14:solidFill>
                      </w14:textFill>
                    </w:rPr>
                  </w:pPr>
                </w:p>
              </w:tc>
            </w:tr>
            <w:tr w14:paraId="6FD856A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837" w:type="pct"/>
                  <w:vAlign w:val="center"/>
                </w:tcPr>
                <w:p w14:paraId="23279A3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3</w:t>
                  </w:r>
                </w:p>
              </w:tc>
              <w:tc>
                <w:tcPr>
                  <w:tcW w:w="1158" w:type="pct"/>
                  <w:vAlign w:val="center"/>
                </w:tcPr>
                <w:p w14:paraId="3D8E424A">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JS1</w:t>
                  </w:r>
                </w:p>
              </w:tc>
              <w:tc>
                <w:tcPr>
                  <w:tcW w:w="3004" w:type="pct"/>
                  <w:vMerge w:val="continue"/>
                  <w:vAlign w:val="center"/>
                </w:tcPr>
                <w:p w14:paraId="08A00856">
                  <w:pPr>
                    <w:pStyle w:val="90"/>
                    <w:rPr>
                      <w:color w:val="000000" w:themeColor="text1"/>
                      <w14:textFill>
                        <w14:solidFill>
                          <w14:schemeClr w14:val="tx1"/>
                        </w14:solidFill>
                      </w14:textFill>
                    </w:rPr>
                  </w:pPr>
                </w:p>
              </w:tc>
            </w:tr>
            <w:tr w14:paraId="3E08389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37" w:type="pct"/>
                  <w:vAlign w:val="center"/>
                </w:tcPr>
                <w:p w14:paraId="4DDBA48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4</w:t>
                  </w:r>
                </w:p>
              </w:tc>
              <w:tc>
                <w:tcPr>
                  <w:tcW w:w="1158" w:type="pct"/>
                  <w:vAlign w:val="center"/>
                </w:tcPr>
                <w:p w14:paraId="792AC2A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MS1</w:t>
                  </w:r>
                </w:p>
              </w:tc>
              <w:tc>
                <w:tcPr>
                  <w:tcW w:w="3004" w:type="pct"/>
                  <w:vMerge w:val="continue"/>
                  <w:vAlign w:val="center"/>
                </w:tcPr>
                <w:p w14:paraId="0F37C24E">
                  <w:pPr>
                    <w:pStyle w:val="90"/>
                    <w:rPr>
                      <w:color w:val="000000" w:themeColor="text1"/>
                      <w14:textFill>
                        <w14:solidFill>
                          <w14:schemeClr w14:val="tx1"/>
                        </w14:solidFill>
                      </w14:textFill>
                    </w:rPr>
                  </w:pPr>
                </w:p>
              </w:tc>
            </w:tr>
            <w:tr w14:paraId="61955DF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1AA0716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5</w:t>
                  </w:r>
                </w:p>
              </w:tc>
              <w:tc>
                <w:tcPr>
                  <w:tcW w:w="1158" w:type="pct"/>
                  <w:vAlign w:val="center"/>
                </w:tcPr>
                <w:p w14:paraId="5DEFBF9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NS1</w:t>
                  </w:r>
                </w:p>
              </w:tc>
              <w:tc>
                <w:tcPr>
                  <w:tcW w:w="3004" w:type="pct"/>
                  <w:vMerge w:val="continue"/>
                </w:tcPr>
                <w:p w14:paraId="6E6AD581">
                  <w:pPr>
                    <w:pStyle w:val="90"/>
                    <w:rPr>
                      <w:color w:val="000000" w:themeColor="text1"/>
                      <w14:textFill>
                        <w14:solidFill>
                          <w14:schemeClr w14:val="tx1"/>
                        </w14:solidFill>
                      </w14:textFill>
                    </w:rPr>
                  </w:pPr>
                </w:p>
              </w:tc>
            </w:tr>
          </w:tbl>
          <w:p w14:paraId="6C199C5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（3）监测方法</w:t>
            </w:r>
          </w:p>
          <w:p w14:paraId="3A1C7E90">
            <w:pPr>
              <w:pStyle w:val="97"/>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lang w:val="en-US"/>
                <w14:textFill>
                  <w14:solidFill>
                    <w14:schemeClr w14:val="tx1"/>
                  </w14:solidFill>
                </w14:textFill>
              </w:rPr>
              <w:t>3.4</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地下水水质分析方法、仪器、最低检出限一览表</w:t>
            </w:r>
          </w:p>
          <w:p w14:paraId="144E07E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（4）评价标准</w:t>
            </w:r>
          </w:p>
          <w:p w14:paraId="10B41B9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本项目区域地下水环境质量执行《地下水质量标准》（GB/T14848-2017）表1和表2中的Ⅳ类标准。</w:t>
            </w:r>
          </w:p>
          <w:p w14:paraId="07BA647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（5）地下水水质评价方法</w:t>
            </w:r>
          </w:p>
          <w:p w14:paraId="141880D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地下水环境》（HJ 610-2016）中水环境质量评价方法。</w:t>
            </w:r>
          </w:p>
          <w:p w14:paraId="598D589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一般性水质因子的指数计算公式：</w:t>
            </w:r>
          </w:p>
          <w:p w14:paraId="2BB6EB2B">
            <w:pPr>
              <w:pStyle w:val="90"/>
              <w:rPr>
                <w:color w:val="000000" w:themeColor="text1"/>
                <w14:textFill>
                  <w14:solidFill>
                    <w14:schemeClr w14:val="tx1"/>
                  </w14:solidFill>
                </w14:textFill>
              </w:rPr>
            </w:pPr>
            <w:r>
              <w:rPr>
                <w:color w:val="000000" w:themeColor="text1"/>
                <w14:textFill>
                  <w14:solidFill>
                    <w14:schemeClr w14:val="tx1"/>
                  </w14:solidFill>
                </w14:textFill>
              </w:rPr>
              <w:object>
                <v:shape id="_x0000_i1030" o:spt="75" type="#_x0000_t75" style="height:24pt;width:84.45pt;" o:ole="t" filled="f" o:preferrelative="t" stroked="f" coordsize="21600,21600">
                  <v:path/>
                  <v:fill on="f" focussize="0,0"/>
                  <v:stroke on="f" joinstyle="miter"/>
                  <v:imagedata r:id="rId24" o:title=""/>
                  <o:lock v:ext="edit" aspectratio="t"/>
                  <w10:wrap type="none"/>
                  <w10:anchorlock/>
                </v:shape>
                <o:OLEObject Type="Embed" ProgID="Visio.Drawing.11" ShapeID="_x0000_i1030" DrawAspect="Content" ObjectID="_1468075730" r:id="rId33">
                  <o:LockedField>false</o:LockedField>
                </o:OLEObject>
              </w:object>
            </w:r>
          </w:p>
          <w:p w14:paraId="0BCC5BB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某一测点的任一水质因子的标准指数＞1，表明该测点的水质超过了规定的水质标准。</w:t>
            </w:r>
          </w:p>
          <w:p w14:paraId="65D4431A">
            <w:pPr>
              <w:ind w:firstLine="480"/>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（6）地下水水质评价结果</w:t>
            </w:r>
          </w:p>
          <w:p w14:paraId="1922657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各点位地下水监测结果见下表 3.4-4，水质评价结果见表3.4-5。</w:t>
            </w:r>
          </w:p>
          <w:p w14:paraId="6648A932">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地下水监测结果一览表 （单位：mg/L）</w:t>
            </w:r>
          </w:p>
          <w:p w14:paraId="1383EFCC">
            <w:pPr>
              <w:pStyle w:val="97"/>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3.4</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地下水</w:t>
            </w:r>
            <w:r>
              <w:rPr>
                <w:rFonts w:cs="Times New Roman"/>
                <w:color w:val="000000" w:themeColor="text1"/>
                <w:lang w:val="en-US"/>
                <w14:textFill>
                  <w14:solidFill>
                    <w14:schemeClr w14:val="tx1"/>
                  </w14:solidFill>
                </w14:textFill>
              </w:rPr>
              <w:t>水质评价一览表</w:t>
            </w:r>
            <w:r>
              <w:rPr>
                <w:rFonts w:cs="Times New Roman"/>
                <w:color w:val="000000" w:themeColor="text1"/>
                <w14:textFill>
                  <w14:solidFill>
                    <w14:schemeClr w14:val="tx1"/>
                  </w14:solidFill>
                </w14:textFill>
              </w:rPr>
              <w:t xml:space="preserve"> （单位：mg/L）</w:t>
            </w:r>
          </w:p>
          <w:p w14:paraId="5C93160C">
            <w:pPr>
              <w:pStyle w:val="97"/>
              <w:spacing w:before="120" w:after="120"/>
              <w:rPr>
                <w:rFonts w:cs="Times New Roman"/>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5394590D">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地下水环境质量现状评价</w:t>
            </w:r>
          </w:p>
          <w:p w14:paraId="6AD2522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（1）感官性状及一般化学指标</w:t>
            </w:r>
          </w:p>
          <w:p w14:paraId="56B0CD17">
            <w:pPr>
              <w:ind w:firstLine="480"/>
              <w:rPr>
                <w:rFonts w:cs="Times New Roman"/>
                <w:color w:val="000000" w:themeColor="text1"/>
                <w14:textFill>
                  <w14:solidFill>
                    <w14:schemeClr w14:val="tx1"/>
                  </w14:solidFill>
                </w14:textFill>
              </w:rPr>
            </w:pPr>
            <w:bookmarkStart w:id="119" w:name="_Hlk133327674"/>
            <w:bookmarkStart w:id="120" w:name="_Hlk133333582"/>
            <w:r>
              <w:rPr>
                <w:rFonts w:cs="Times New Roman"/>
                <w:color w:val="000000" w:themeColor="text1"/>
                <w14:textFill>
                  <w14:solidFill>
                    <w14:schemeClr w14:val="tx1"/>
                  </w14:solidFill>
                </w14:textFill>
              </w:rPr>
              <w:t>场地内采集的</w:t>
            </w:r>
            <w:bookmarkEnd w:id="119"/>
            <w:r>
              <w:rPr>
                <w:rFonts w:cs="Times New Roman"/>
                <w:color w:val="000000" w:themeColor="text1"/>
                <w14:textFill>
                  <w14:solidFill>
                    <w14:schemeClr w14:val="tx1"/>
                  </w14:solidFill>
                </w14:textFill>
              </w:rPr>
              <w:t>地下水样品中感官性状及一般化学指标（色度、pH、氯化物、铁、锰、铜、锌、铝、挥发性酚类、耗氧量、氨氮、硫化物）监测值均低于《地下水质量标准》（GB/T 14848-2017）中</w:t>
            </w:r>
            <w:bookmarkStart w:id="121" w:name="_Hlk153514040"/>
            <w:r>
              <w:rPr>
                <w:rFonts w:cs="Times New Roman"/>
                <w:color w:val="000000" w:themeColor="text1"/>
                <w14:textFill>
                  <w14:solidFill>
                    <w14:schemeClr w14:val="tx1"/>
                  </w14:solidFill>
                </w14:textFill>
              </w:rPr>
              <w:t>Ⅳ</w:t>
            </w:r>
            <w:bookmarkEnd w:id="121"/>
            <w:r>
              <w:rPr>
                <w:rFonts w:cs="Times New Roman"/>
                <w:color w:val="000000" w:themeColor="text1"/>
                <w14:textFill>
                  <w14:solidFill>
                    <w14:schemeClr w14:val="tx1"/>
                  </w14:solidFill>
                </w14:textFill>
              </w:rPr>
              <w:t>类标准。</w:t>
            </w:r>
          </w:p>
          <w:bookmarkEnd w:id="120"/>
          <w:p w14:paraId="3D6BD09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（2）毒理学指标</w:t>
            </w:r>
          </w:p>
          <w:p w14:paraId="4A866FD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场地内采集的地下水样品毒理学指标</w:t>
            </w:r>
            <w:bookmarkStart w:id="122" w:name="_Hlk133333612"/>
            <w:r>
              <w:rPr>
                <w:rFonts w:cs="Times New Roman"/>
                <w:color w:val="000000" w:themeColor="text1"/>
                <w14:textFill>
                  <w14:solidFill>
                    <w14:schemeClr w14:val="tx1"/>
                  </w14:solidFill>
                </w14:textFill>
              </w:rPr>
              <w:t>（</w:t>
            </w:r>
            <w:bookmarkEnd w:id="122"/>
            <w:r>
              <w:rPr>
                <w:rFonts w:cs="Times New Roman"/>
                <w:color w:val="000000" w:themeColor="text1"/>
                <w14:textFill>
                  <w14:solidFill>
                    <w14:schemeClr w14:val="tx1"/>
                  </w14:solidFill>
                </w14:textFill>
              </w:rPr>
              <w:t>亚硝酸盐、硝酸盐、氰化物、氟化物、汞、砷、硒、镉、六价铬、铅、铍、锑、镍、钴、钼、铊、蒽、荧蒽、苯并[b]荧蒽、苯并[a]芘、萘）监测值均低于《地下水质量标准》（GB/T 14848-2017）中Ⅳ类标准限值。</w:t>
            </w:r>
          </w:p>
          <w:p w14:paraId="56D27097">
            <w:pPr>
              <w:pStyle w:val="3"/>
              <w:rPr>
                <w:rFonts w:cs="Times New Roman"/>
                <w:color w:val="000000" w:themeColor="text1"/>
                <w14:textFill>
                  <w14:solidFill>
                    <w14:schemeClr w14:val="tx1"/>
                  </w14:solidFill>
                </w14:textFill>
              </w:rPr>
            </w:pPr>
            <w:bookmarkStart w:id="123" w:name="_Toc94971655"/>
            <w:bookmarkStart w:id="124" w:name="_Toc230448040"/>
            <w:r>
              <w:rPr>
                <w:rFonts w:cs="Times New Roman"/>
                <w:color w:val="000000" w:themeColor="text1"/>
                <w14:textFill>
                  <w14:solidFill>
                    <w14:schemeClr w14:val="tx1"/>
                  </w14:solidFill>
                </w14:textFill>
              </w:rPr>
              <w:t>土壤环境质量现状调查与评价</w:t>
            </w:r>
            <w:bookmarkEnd w:id="123"/>
            <w:bookmarkEnd w:id="124"/>
          </w:p>
          <w:p w14:paraId="6BDC7BEC">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土壤环境质量现状调查</w:t>
            </w:r>
          </w:p>
          <w:p w14:paraId="5930593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本次评价引用了企业2024年的土壤监测数据，跟踪了解企业土壤状况。</w:t>
            </w:r>
          </w:p>
          <w:p w14:paraId="61B2057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（1）调查时间：2024年9月。</w:t>
            </w:r>
          </w:p>
          <w:p w14:paraId="52D6630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（2）调查点位：本次共布设29个采样点，监测点位见下表及图</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3.4</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图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p>
          <w:p w14:paraId="3EEDF91A">
            <w:pPr>
              <w:ind w:firstLine="0" w:firstLineChars="0"/>
              <w:jc w:val="center"/>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表</w:t>
            </w:r>
            <w:r>
              <w:rPr>
                <w:rFonts w:cs="Times New Roman"/>
                <w:b/>
                <w:bCs/>
                <w:color w:val="000000" w:themeColor="text1"/>
                <w14:textFill>
                  <w14:solidFill>
                    <w14:schemeClr w14:val="tx1"/>
                  </w14:solidFill>
                </w14:textFill>
              </w:rPr>
              <w:fldChar w:fldCharType="begin"/>
            </w:r>
            <w:r>
              <w:rPr>
                <w:rFonts w:cs="Times New Roman"/>
                <w:b/>
                <w:bCs/>
                <w:color w:val="000000" w:themeColor="text1"/>
                <w14:textFill>
                  <w14:solidFill>
                    <w14:schemeClr w14:val="tx1"/>
                  </w14:solidFill>
                </w14:textFill>
              </w:rPr>
              <w:instrText xml:space="preserve"> STYLEREF 2 \s </w:instrText>
            </w:r>
            <w:r>
              <w:rPr>
                <w:rFonts w:cs="Times New Roman"/>
                <w:b/>
                <w:bCs/>
                <w:color w:val="000000" w:themeColor="text1"/>
                <w14:textFill>
                  <w14:solidFill>
                    <w14:schemeClr w14:val="tx1"/>
                  </w14:solidFill>
                </w14:textFill>
              </w:rPr>
              <w:fldChar w:fldCharType="separate"/>
            </w:r>
            <w:r>
              <w:rPr>
                <w:rFonts w:cs="Times New Roman"/>
                <w:b/>
                <w:bCs/>
                <w:color w:val="000000" w:themeColor="text1"/>
                <w14:textFill>
                  <w14:solidFill>
                    <w14:schemeClr w14:val="tx1"/>
                  </w14:solidFill>
                </w14:textFill>
              </w:rPr>
              <w:t>3.5</w:t>
            </w:r>
            <w:r>
              <w:rPr>
                <w:rFonts w:cs="Times New Roman"/>
                <w:b/>
                <w:bCs/>
                <w:color w:val="000000" w:themeColor="text1"/>
                <w14:textFill>
                  <w14:solidFill>
                    <w14:schemeClr w14:val="tx1"/>
                  </w14:solidFill>
                </w14:textFill>
              </w:rPr>
              <w:fldChar w:fldCharType="end"/>
            </w:r>
            <w:r>
              <w:rPr>
                <w:rFonts w:cs="Times New Roman"/>
                <w:b/>
                <w:bCs/>
                <w:color w:val="000000" w:themeColor="text1"/>
                <w14:textFill>
                  <w14:solidFill>
                    <w14:schemeClr w14:val="tx1"/>
                  </w14:solidFill>
                </w14:textFill>
              </w:rPr>
              <w:t>-</w:t>
            </w:r>
            <w:r>
              <w:rPr>
                <w:rFonts w:cs="Times New Roman"/>
                <w:b/>
                <w:bCs/>
                <w:color w:val="000000" w:themeColor="text1"/>
                <w14:textFill>
                  <w14:solidFill>
                    <w14:schemeClr w14:val="tx1"/>
                  </w14:solidFill>
                </w14:textFill>
              </w:rPr>
              <w:fldChar w:fldCharType="begin"/>
            </w:r>
            <w:r>
              <w:rPr>
                <w:rFonts w:cs="Times New Roman"/>
                <w:b/>
                <w:bCs/>
                <w:color w:val="000000" w:themeColor="text1"/>
                <w14:textFill>
                  <w14:solidFill>
                    <w14:schemeClr w14:val="tx1"/>
                  </w14:solidFill>
                </w14:textFill>
              </w:rPr>
              <w:instrText xml:space="preserve"> SEQ 表 \* ARABIC \s 2 </w:instrText>
            </w:r>
            <w:r>
              <w:rPr>
                <w:rFonts w:cs="Times New Roman"/>
                <w:b/>
                <w:bCs/>
                <w:color w:val="000000" w:themeColor="text1"/>
                <w14:textFill>
                  <w14:solidFill>
                    <w14:schemeClr w14:val="tx1"/>
                  </w14:solidFill>
                </w14:textFill>
              </w:rPr>
              <w:fldChar w:fldCharType="separate"/>
            </w:r>
            <w:r>
              <w:rPr>
                <w:rFonts w:cs="Times New Roman"/>
                <w:b/>
                <w:bCs/>
                <w:color w:val="000000" w:themeColor="text1"/>
                <w14:textFill>
                  <w14:solidFill>
                    <w14:schemeClr w14:val="tx1"/>
                  </w14:solidFill>
                </w14:textFill>
              </w:rPr>
              <w:t>1</w:t>
            </w:r>
            <w:r>
              <w:rPr>
                <w:rFonts w:cs="Times New Roman"/>
                <w:b/>
                <w:bCs/>
                <w:color w:val="000000" w:themeColor="text1"/>
                <w14:textFill>
                  <w14:solidFill>
                    <w14:schemeClr w14:val="tx1"/>
                  </w14:solidFill>
                </w14:textFill>
              </w:rPr>
              <w:fldChar w:fldCharType="end"/>
            </w:r>
            <w:r>
              <w:rPr>
                <w:rFonts w:cs="Times New Roman"/>
                <w:b/>
                <w:bCs/>
                <w:color w:val="000000" w:themeColor="text1"/>
                <w14:textFill>
                  <w14:solidFill>
                    <w14:schemeClr w14:val="tx1"/>
                  </w14:solidFill>
                </w14:textFill>
              </w:rPr>
              <w:t xml:space="preserve"> 土壤监测点位一览表</w:t>
            </w:r>
          </w:p>
          <w:p w14:paraId="0DFBFE57">
            <w:pPr>
              <w:ind w:firstLine="0" w:firstLineChars="0"/>
              <w:jc w:val="center"/>
              <w:rPr>
                <w:rFonts w:cs="Times New Roman"/>
                <w:b/>
                <w:bCs/>
                <w:color w:val="000000" w:themeColor="text1"/>
                <w14:textFill>
                  <w14:solidFill>
                    <w14:schemeClr w14:val="tx1"/>
                  </w14:solidFill>
                </w14:textFill>
              </w:rPr>
            </w:pPr>
          </w:p>
          <w:p w14:paraId="58FB737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（3）调查项目及监测方法：</w:t>
            </w:r>
          </w:p>
          <w:p w14:paraId="2F4E857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调查项目包括《土壤环境质量 建设用地土壤污染风险管控标准》（GB36600-2018）45项基本项目及pH值、锌、钴、钒、锑、铍、石油烃（C</w:t>
            </w:r>
            <w:r>
              <w:rPr>
                <w:rFonts w:cs="Times New Roman"/>
                <w:color w:val="000000" w:themeColor="text1"/>
                <w:vertAlign w:val="subscript"/>
                <w14:textFill>
                  <w14:solidFill>
                    <w14:schemeClr w14:val="tx1"/>
                  </w14:solidFill>
                </w14:textFill>
              </w:rPr>
              <w:t>10</w:t>
            </w: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40</w:t>
            </w:r>
            <w:r>
              <w:rPr>
                <w:rFonts w:cs="Times New Roman"/>
                <w:color w:val="000000" w:themeColor="text1"/>
                <w14:textFill>
                  <w14:solidFill>
                    <w14:schemeClr w14:val="tx1"/>
                  </w14:solidFill>
                </w14:textFill>
              </w:rPr>
              <w:t>）、二噁英、氰化物。各土壤指标检测方法详见下表。</w:t>
            </w:r>
          </w:p>
          <w:p w14:paraId="43414A2F">
            <w:pPr>
              <w:pStyle w:val="351"/>
              <w:spacing w:before="120"/>
              <w:rPr>
                <w:color w:val="000000" w:themeColor="text1"/>
                <w14:textFill>
                  <w14:solidFill>
                    <w14:schemeClr w14:val="tx1"/>
                  </w14:solidFill>
                </w14:textFill>
              </w:rPr>
            </w:pPr>
            <w:r>
              <w:rPr>
                <w:bCs/>
                <w:color w:val="000000" w:themeColor="text1"/>
                <w14:textFill>
                  <w14:solidFill>
                    <w14:schemeClr w14:val="tx1"/>
                  </w14:solidFill>
                </w14:textFill>
              </w:rPr>
              <w:t xml:space="preserve">表 </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STYLEREF 2 \s </w:instrText>
            </w:r>
            <w:r>
              <w:rPr>
                <w:bCs/>
                <w:color w:val="000000" w:themeColor="text1"/>
                <w14:textFill>
                  <w14:solidFill>
                    <w14:schemeClr w14:val="tx1"/>
                  </w14:solidFill>
                </w14:textFill>
              </w:rPr>
              <w:fldChar w:fldCharType="separate"/>
            </w:r>
            <w:r>
              <w:rPr>
                <w:bCs/>
                <w:color w:val="000000" w:themeColor="text1"/>
                <w14:textFill>
                  <w14:solidFill>
                    <w14:schemeClr w14:val="tx1"/>
                  </w14:solidFill>
                </w14:textFill>
              </w:rPr>
              <w:t>3.5</w:t>
            </w:r>
            <w:r>
              <w:rPr>
                <w:bCs/>
                <w:color w:val="000000" w:themeColor="text1"/>
                <w14:textFill>
                  <w14:solidFill>
                    <w14:schemeClr w14:val="tx1"/>
                  </w14:solidFill>
                </w14:textFill>
              </w:rPr>
              <w:fldChar w:fldCharType="end"/>
            </w:r>
            <w:r>
              <w:rPr>
                <w:bCs/>
                <w:color w:val="000000" w:themeColor="text1"/>
                <w14:textFill>
                  <w14:solidFill>
                    <w14:schemeClr w14:val="tx1"/>
                  </w14:solidFill>
                </w14:textFill>
              </w:rPr>
              <w:t>-</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SEQ 表 \* ARABIC \s 2 </w:instrText>
            </w:r>
            <w:r>
              <w:rPr>
                <w:bCs/>
                <w:color w:val="000000" w:themeColor="text1"/>
                <w14:textFill>
                  <w14:solidFill>
                    <w14:schemeClr w14:val="tx1"/>
                  </w14:solidFill>
                </w14:textFill>
              </w:rPr>
              <w:fldChar w:fldCharType="separate"/>
            </w:r>
            <w:r>
              <w:rPr>
                <w:bCs/>
                <w:color w:val="000000" w:themeColor="text1"/>
                <w14:textFill>
                  <w14:solidFill>
                    <w14:schemeClr w14:val="tx1"/>
                  </w14:solidFill>
                </w14:textFill>
              </w:rPr>
              <w:t>2</w:t>
            </w:r>
            <w:r>
              <w:rPr>
                <w:bCs/>
                <w:color w:val="000000" w:themeColor="text1"/>
                <w14:textFill>
                  <w14:solidFill>
                    <w14:schemeClr w14:val="tx1"/>
                  </w14:solidFill>
                </w14:textFill>
              </w:rPr>
              <w:fldChar w:fldCharType="end"/>
            </w:r>
            <w:r>
              <w:rPr>
                <w:bCs/>
                <w:color w:val="000000" w:themeColor="text1"/>
                <w14:textFill>
                  <w14:solidFill>
                    <w14:schemeClr w14:val="tx1"/>
                  </w14:solidFill>
                </w14:textFill>
              </w:rPr>
              <w:t xml:space="preserve"> </w:t>
            </w:r>
            <w:r>
              <w:rPr>
                <w:color w:val="000000" w:themeColor="text1"/>
                <w14:textFill>
                  <w14:solidFill>
                    <w14:schemeClr w14:val="tx1"/>
                  </w14:solidFill>
                </w14:textFill>
              </w:rPr>
              <w:t>土壤检测方法一览表</w:t>
            </w:r>
          </w:p>
          <w:p w14:paraId="29D79203">
            <w:pPr>
              <w:pStyle w:val="351"/>
              <w:spacing w:before="120"/>
              <w:rPr>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35D22AD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（4）评价标准</w:t>
            </w:r>
          </w:p>
          <w:p w14:paraId="597F5C7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根据企业用地性质，评价标准采用《土壤环境质量 建设用地土壤污染风险管控标准》（GB 36600-2018）中第二类用地筛选值。</w:t>
            </w:r>
          </w:p>
          <w:p w14:paraId="667DB14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（5）土壤监测结果</w:t>
            </w:r>
          </w:p>
          <w:p w14:paraId="4D78A84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根据场地内土壤样品的检测数据，与场外对照点检测数据和《土壤环境质量建设用地土壤污染风险管控标准（试行）》（GB36600-2018）中第二类用地筛选值和管制进行比较，土壤检测结果详见下表。</w:t>
            </w:r>
          </w:p>
          <w:p w14:paraId="5DAA89CE">
            <w:pPr>
              <w:ind w:firstLine="480"/>
              <w:rPr>
                <w:rFonts w:cs="Times New Roman"/>
                <w:color w:val="000000" w:themeColor="text1"/>
                <w14:textFill>
                  <w14:solidFill>
                    <w14:schemeClr w14:val="tx1"/>
                  </w14:solidFill>
                </w14:textFill>
              </w:rPr>
            </w:pPr>
          </w:p>
        </w:tc>
      </w:tr>
    </w:tbl>
    <w:p w14:paraId="7B5FE019">
      <w:pPr>
        <w:pStyle w:val="13"/>
        <w:ind w:firstLine="0" w:firstLineChars="0"/>
        <w:rPr>
          <w:rFonts w:ascii="Times New Roman" w:hAnsi="Times New Roman"/>
          <w:snapToGrid w:val="0"/>
          <w:color w:val="000000" w:themeColor="text1"/>
          <w:sz w:val="36"/>
          <w:szCs w:val="36"/>
          <w14:textFill>
            <w14:solidFill>
              <w14:schemeClr w14:val="tx1"/>
            </w14:solidFill>
          </w14:textFill>
        </w:rPr>
        <w:sectPr>
          <w:type w:val="continuous"/>
          <w:pgSz w:w="11907" w:h="16840"/>
          <w:pgMar w:top="1701" w:right="1531" w:bottom="2127" w:left="1531" w:header="851" w:footer="851" w:gutter="0"/>
          <w:cols w:space="720" w:num="1"/>
          <w:docGrid w:linePitch="312" w:charSpace="0"/>
        </w:sectPr>
      </w:pPr>
    </w:p>
    <w:p w14:paraId="7EB2D256">
      <w:pPr>
        <w:ind w:firstLine="0" w:firstLineChars="0"/>
        <w:rPr>
          <w:rFonts w:cs="Times New Roman"/>
          <w:color w:val="000000" w:themeColor="text1"/>
          <w14:textFill>
            <w14:solidFill>
              <w14:schemeClr w14:val="tx1"/>
            </w14:solidFill>
          </w14:textFill>
        </w:rPr>
        <w:sectPr>
          <w:type w:val="continuous"/>
          <w:pgSz w:w="11907" w:h="16840"/>
          <w:pgMar w:top="2127" w:right="1531" w:bottom="1701" w:left="1531" w:header="851" w:footer="851" w:gutter="0"/>
          <w:cols w:space="720" w:num="1"/>
          <w:docGrid w:linePitch="326"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387"/>
      </w:tblGrid>
      <w:tr w14:paraId="168C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shd w:val="clear" w:color="auto" w:fill="auto"/>
            <w:vAlign w:val="center"/>
          </w:tcPr>
          <w:p w14:paraId="7A6217E0">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区域</w:t>
            </w:r>
          </w:p>
          <w:p w14:paraId="315CA1DD">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w:t>
            </w:r>
          </w:p>
          <w:p w14:paraId="2312074A">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质量</w:t>
            </w:r>
          </w:p>
          <w:p w14:paraId="0678A974">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w:t>
            </w:r>
          </w:p>
        </w:tc>
        <w:tc>
          <w:tcPr>
            <w:tcW w:w="8387" w:type="dxa"/>
          </w:tcPr>
          <w:p w14:paraId="0D753A4A">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土壤环境质量现状评价</w:t>
            </w:r>
          </w:p>
          <w:p w14:paraId="7CC4873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（1）挥发性有机物和半挥发性有机物</w:t>
            </w:r>
          </w:p>
          <w:p w14:paraId="1B69702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场地内各土壤监测点位挥发性有机物和半挥发性有机物均未检出，其检测结果均低于《土壤环境质量 建设用地土壤污染风险管控标准（试行）》（GB 36600-2018）中第二类用地筛选值。</w:t>
            </w:r>
          </w:p>
          <w:p w14:paraId="42CA33B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（2）重金属和无机物</w:t>
            </w:r>
          </w:p>
          <w:p w14:paraId="056DAA3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场地内重金属和无机物检测指标中，各检测值为：砷4.6～7.2mg/kg、镉1.77～6.13mg/kg、六价铬最大值为4.3mg/kg、铜76～240mg/kg、铅22.1～70.8mg/kg、汞0.022～0.049mg/kg、镍40～145mg/kg、锌30~84 mg/kg、锑0.5~2.5 mg/kg、钴0.83～7.90mg/kg、钒4.6～56.3mg/kg、铍2.02～4.88mg/kg、氰化物未检出；砷、镉、六价铬、铜、铅、汞、镍、锑、钴、钒、铍、氰化物检测结果均低于《土壤环境质量 建设用地土壤污染风险管控标准（试行）》（GB 36600-2018）中第二类用地筛选值。</w:t>
            </w:r>
          </w:p>
          <w:p w14:paraId="7676516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（3）二噁英类</w:t>
            </w:r>
          </w:p>
          <w:p w14:paraId="11D4B3B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本次对背景点、产能置换生产线烧结区域和镍5生产线烧结区域进行了二噁英类土壤检测，检出浓度为5.7~13ng-TEQ/kg，均低于《土壤环境质量 建设用地土壤污染风险管控标准（试行）》（GB 36600-2018）中第二类用地筛选值。</w:t>
            </w:r>
          </w:p>
          <w:p w14:paraId="7601F99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（4）石油烃类</w:t>
            </w:r>
          </w:p>
          <w:p w14:paraId="40E5709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场地内石油烃（C</w:t>
            </w:r>
            <w:r>
              <w:rPr>
                <w:rFonts w:cs="Times New Roman"/>
                <w:color w:val="000000" w:themeColor="text1"/>
                <w:vertAlign w:val="subscript"/>
                <w14:textFill>
                  <w14:solidFill>
                    <w14:schemeClr w14:val="tx1"/>
                  </w14:solidFill>
                </w14:textFill>
              </w:rPr>
              <w:t>10</w:t>
            </w: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40</w:t>
            </w:r>
            <w:r>
              <w:rPr>
                <w:rFonts w:cs="Times New Roman"/>
                <w:color w:val="000000" w:themeColor="text1"/>
                <w14:textFill>
                  <w14:solidFill>
                    <w14:schemeClr w14:val="tx1"/>
                  </w14:solidFill>
                </w14:textFill>
              </w:rPr>
              <w:t>）检测值为26~92 mg/kg，均低于《土壤环境质量 建设用地土壤污染风险管控标准（试行）》（GB 36600-2018）中第二类用地筛选值。</w:t>
            </w:r>
          </w:p>
          <w:p w14:paraId="74AE3F6B">
            <w:pPr>
              <w:pStyle w:val="3"/>
              <w:rPr>
                <w:rFonts w:cs="Times New Roman"/>
                <w:color w:val="000000" w:themeColor="text1"/>
                <w14:textFill>
                  <w14:solidFill>
                    <w14:schemeClr w14:val="tx1"/>
                  </w14:solidFill>
                </w14:textFill>
              </w:rPr>
            </w:pPr>
            <w:bookmarkStart w:id="125" w:name="_Toc230448041"/>
            <w:r>
              <w:rPr>
                <w:rFonts w:cs="Times New Roman"/>
                <w:color w:val="000000" w:themeColor="text1"/>
                <w14:textFill>
                  <w14:solidFill>
                    <w14:schemeClr w14:val="tx1"/>
                  </w14:solidFill>
                </w14:textFill>
              </w:rPr>
              <w:t>声环境质量</w:t>
            </w:r>
            <w:bookmarkEnd w:id="125"/>
          </w:p>
          <w:p w14:paraId="71A14116">
            <w:pPr>
              <w:ind w:firstLine="480"/>
              <w:rPr>
                <w:rFonts w:cs="Times New Roman"/>
                <w:color w:val="000000" w:themeColor="text1"/>
                <w14:textFill>
                  <w14:solidFill>
                    <w14:schemeClr w14:val="tx1"/>
                  </w14:solidFill>
                </w14:textFill>
              </w:rPr>
            </w:pPr>
            <w:r>
              <w:rPr>
                <w:rFonts w:cs="Times New Roman"/>
                <w:color w:val="000000" w:themeColor="text1"/>
                <w:szCs w:val="32"/>
                <w14:textFill>
                  <w14:solidFill>
                    <w14:schemeClr w14:val="tx1"/>
                  </w14:solidFill>
                </w14:textFill>
              </w:rPr>
              <w:t>项目位于福州市罗源县金港工业区内，声环境质量执行《声环境质量标准》（GB3096-2008）中的3类区标准</w:t>
            </w:r>
            <w:r>
              <w:rPr>
                <w:rFonts w:cs="Times New Roman"/>
                <w:color w:val="000000" w:themeColor="text1"/>
                <w14:textFill>
                  <w14:solidFill>
                    <w14:schemeClr w14:val="tx1"/>
                  </w14:solidFill>
                </w14:textFill>
              </w:rPr>
              <w:t>。</w:t>
            </w:r>
          </w:p>
          <w:p w14:paraId="0AFA7A0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企业厂界周边50m范围内无声环境敏感目标，根据《建设项目环境影响报告表编制技术指南(污染影响类)》(环办环评(2020)33号)要求，可不进行声环境质量现状调查。</w:t>
            </w:r>
          </w:p>
        </w:tc>
      </w:tr>
      <w:tr w14:paraId="73A3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5" w:hRule="atLeast"/>
        </w:trPr>
        <w:tc>
          <w:tcPr>
            <w:tcW w:w="449" w:type="dxa"/>
            <w:vAlign w:val="center"/>
          </w:tcPr>
          <w:p w14:paraId="0FE225B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w:t>
            </w:r>
          </w:p>
          <w:p w14:paraId="63883EF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保护</w:t>
            </w:r>
          </w:p>
          <w:p w14:paraId="2C5D573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目标</w:t>
            </w:r>
          </w:p>
        </w:tc>
        <w:tc>
          <w:tcPr>
            <w:tcW w:w="8387" w:type="dxa"/>
            <w:shd w:val="clear" w:color="auto" w:fill="auto"/>
            <w:vAlign w:val="center"/>
          </w:tcPr>
          <w:p w14:paraId="347D71C8">
            <w:pPr>
              <w:pStyle w:val="3"/>
              <w:rPr>
                <w:rFonts w:cs="Times New Roman"/>
                <w:color w:val="000000" w:themeColor="text1"/>
                <w14:textFill>
                  <w14:solidFill>
                    <w14:schemeClr w14:val="tx1"/>
                  </w14:solidFill>
                </w14:textFill>
              </w:rPr>
            </w:pPr>
            <w:bookmarkStart w:id="126" w:name="_Toc230448042"/>
            <w:r>
              <w:rPr>
                <w:rFonts w:cs="Times New Roman"/>
                <w:color w:val="000000" w:themeColor="text1"/>
                <w14:textFill>
                  <w14:solidFill>
                    <w14:schemeClr w14:val="tx1"/>
                  </w14:solidFill>
                </w14:textFill>
              </w:rPr>
              <w:t>环境保护目标</w:t>
            </w:r>
            <w:bookmarkEnd w:id="126"/>
          </w:p>
          <w:p w14:paraId="2680CC0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拟建项目周围环境保护目标详见下表及图。</w:t>
            </w:r>
          </w:p>
          <w:p w14:paraId="27B8053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086985" cy="3131820"/>
                  <wp:effectExtent l="0" t="0" r="3175" b="7620"/>
                  <wp:docPr id="172" name="图片 198"/>
                  <wp:cNvGraphicFramePr/>
                  <a:graphic xmlns:a="http://schemas.openxmlformats.org/drawingml/2006/main">
                    <a:graphicData uri="http://schemas.openxmlformats.org/drawingml/2006/picture">
                      <pic:pic xmlns:pic="http://schemas.openxmlformats.org/drawingml/2006/picture">
                        <pic:nvPicPr>
                          <pic:cNvPr id="172" name="图片 198"/>
                          <pic:cNvPicPr/>
                        </pic:nvPicPr>
                        <pic:blipFill>
                          <a:blip r:embed="rId34">
                            <a:extLst>
                              <a:ext uri="{28A0092B-C50C-407E-A947-70E740481C1C}">
                                <a14:useLocalDpi xmlns:a14="http://schemas.microsoft.com/office/drawing/2010/main" val="0"/>
                              </a:ext>
                            </a:extLst>
                          </a:blip>
                          <a:srcRect/>
                          <a:stretch>
                            <a:fillRect/>
                          </a:stretch>
                        </pic:blipFill>
                        <pic:spPr>
                          <a:xfrm>
                            <a:off x="0" y="0"/>
                            <a:ext cx="5086985" cy="3131820"/>
                          </a:xfrm>
                          <a:prstGeom prst="rect">
                            <a:avLst/>
                          </a:prstGeom>
                          <a:noFill/>
                          <a:ln>
                            <a:noFill/>
                          </a:ln>
                          <a:effectLst/>
                        </pic:spPr>
                      </pic:pic>
                    </a:graphicData>
                  </a:graphic>
                </wp:inline>
              </w:drawing>
            </w:r>
          </w:p>
          <w:p w14:paraId="492D06F7">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敏感目标分布图</w:t>
            </w:r>
          </w:p>
          <w:p w14:paraId="77119EAD">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环境保护目标一览表</w:t>
            </w:r>
          </w:p>
          <w:tbl>
            <w:tblPr>
              <w:tblStyle w:val="46"/>
              <w:tblW w:w="8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1"/>
              <w:gridCol w:w="868"/>
              <w:gridCol w:w="1270"/>
              <w:gridCol w:w="1232"/>
              <w:gridCol w:w="1486"/>
              <w:gridCol w:w="2301"/>
            </w:tblGrid>
            <w:tr w14:paraId="4AED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951" w:type="dxa"/>
                  <w:vAlign w:val="center"/>
                </w:tcPr>
                <w:p w14:paraId="6E5CD7F7">
                  <w:pPr>
                    <w:pStyle w:val="90"/>
                    <w:rPr>
                      <w:color w:val="000000" w:themeColor="text1"/>
                      <w14:textFill>
                        <w14:solidFill>
                          <w14:schemeClr w14:val="tx1"/>
                        </w14:solidFill>
                      </w14:textFill>
                    </w:rPr>
                  </w:pPr>
                  <w:r>
                    <w:rPr>
                      <w:color w:val="000000" w:themeColor="text1"/>
                      <w14:textFill>
                        <w14:solidFill>
                          <w14:schemeClr w14:val="tx1"/>
                        </w14:solidFill>
                      </w14:textFill>
                    </w:rPr>
                    <w:t>要素</w:t>
                  </w:r>
                </w:p>
              </w:tc>
              <w:tc>
                <w:tcPr>
                  <w:tcW w:w="868" w:type="dxa"/>
                  <w:vAlign w:val="center"/>
                </w:tcPr>
                <w:p w14:paraId="43710B97">
                  <w:pPr>
                    <w:pStyle w:val="90"/>
                    <w:rPr>
                      <w:color w:val="000000" w:themeColor="text1"/>
                      <w14:textFill>
                        <w14:solidFill>
                          <w14:schemeClr w14:val="tx1"/>
                        </w14:solidFill>
                      </w14:textFill>
                    </w:rPr>
                  </w:pPr>
                  <w:r>
                    <w:rPr>
                      <w:color w:val="000000" w:themeColor="text1"/>
                      <w14:textFill>
                        <w14:solidFill>
                          <w14:schemeClr w14:val="tx1"/>
                        </w14:solidFill>
                      </w14:textFill>
                    </w:rPr>
                    <w:t>保护目标</w:t>
                  </w:r>
                </w:p>
              </w:tc>
              <w:tc>
                <w:tcPr>
                  <w:tcW w:w="1270" w:type="dxa"/>
                  <w:vAlign w:val="center"/>
                </w:tcPr>
                <w:p w14:paraId="62A1ECDB">
                  <w:pPr>
                    <w:pStyle w:val="90"/>
                    <w:rPr>
                      <w:color w:val="000000" w:themeColor="text1"/>
                      <w14:textFill>
                        <w14:solidFill>
                          <w14:schemeClr w14:val="tx1"/>
                        </w14:solidFill>
                      </w14:textFill>
                    </w:rPr>
                  </w:pPr>
                  <w:r>
                    <w:rPr>
                      <w:color w:val="000000" w:themeColor="text1"/>
                      <w14:textFill>
                        <w14:solidFill>
                          <w14:schemeClr w14:val="tx1"/>
                        </w14:solidFill>
                      </w14:textFill>
                    </w:rPr>
                    <w:t>距宝钢厂界距离(m)</w:t>
                  </w:r>
                </w:p>
              </w:tc>
              <w:tc>
                <w:tcPr>
                  <w:tcW w:w="1232" w:type="dxa"/>
                  <w:vAlign w:val="center"/>
                </w:tcPr>
                <w:p w14:paraId="02C4B127">
                  <w:pPr>
                    <w:pStyle w:val="90"/>
                    <w:rPr>
                      <w:color w:val="000000" w:themeColor="text1"/>
                      <w14:textFill>
                        <w14:solidFill>
                          <w14:schemeClr w14:val="tx1"/>
                        </w14:solidFill>
                      </w14:textFill>
                    </w:rPr>
                  </w:pPr>
                  <w:r>
                    <w:rPr>
                      <w:color w:val="000000" w:themeColor="text1"/>
                      <w14:textFill>
                        <w14:solidFill>
                          <w14:schemeClr w14:val="tx1"/>
                        </w14:solidFill>
                      </w14:textFill>
                    </w:rPr>
                    <w:t>方位</w:t>
                  </w:r>
                </w:p>
              </w:tc>
              <w:tc>
                <w:tcPr>
                  <w:tcW w:w="1486" w:type="dxa"/>
                  <w:vAlign w:val="center"/>
                </w:tcPr>
                <w:p w14:paraId="0E5546F2">
                  <w:pPr>
                    <w:pStyle w:val="90"/>
                    <w:rPr>
                      <w:color w:val="000000" w:themeColor="text1"/>
                      <w14:textFill>
                        <w14:solidFill>
                          <w14:schemeClr w14:val="tx1"/>
                        </w14:solidFill>
                      </w14:textFill>
                    </w:rPr>
                  </w:pPr>
                  <w:r>
                    <w:rPr>
                      <w:color w:val="000000" w:themeColor="text1"/>
                      <w14:textFill>
                        <w14:solidFill>
                          <w14:schemeClr w14:val="tx1"/>
                        </w14:solidFill>
                      </w14:textFill>
                    </w:rPr>
                    <w:t>与本项目距离(m)</w:t>
                  </w:r>
                </w:p>
              </w:tc>
              <w:tc>
                <w:tcPr>
                  <w:tcW w:w="2301" w:type="dxa"/>
                  <w:vAlign w:val="center"/>
                </w:tcPr>
                <w:p w14:paraId="07B36A2E">
                  <w:pPr>
                    <w:pStyle w:val="90"/>
                    <w:rPr>
                      <w:color w:val="000000" w:themeColor="text1"/>
                      <w14:textFill>
                        <w14:solidFill>
                          <w14:schemeClr w14:val="tx1"/>
                        </w14:solidFill>
                      </w14:textFill>
                    </w:rPr>
                  </w:pPr>
                  <w:r>
                    <w:rPr>
                      <w:color w:val="000000" w:themeColor="text1"/>
                      <w:szCs w:val="21"/>
                      <w14:textFill>
                        <w14:solidFill>
                          <w14:schemeClr w14:val="tx1"/>
                        </w14:solidFill>
                      </w14:textFill>
                    </w:rPr>
                    <w:t>环境保护要求</w:t>
                  </w:r>
                </w:p>
              </w:tc>
            </w:tr>
            <w:tr w14:paraId="0964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19" w:hRule="atLeast"/>
                <w:jc w:val="center"/>
              </w:trPr>
              <w:tc>
                <w:tcPr>
                  <w:tcW w:w="951" w:type="dxa"/>
                  <w:vMerge w:val="restart"/>
                  <w:vAlign w:val="center"/>
                </w:tcPr>
                <w:p w14:paraId="3E7EBDAD">
                  <w:pPr>
                    <w:pStyle w:val="90"/>
                    <w:rPr>
                      <w:color w:val="000000" w:themeColor="text1"/>
                      <w14:textFill>
                        <w14:solidFill>
                          <w14:schemeClr w14:val="tx1"/>
                        </w14:solidFill>
                      </w14:textFill>
                    </w:rPr>
                  </w:pPr>
                  <w:r>
                    <w:rPr>
                      <w:color w:val="000000" w:themeColor="text1"/>
                      <w14:textFill>
                        <w14:solidFill>
                          <w14:schemeClr w14:val="tx1"/>
                        </w14:solidFill>
                      </w14:textFill>
                    </w:rPr>
                    <w:t>环境空气及环境风险</w:t>
                  </w:r>
                </w:p>
              </w:tc>
              <w:tc>
                <w:tcPr>
                  <w:tcW w:w="868" w:type="dxa"/>
                  <w:vAlign w:val="center"/>
                </w:tcPr>
                <w:p w14:paraId="4CB79E75">
                  <w:pPr>
                    <w:pStyle w:val="90"/>
                    <w:rPr>
                      <w:color w:val="000000" w:themeColor="text1"/>
                      <w14:textFill>
                        <w14:solidFill>
                          <w14:schemeClr w14:val="tx1"/>
                        </w14:solidFill>
                      </w14:textFill>
                    </w:rPr>
                  </w:pPr>
                  <w:r>
                    <w:rPr>
                      <w:color w:val="000000" w:themeColor="text1"/>
                      <w14:textFill>
                        <w14:solidFill>
                          <w14:schemeClr w14:val="tx1"/>
                        </w14:solidFill>
                      </w14:textFill>
                    </w:rPr>
                    <w:t>乘风村</w:t>
                  </w:r>
                </w:p>
              </w:tc>
              <w:tc>
                <w:tcPr>
                  <w:tcW w:w="1270" w:type="dxa"/>
                  <w:vAlign w:val="center"/>
                </w:tcPr>
                <w:p w14:paraId="09A43B6B">
                  <w:pPr>
                    <w:pStyle w:val="90"/>
                    <w:rPr>
                      <w:color w:val="000000" w:themeColor="text1"/>
                      <w14:textFill>
                        <w14:solidFill>
                          <w14:schemeClr w14:val="tx1"/>
                        </w14:solidFill>
                      </w14:textFill>
                    </w:rPr>
                  </w:pPr>
                  <w:r>
                    <w:rPr>
                      <w:color w:val="000000" w:themeColor="text1"/>
                      <w14:textFill>
                        <w14:solidFill>
                          <w14:schemeClr w14:val="tx1"/>
                        </w14:solidFill>
                      </w14:textFill>
                    </w:rPr>
                    <w:t>约3500</w:t>
                  </w:r>
                </w:p>
              </w:tc>
              <w:tc>
                <w:tcPr>
                  <w:tcW w:w="1232" w:type="dxa"/>
                  <w:vAlign w:val="center"/>
                </w:tcPr>
                <w:p w14:paraId="690C07D0">
                  <w:pPr>
                    <w:pStyle w:val="90"/>
                    <w:rPr>
                      <w:color w:val="000000" w:themeColor="text1"/>
                      <w14:textFill>
                        <w14:solidFill>
                          <w14:schemeClr w14:val="tx1"/>
                        </w14:solidFill>
                      </w14:textFill>
                    </w:rPr>
                  </w:pPr>
                  <w:r>
                    <w:rPr>
                      <w:color w:val="000000" w:themeColor="text1"/>
                      <w14:textFill>
                        <w14:solidFill>
                          <w14:schemeClr w14:val="tx1"/>
                        </w14:solidFill>
                      </w14:textFill>
                    </w:rPr>
                    <w:t>西南侧</w:t>
                  </w:r>
                </w:p>
              </w:tc>
              <w:tc>
                <w:tcPr>
                  <w:tcW w:w="1486" w:type="dxa"/>
                  <w:vAlign w:val="center"/>
                </w:tcPr>
                <w:p w14:paraId="7D154CCC">
                  <w:pPr>
                    <w:pStyle w:val="90"/>
                    <w:rPr>
                      <w:color w:val="000000" w:themeColor="text1"/>
                      <w14:textFill>
                        <w14:solidFill>
                          <w14:schemeClr w14:val="tx1"/>
                        </w14:solidFill>
                      </w14:textFill>
                    </w:rPr>
                  </w:pPr>
                  <w:r>
                    <w:rPr>
                      <w:color w:val="000000" w:themeColor="text1"/>
                      <w14:textFill>
                        <w14:solidFill>
                          <w14:schemeClr w14:val="tx1"/>
                        </w14:solidFill>
                      </w14:textFill>
                    </w:rPr>
                    <w:t>约4300</w:t>
                  </w:r>
                </w:p>
              </w:tc>
              <w:tc>
                <w:tcPr>
                  <w:tcW w:w="2301" w:type="dxa"/>
                  <w:vMerge w:val="restart"/>
                  <w:vAlign w:val="center"/>
                </w:tcPr>
                <w:p w14:paraId="7761CCB9">
                  <w:pPr>
                    <w:pStyle w:val="90"/>
                    <w:rPr>
                      <w:color w:val="000000" w:themeColor="text1"/>
                      <w14:textFill>
                        <w14:solidFill>
                          <w14:schemeClr w14:val="tx1"/>
                        </w14:solidFill>
                      </w14:textFill>
                    </w:rPr>
                  </w:pPr>
                  <w:r>
                    <w:rPr>
                      <w:color w:val="000000" w:themeColor="text1"/>
                      <w:sz w:val="24"/>
                      <w:szCs w:val="32"/>
                      <w14:textFill>
                        <w14:solidFill>
                          <w14:schemeClr w14:val="tx1"/>
                        </w14:solidFill>
                      </w14:textFill>
                    </w:rPr>
                    <w:t>PM</w:t>
                  </w:r>
                  <w:r>
                    <w:rPr>
                      <w:color w:val="000000" w:themeColor="text1"/>
                      <w:sz w:val="24"/>
                      <w:szCs w:val="32"/>
                      <w:vertAlign w:val="subscript"/>
                      <w14:textFill>
                        <w14:solidFill>
                          <w14:schemeClr w14:val="tx1"/>
                        </w14:solidFill>
                      </w14:textFill>
                    </w:rPr>
                    <w:t>10</w:t>
                  </w:r>
                  <w:r>
                    <w:rPr>
                      <w:color w:val="000000" w:themeColor="text1"/>
                      <w:sz w:val="24"/>
                      <w:szCs w:val="32"/>
                      <w14:textFill>
                        <w14:solidFill>
                          <w14:schemeClr w14:val="tx1"/>
                        </w14:solidFill>
                      </w14:textFill>
                    </w:rPr>
                    <w:t>、PM</w:t>
                  </w:r>
                  <w:r>
                    <w:rPr>
                      <w:color w:val="000000" w:themeColor="text1"/>
                      <w:sz w:val="24"/>
                      <w:szCs w:val="32"/>
                      <w:vertAlign w:val="subscript"/>
                      <w14:textFill>
                        <w14:solidFill>
                          <w14:schemeClr w14:val="tx1"/>
                        </w14:solidFill>
                      </w14:textFill>
                    </w:rPr>
                    <w:t>2.5</w:t>
                  </w:r>
                  <w:r>
                    <w:rPr>
                      <w:color w:val="000000" w:themeColor="text1"/>
                      <w:sz w:val="24"/>
                      <w:szCs w:val="32"/>
                      <w14:textFill>
                        <w14:solidFill>
                          <w14:schemeClr w14:val="tx1"/>
                        </w14:solidFill>
                      </w14:textFill>
                    </w:rPr>
                    <w:t>、SO</w:t>
                  </w:r>
                  <w:r>
                    <w:rPr>
                      <w:color w:val="000000" w:themeColor="text1"/>
                      <w:sz w:val="24"/>
                      <w:szCs w:val="32"/>
                      <w:vertAlign w:val="subscript"/>
                      <w14:textFill>
                        <w14:solidFill>
                          <w14:schemeClr w14:val="tx1"/>
                        </w14:solidFill>
                      </w14:textFill>
                    </w:rPr>
                    <w:t>2</w:t>
                  </w:r>
                  <w:r>
                    <w:rPr>
                      <w:color w:val="000000" w:themeColor="text1"/>
                      <w:sz w:val="24"/>
                      <w:szCs w:val="32"/>
                      <w14:textFill>
                        <w14:solidFill>
                          <w14:schemeClr w14:val="tx1"/>
                        </w14:solidFill>
                      </w14:textFill>
                    </w:rPr>
                    <w:t>、NO</w:t>
                  </w:r>
                  <w:r>
                    <w:rPr>
                      <w:color w:val="000000" w:themeColor="text1"/>
                      <w:sz w:val="24"/>
                      <w:szCs w:val="32"/>
                      <w:vertAlign w:val="subscript"/>
                      <w14:textFill>
                        <w14:solidFill>
                          <w14:schemeClr w14:val="tx1"/>
                        </w14:solidFill>
                      </w14:textFill>
                    </w:rPr>
                    <w:t>2</w:t>
                  </w:r>
                  <w:r>
                    <w:rPr>
                      <w:color w:val="000000" w:themeColor="text1"/>
                      <w:sz w:val="24"/>
                      <w:szCs w:val="32"/>
                      <w14:textFill>
                        <w14:solidFill>
                          <w14:schemeClr w14:val="tx1"/>
                        </w14:solidFill>
                      </w14:textFill>
                    </w:rPr>
                    <w:t>、CO和O</w:t>
                  </w:r>
                  <w:r>
                    <w:rPr>
                      <w:color w:val="000000" w:themeColor="text1"/>
                      <w:sz w:val="24"/>
                      <w:szCs w:val="32"/>
                      <w:vertAlign w:val="subscript"/>
                      <w14:textFill>
                        <w14:solidFill>
                          <w14:schemeClr w14:val="tx1"/>
                        </w14:solidFill>
                      </w14:textFill>
                    </w:rPr>
                    <w:t>3</w:t>
                  </w:r>
                  <w:r>
                    <w:rPr>
                      <w:color w:val="000000" w:themeColor="text1"/>
                      <w:sz w:val="24"/>
                      <w:szCs w:val="32"/>
                      <w14:textFill>
                        <w14:solidFill>
                          <w14:schemeClr w14:val="tx1"/>
                        </w14:solidFill>
                      </w14:textFill>
                    </w:rPr>
                    <w:t>执行</w:t>
                  </w:r>
                  <w:r>
                    <w:rPr>
                      <w:color w:val="000000" w:themeColor="text1"/>
                      <w14:textFill>
                        <w14:solidFill>
                          <w14:schemeClr w14:val="tx1"/>
                        </w14:solidFill>
                      </w14:textFill>
                    </w:rPr>
                    <w:t>《环境空气质量标准》（GB 3095-2026）表1过渡阶段浓度限值二级标准，TSP执行《环境空气质量标准》（GB 3095-2026）表2浓度限值</w:t>
                  </w:r>
                </w:p>
              </w:tc>
            </w:tr>
            <w:tr w14:paraId="5B19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74" w:hRule="atLeast"/>
                <w:jc w:val="center"/>
              </w:trPr>
              <w:tc>
                <w:tcPr>
                  <w:tcW w:w="951" w:type="dxa"/>
                  <w:vMerge w:val="continue"/>
                  <w:vAlign w:val="center"/>
                </w:tcPr>
                <w:p w14:paraId="29A9B6DF">
                  <w:pPr>
                    <w:pStyle w:val="90"/>
                    <w:rPr>
                      <w:color w:val="000000" w:themeColor="text1"/>
                      <w14:textFill>
                        <w14:solidFill>
                          <w14:schemeClr w14:val="tx1"/>
                        </w14:solidFill>
                      </w14:textFill>
                    </w:rPr>
                  </w:pPr>
                </w:p>
              </w:tc>
              <w:tc>
                <w:tcPr>
                  <w:tcW w:w="868" w:type="dxa"/>
                  <w:vAlign w:val="center"/>
                </w:tcPr>
                <w:p w14:paraId="48592608">
                  <w:pPr>
                    <w:pStyle w:val="90"/>
                    <w:rPr>
                      <w:color w:val="000000" w:themeColor="text1"/>
                      <w14:textFill>
                        <w14:solidFill>
                          <w14:schemeClr w14:val="tx1"/>
                        </w14:solidFill>
                      </w14:textFill>
                    </w:rPr>
                  </w:pPr>
                  <w:r>
                    <w:rPr>
                      <w:color w:val="000000" w:themeColor="text1"/>
                      <w14:textFill>
                        <w14:solidFill>
                          <w14:schemeClr w14:val="tx1"/>
                        </w14:solidFill>
                      </w14:textFill>
                    </w:rPr>
                    <w:t>西洋村</w:t>
                  </w:r>
                </w:p>
              </w:tc>
              <w:tc>
                <w:tcPr>
                  <w:tcW w:w="1270" w:type="dxa"/>
                  <w:vAlign w:val="center"/>
                </w:tcPr>
                <w:p w14:paraId="1E0137CE">
                  <w:pPr>
                    <w:pStyle w:val="90"/>
                    <w:rPr>
                      <w:color w:val="000000" w:themeColor="text1"/>
                      <w14:textFill>
                        <w14:solidFill>
                          <w14:schemeClr w14:val="tx1"/>
                        </w14:solidFill>
                      </w14:textFill>
                    </w:rPr>
                  </w:pPr>
                  <w:r>
                    <w:rPr>
                      <w:color w:val="000000" w:themeColor="text1"/>
                      <w14:textFill>
                        <w14:solidFill>
                          <w14:schemeClr w14:val="tx1"/>
                        </w14:solidFill>
                      </w14:textFill>
                    </w:rPr>
                    <w:t>约2230</w:t>
                  </w:r>
                </w:p>
              </w:tc>
              <w:tc>
                <w:tcPr>
                  <w:tcW w:w="1232" w:type="dxa"/>
                  <w:vAlign w:val="center"/>
                </w:tcPr>
                <w:p w14:paraId="0D976D2A">
                  <w:pPr>
                    <w:pStyle w:val="90"/>
                    <w:rPr>
                      <w:color w:val="000000" w:themeColor="text1"/>
                      <w14:textFill>
                        <w14:solidFill>
                          <w14:schemeClr w14:val="tx1"/>
                        </w14:solidFill>
                      </w14:textFill>
                    </w:rPr>
                  </w:pPr>
                  <w:r>
                    <w:rPr>
                      <w:color w:val="000000" w:themeColor="text1"/>
                      <w14:textFill>
                        <w14:solidFill>
                          <w14:schemeClr w14:val="tx1"/>
                        </w14:solidFill>
                      </w14:textFill>
                    </w:rPr>
                    <w:t>东北侧</w:t>
                  </w:r>
                </w:p>
              </w:tc>
              <w:tc>
                <w:tcPr>
                  <w:tcW w:w="1486" w:type="dxa"/>
                  <w:vAlign w:val="center"/>
                </w:tcPr>
                <w:p w14:paraId="081D21EA">
                  <w:pPr>
                    <w:pStyle w:val="90"/>
                    <w:rPr>
                      <w:color w:val="000000" w:themeColor="text1"/>
                      <w14:textFill>
                        <w14:solidFill>
                          <w14:schemeClr w14:val="tx1"/>
                        </w14:solidFill>
                      </w14:textFill>
                    </w:rPr>
                  </w:pPr>
                  <w:r>
                    <w:rPr>
                      <w:color w:val="000000" w:themeColor="text1"/>
                      <w14:textFill>
                        <w14:solidFill>
                          <w14:schemeClr w14:val="tx1"/>
                        </w14:solidFill>
                      </w14:textFill>
                    </w:rPr>
                    <w:t>约2700</w:t>
                  </w:r>
                </w:p>
              </w:tc>
              <w:tc>
                <w:tcPr>
                  <w:tcW w:w="2301" w:type="dxa"/>
                  <w:vMerge w:val="continue"/>
                  <w:vAlign w:val="center"/>
                </w:tcPr>
                <w:p w14:paraId="137EF156">
                  <w:pPr>
                    <w:pStyle w:val="90"/>
                    <w:rPr>
                      <w:color w:val="000000" w:themeColor="text1"/>
                      <w14:textFill>
                        <w14:solidFill>
                          <w14:schemeClr w14:val="tx1"/>
                        </w14:solidFill>
                      </w14:textFill>
                    </w:rPr>
                  </w:pPr>
                </w:p>
              </w:tc>
            </w:tr>
            <w:tr w14:paraId="795B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9" w:hRule="atLeast"/>
                <w:jc w:val="center"/>
              </w:trPr>
              <w:tc>
                <w:tcPr>
                  <w:tcW w:w="951" w:type="dxa"/>
                  <w:vMerge w:val="continue"/>
                  <w:vAlign w:val="center"/>
                </w:tcPr>
                <w:p w14:paraId="6E237FC1">
                  <w:pPr>
                    <w:pStyle w:val="90"/>
                    <w:rPr>
                      <w:color w:val="000000" w:themeColor="text1"/>
                      <w14:textFill>
                        <w14:solidFill>
                          <w14:schemeClr w14:val="tx1"/>
                        </w14:solidFill>
                      </w14:textFill>
                    </w:rPr>
                  </w:pPr>
                </w:p>
              </w:tc>
              <w:tc>
                <w:tcPr>
                  <w:tcW w:w="868" w:type="dxa"/>
                  <w:vAlign w:val="center"/>
                </w:tcPr>
                <w:p w14:paraId="014F8EAF">
                  <w:pPr>
                    <w:pStyle w:val="90"/>
                    <w:rPr>
                      <w:color w:val="000000" w:themeColor="text1"/>
                      <w14:textFill>
                        <w14:solidFill>
                          <w14:schemeClr w14:val="tx1"/>
                        </w14:solidFill>
                      </w14:textFill>
                    </w:rPr>
                  </w:pPr>
                  <w:r>
                    <w:rPr>
                      <w:color w:val="000000" w:themeColor="text1"/>
                      <w14:textFill>
                        <w14:solidFill>
                          <w14:schemeClr w14:val="tx1"/>
                        </w14:solidFill>
                      </w14:textFill>
                    </w:rPr>
                    <w:t>上土港村</w:t>
                  </w:r>
                </w:p>
              </w:tc>
              <w:tc>
                <w:tcPr>
                  <w:tcW w:w="1270" w:type="dxa"/>
                  <w:vAlign w:val="center"/>
                </w:tcPr>
                <w:p w14:paraId="0AF356A7">
                  <w:pPr>
                    <w:pStyle w:val="90"/>
                    <w:rPr>
                      <w:color w:val="000000" w:themeColor="text1"/>
                      <w14:textFill>
                        <w14:solidFill>
                          <w14:schemeClr w14:val="tx1"/>
                        </w14:solidFill>
                      </w14:textFill>
                    </w:rPr>
                  </w:pPr>
                  <w:r>
                    <w:rPr>
                      <w:color w:val="000000" w:themeColor="text1"/>
                      <w14:textFill>
                        <w14:solidFill>
                          <w14:schemeClr w14:val="tx1"/>
                        </w14:solidFill>
                      </w14:textFill>
                    </w:rPr>
                    <w:t>约954</w:t>
                  </w:r>
                </w:p>
              </w:tc>
              <w:tc>
                <w:tcPr>
                  <w:tcW w:w="1232" w:type="dxa"/>
                  <w:vAlign w:val="center"/>
                </w:tcPr>
                <w:p w14:paraId="2352AD51">
                  <w:pPr>
                    <w:pStyle w:val="90"/>
                    <w:rPr>
                      <w:color w:val="000000" w:themeColor="text1"/>
                      <w14:textFill>
                        <w14:solidFill>
                          <w14:schemeClr w14:val="tx1"/>
                        </w14:solidFill>
                      </w14:textFill>
                    </w:rPr>
                  </w:pPr>
                  <w:r>
                    <w:rPr>
                      <w:color w:val="000000" w:themeColor="text1"/>
                      <w14:textFill>
                        <w14:solidFill>
                          <w14:schemeClr w14:val="tx1"/>
                        </w14:solidFill>
                      </w14:textFill>
                    </w:rPr>
                    <w:t>北侧</w:t>
                  </w:r>
                </w:p>
              </w:tc>
              <w:tc>
                <w:tcPr>
                  <w:tcW w:w="1486" w:type="dxa"/>
                  <w:vAlign w:val="center"/>
                </w:tcPr>
                <w:p w14:paraId="02C2DDF4">
                  <w:pPr>
                    <w:pStyle w:val="90"/>
                    <w:rPr>
                      <w:color w:val="000000" w:themeColor="text1"/>
                      <w14:textFill>
                        <w14:solidFill>
                          <w14:schemeClr w14:val="tx1"/>
                        </w14:solidFill>
                      </w14:textFill>
                    </w:rPr>
                  </w:pPr>
                  <w:r>
                    <w:rPr>
                      <w:color w:val="000000" w:themeColor="text1"/>
                      <w14:textFill>
                        <w14:solidFill>
                          <w14:schemeClr w14:val="tx1"/>
                        </w14:solidFill>
                      </w14:textFill>
                    </w:rPr>
                    <w:t>约1700</w:t>
                  </w:r>
                </w:p>
              </w:tc>
              <w:tc>
                <w:tcPr>
                  <w:tcW w:w="2301" w:type="dxa"/>
                  <w:vMerge w:val="continue"/>
                  <w:vAlign w:val="center"/>
                </w:tcPr>
                <w:p w14:paraId="2A6789FC">
                  <w:pPr>
                    <w:pStyle w:val="90"/>
                    <w:rPr>
                      <w:color w:val="000000" w:themeColor="text1"/>
                      <w14:textFill>
                        <w14:solidFill>
                          <w14:schemeClr w14:val="tx1"/>
                        </w14:solidFill>
                      </w14:textFill>
                    </w:rPr>
                  </w:pPr>
                </w:p>
              </w:tc>
            </w:tr>
            <w:tr w14:paraId="19F2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3" w:hRule="atLeast"/>
                <w:jc w:val="center"/>
              </w:trPr>
              <w:tc>
                <w:tcPr>
                  <w:tcW w:w="951" w:type="dxa"/>
                  <w:vMerge w:val="restart"/>
                  <w:vAlign w:val="center"/>
                </w:tcPr>
                <w:p w14:paraId="0F597B3C">
                  <w:pPr>
                    <w:pStyle w:val="90"/>
                    <w:rPr>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868" w:type="dxa"/>
                  <w:vAlign w:val="center"/>
                </w:tcPr>
                <w:p w14:paraId="02A3CC10">
                  <w:pPr>
                    <w:pStyle w:val="90"/>
                    <w:rPr>
                      <w:color w:val="000000" w:themeColor="text1"/>
                      <w14:textFill>
                        <w14:solidFill>
                          <w14:schemeClr w14:val="tx1"/>
                        </w14:solidFill>
                      </w14:textFill>
                    </w:rPr>
                  </w:pPr>
                  <w:r>
                    <w:rPr>
                      <w:color w:val="000000" w:themeColor="text1"/>
                      <w14:textFill>
                        <w14:solidFill>
                          <w14:schemeClr w14:val="tx1"/>
                        </w14:solidFill>
                      </w14:textFill>
                    </w:rPr>
                    <w:t>罗源湾海水水质</w:t>
                  </w:r>
                </w:p>
              </w:tc>
              <w:tc>
                <w:tcPr>
                  <w:tcW w:w="3988" w:type="dxa"/>
                  <w:gridSpan w:val="3"/>
                  <w:vAlign w:val="center"/>
                </w:tcPr>
                <w:p w14:paraId="751DB343">
                  <w:pPr>
                    <w:pStyle w:val="90"/>
                    <w:rPr>
                      <w:color w:val="000000" w:themeColor="text1"/>
                      <w14:textFill>
                        <w14:solidFill>
                          <w14:schemeClr w14:val="tx1"/>
                        </w14:solidFill>
                      </w14:textFill>
                    </w:rPr>
                  </w:pPr>
                  <w:r>
                    <w:rPr>
                      <w:color w:val="000000" w:themeColor="text1"/>
                      <w14:textFill>
                        <w14:solidFill>
                          <w14:schemeClr w14:val="tx1"/>
                        </w14:solidFill>
                      </w14:textFill>
                    </w:rPr>
                    <w:t>项目南侧罗源湾北部四类区</w:t>
                  </w:r>
                </w:p>
              </w:tc>
              <w:tc>
                <w:tcPr>
                  <w:tcW w:w="2301" w:type="dxa"/>
                  <w:vAlign w:val="center"/>
                </w:tcPr>
                <w:p w14:paraId="1A522886">
                  <w:pPr>
                    <w:pStyle w:val="90"/>
                    <w:rPr>
                      <w:color w:val="000000" w:themeColor="text1"/>
                      <w14:textFill>
                        <w14:solidFill>
                          <w14:schemeClr w14:val="tx1"/>
                        </w14:solidFill>
                      </w14:textFill>
                    </w:rPr>
                  </w:pPr>
                  <w:r>
                    <w:rPr>
                      <w:color w:val="000000" w:themeColor="text1"/>
                      <w14:textFill>
                        <w14:solidFill>
                          <w14:schemeClr w14:val="tx1"/>
                        </w14:solidFill>
                      </w14:textFill>
                    </w:rPr>
                    <w:t>《海水水质标准》（GB3097-1997）中第三类海水水质标准</w:t>
                  </w:r>
                </w:p>
              </w:tc>
            </w:tr>
            <w:tr w14:paraId="57EF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3" w:hRule="atLeast"/>
                <w:jc w:val="center"/>
              </w:trPr>
              <w:tc>
                <w:tcPr>
                  <w:tcW w:w="951" w:type="dxa"/>
                  <w:vMerge w:val="continue"/>
                  <w:vAlign w:val="center"/>
                </w:tcPr>
                <w:p w14:paraId="6F9D7E0D">
                  <w:pPr>
                    <w:pStyle w:val="90"/>
                    <w:rPr>
                      <w:color w:val="000000" w:themeColor="text1"/>
                      <w14:textFill>
                        <w14:solidFill>
                          <w14:schemeClr w14:val="tx1"/>
                        </w14:solidFill>
                      </w14:textFill>
                    </w:rPr>
                  </w:pPr>
                </w:p>
              </w:tc>
              <w:tc>
                <w:tcPr>
                  <w:tcW w:w="868" w:type="dxa"/>
                  <w:vAlign w:val="center"/>
                </w:tcPr>
                <w:p w14:paraId="0EB3AF7E">
                  <w:pPr>
                    <w:pStyle w:val="90"/>
                    <w:rPr>
                      <w:color w:val="000000" w:themeColor="text1"/>
                      <w14:textFill>
                        <w14:solidFill>
                          <w14:schemeClr w14:val="tx1"/>
                        </w14:solidFill>
                      </w14:textFill>
                    </w:rPr>
                  </w:pPr>
                  <w:r>
                    <w:rPr>
                      <w:color w:val="000000" w:themeColor="text1"/>
                      <w14:textFill>
                        <w14:solidFill>
                          <w14:schemeClr w14:val="tx1"/>
                        </w14:solidFill>
                      </w14:textFill>
                    </w:rPr>
                    <w:t>排洪渠、滞洪区</w:t>
                  </w:r>
                </w:p>
              </w:tc>
              <w:tc>
                <w:tcPr>
                  <w:tcW w:w="3988" w:type="dxa"/>
                  <w:gridSpan w:val="3"/>
                  <w:vAlign w:val="center"/>
                </w:tcPr>
                <w:p w14:paraId="177A5BFD">
                  <w:pPr>
                    <w:pStyle w:val="90"/>
                    <w:rPr>
                      <w:color w:val="000000" w:themeColor="text1"/>
                      <w14:textFill>
                        <w14:solidFill>
                          <w14:schemeClr w14:val="tx1"/>
                        </w14:solidFill>
                      </w14:textFill>
                    </w:rPr>
                  </w:pPr>
                  <w:r>
                    <w:rPr>
                      <w:color w:val="000000" w:themeColor="text1"/>
                      <w14:textFill>
                        <w14:solidFill>
                          <w14:schemeClr w14:val="tx1"/>
                        </w14:solidFill>
                      </w14:textFill>
                    </w:rPr>
                    <w:t>项目西侧、东侧和南侧</w:t>
                  </w:r>
                </w:p>
              </w:tc>
              <w:tc>
                <w:tcPr>
                  <w:tcW w:w="2301" w:type="dxa"/>
                  <w:vAlign w:val="center"/>
                </w:tcPr>
                <w:p w14:paraId="395A6702">
                  <w:pPr>
                    <w:pStyle w:val="90"/>
                    <w:rPr>
                      <w:color w:val="000000" w:themeColor="text1"/>
                      <w14:textFill>
                        <w14:solidFill>
                          <w14:schemeClr w14:val="tx1"/>
                        </w14:solidFill>
                      </w14:textFill>
                    </w:rPr>
                  </w:pPr>
                  <w:r>
                    <w:rPr>
                      <w:color w:val="000000" w:themeColor="text1"/>
                      <w14:textFill>
                        <w14:solidFill>
                          <w14:schemeClr w14:val="tx1"/>
                        </w14:solidFill>
                      </w14:textFill>
                    </w:rPr>
                    <w:t>《地表水环境质量标准》（GB3838-2002）中的Ⅳ类标准</w:t>
                  </w:r>
                </w:p>
              </w:tc>
            </w:tr>
            <w:tr w14:paraId="0744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3" w:hRule="atLeast"/>
                <w:jc w:val="center"/>
              </w:trPr>
              <w:tc>
                <w:tcPr>
                  <w:tcW w:w="951" w:type="dxa"/>
                  <w:vAlign w:val="center"/>
                </w:tcPr>
                <w:p w14:paraId="2561A2FD">
                  <w:pPr>
                    <w:pStyle w:val="90"/>
                    <w:rPr>
                      <w:color w:val="000000" w:themeColor="text1"/>
                      <w14:textFill>
                        <w14:solidFill>
                          <w14:schemeClr w14:val="tx1"/>
                        </w14:solidFill>
                      </w14:textFill>
                    </w:rPr>
                  </w:pPr>
                  <w:r>
                    <w:rPr>
                      <w:color w:val="000000" w:themeColor="text1"/>
                      <w14:textFill>
                        <w14:solidFill>
                          <w14:schemeClr w14:val="tx1"/>
                        </w14:solidFill>
                      </w14:textFill>
                    </w:rPr>
                    <w:t>地下水环境</w:t>
                  </w:r>
                </w:p>
              </w:tc>
              <w:tc>
                <w:tcPr>
                  <w:tcW w:w="4856" w:type="dxa"/>
                  <w:gridSpan w:val="4"/>
                  <w:vAlign w:val="center"/>
                </w:tcPr>
                <w:p w14:paraId="3304A555">
                  <w:pPr>
                    <w:pStyle w:val="90"/>
                    <w:rPr>
                      <w:color w:val="000000" w:themeColor="text1"/>
                      <w14:textFill>
                        <w14:solidFill>
                          <w14:schemeClr w14:val="tx1"/>
                        </w14:solidFill>
                      </w14:textFill>
                    </w:rPr>
                  </w:pPr>
                  <w:r>
                    <w:rPr>
                      <w:color w:val="000000" w:themeColor="text1"/>
                      <w14:textFill>
                        <w14:solidFill>
                          <w14:schemeClr w14:val="tx1"/>
                        </w14:solidFill>
                      </w14:textFill>
                    </w:rPr>
                    <w:t>厂界外500米范围内无地下水集中式饮用水水源和热水、矿泉水、泉水 等特殊地下水资源</w:t>
                  </w:r>
                </w:p>
              </w:tc>
              <w:tc>
                <w:tcPr>
                  <w:tcW w:w="2301" w:type="dxa"/>
                </w:tcPr>
                <w:p w14:paraId="60F73B82">
                  <w:pPr>
                    <w:pStyle w:val="90"/>
                    <w:rPr>
                      <w:color w:val="000000" w:themeColor="text1"/>
                      <w14:textFill>
                        <w14:solidFill>
                          <w14:schemeClr w14:val="tx1"/>
                        </w14:solidFill>
                      </w14:textFill>
                    </w:rPr>
                  </w:pPr>
                  <w:r>
                    <w:rPr>
                      <w:color w:val="000000" w:themeColor="text1"/>
                      <w14:textFill>
                        <w14:solidFill>
                          <w14:schemeClr w14:val="tx1"/>
                        </w14:solidFill>
                      </w14:textFill>
                    </w:rPr>
                    <w:t>《地下水质量标准》（GB/T14848-2017）中的Ⅳ水质标准</w:t>
                  </w:r>
                </w:p>
              </w:tc>
            </w:tr>
            <w:tr w14:paraId="042D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9" w:hRule="atLeast"/>
                <w:jc w:val="center"/>
              </w:trPr>
              <w:tc>
                <w:tcPr>
                  <w:tcW w:w="951" w:type="dxa"/>
                  <w:vAlign w:val="center"/>
                </w:tcPr>
                <w:p w14:paraId="68084627">
                  <w:pPr>
                    <w:pStyle w:val="90"/>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868" w:type="dxa"/>
                  <w:vAlign w:val="center"/>
                </w:tcPr>
                <w:p w14:paraId="3258E95D">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3988" w:type="dxa"/>
                  <w:gridSpan w:val="3"/>
                  <w:vAlign w:val="center"/>
                </w:tcPr>
                <w:p w14:paraId="2819B41A">
                  <w:pPr>
                    <w:pStyle w:val="90"/>
                    <w:rPr>
                      <w:color w:val="000000" w:themeColor="text1"/>
                      <w14:textFill>
                        <w14:solidFill>
                          <w14:schemeClr w14:val="tx1"/>
                        </w14:solidFill>
                      </w14:textFill>
                    </w:rPr>
                  </w:pPr>
                  <w:r>
                    <w:rPr>
                      <w:color w:val="000000" w:themeColor="text1"/>
                      <w14:textFill>
                        <w14:solidFill>
                          <w14:schemeClr w14:val="tx1"/>
                        </w14:solidFill>
                      </w14:textFill>
                    </w:rPr>
                    <w:t>厂界外</w:t>
                  </w:r>
                </w:p>
              </w:tc>
              <w:tc>
                <w:tcPr>
                  <w:tcW w:w="2301" w:type="dxa"/>
                  <w:vAlign w:val="center"/>
                </w:tcPr>
                <w:p w14:paraId="3A37D316">
                  <w:pPr>
                    <w:pStyle w:val="90"/>
                    <w:rPr>
                      <w:color w:val="000000" w:themeColor="text1"/>
                      <w14:textFill>
                        <w14:solidFill>
                          <w14:schemeClr w14:val="tx1"/>
                        </w14:solidFill>
                      </w14:textFill>
                    </w:rPr>
                  </w:pPr>
                  <w:r>
                    <w:rPr>
                      <w:color w:val="000000" w:themeColor="text1"/>
                      <w14:textFill>
                        <w14:solidFill>
                          <w14:schemeClr w14:val="tx1"/>
                        </w14:solidFill>
                      </w14:textFill>
                    </w:rPr>
                    <w:t>200m范围内无常住居民</w:t>
                  </w:r>
                </w:p>
              </w:tc>
            </w:tr>
            <w:tr w14:paraId="58AC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9" w:hRule="atLeast"/>
                <w:jc w:val="center"/>
              </w:trPr>
              <w:tc>
                <w:tcPr>
                  <w:tcW w:w="951" w:type="dxa"/>
                  <w:vAlign w:val="center"/>
                </w:tcPr>
                <w:p w14:paraId="4CD7D2CB">
                  <w:pPr>
                    <w:pStyle w:val="90"/>
                    <w:rPr>
                      <w:color w:val="000000" w:themeColor="text1"/>
                      <w14:textFill>
                        <w14:solidFill>
                          <w14:schemeClr w14:val="tx1"/>
                        </w14:solidFill>
                      </w14:textFill>
                    </w:rPr>
                  </w:pPr>
                  <w:r>
                    <w:rPr>
                      <w:color w:val="000000" w:themeColor="text1"/>
                      <w14:textFill>
                        <w14:solidFill>
                          <w14:schemeClr w14:val="tx1"/>
                        </w14:solidFill>
                      </w14:textFill>
                    </w:rPr>
                    <w:t>陆域生态环境</w:t>
                  </w:r>
                </w:p>
              </w:tc>
              <w:tc>
                <w:tcPr>
                  <w:tcW w:w="868" w:type="dxa"/>
                  <w:vAlign w:val="center"/>
                </w:tcPr>
                <w:p w14:paraId="35EC3D0A">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3988" w:type="dxa"/>
                  <w:gridSpan w:val="3"/>
                  <w:vAlign w:val="center"/>
                </w:tcPr>
                <w:p w14:paraId="3EC511A5">
                  <w:pPr>
                    <w:pStyle w:val="90"/>
                    <w:rPr>
                      <w:color w:val="000000" w:themeColor="text1"/>
                      <w14:textFill>
                        <w14:solidFill>
                          <w14:schemeClr w14:val="tx1"/>
                        </w14:solidFill>
                      </w14:textFill>
                    </w:rPr>
                  </w:pPr>
                  <w:r>
                    <w:rPr>
                      <w:color w:val="000000" w:themeColor="text1"/>
                      <w14:textFill>
                        <w14:solidFill>
                          <w14:schemeClr w14:val="tx1"/>
                        </w14:solidFill>
                      </w14:textFill>
                    </w:rPr>
                    <w:t>200m范围内</w:t>
                  </w:r>
                </w:p>
              </w:tc>
              <w:tc>
                <w:tcPr>
                  <w:tcW w:w="2301" w:type="dxa"/>
                  <w:vAlign w:val="center"/>
                </w:tcPr>
                <w:p w14:paraId="0E76B070">
                  <w:pPr>
                    <w:pStyle w:val="90"/>
                    <w:rPr>
                      <w:color w:val="000000" w:themeColor="text1"/>
                      <w14:textFill>
                        <w14:solidFill>
                          <w14:schemeClr w14:val="tx1"/>
                        </w14:solidFill>
                      </w14:textFill>
                    </w:rPr>
                  </w:pPr>
                  <w:r>
                    <w:rPr>
                      <w:color w:val="000000" w:themeColor="text1"/>
                      <w14:textFill>
                        <w14:solidFill>
                          <w14:schemeClr w14:val="tx1"/>
                        </w14:solidFill>
                      </w14:textFill>
                    </w:rPr>
                    <w:t>三类工业用地</w:t>
                  </w:r>
                </w:p>
              </w:tc>
            </w:tr>
          </w:tbl>
          <w:p w14:paraId="4D494AE9">
            <w:pPr>
              <w:pStyle w:val="351"/>
              <w:spacing w:before="120"/>
              <w:rPr>
                <w:color w:val="000000" w:themeColor="text1"/>
                <w:szCs w:val="21"/>
                <w14:textFill>
                  <w14:solidFill>
                    <w14:schemeClr w14:val="tx1"/>
                  </w14:solidFill>
                </w14:textFill>
              </w:rPr>
            </w:pPr>
          </w:p>
        </w:tc>
      </w:tr>
      <w:tr w14:paraId="752C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14:paraId="0998DADC">
            <w:pPr>
              <w:pStyle w:val="9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w:t>
            </w:r>
            <w:r>
              <w:rPr>
                <w:rFonts w:cs="Times New Roman"/>
                <w:color w:val="000000" w:themeColor="text1"/>
                <w:szCs w:val="21"/>
                <w14:textFill>
                  <w14:solidFill>
                    <w14:schemeClr w14:val="tx1"/>
                  </w14:solidFill>
                </w14:textFill>
              </w:rPr>
              <w:t>物排放控</w:t>
            </w:r>
            <w:r>
              <w:rPr>
                <w:rFonts w:cs="Times New Roman"/>
                <w:color w:val="000000" w:themeColor="text1"/>
                <w14:textFill>
                  <w14:solidFill>
                    <w14:schemeClr w14:val="tx1"/>
                  </w14:solidFill>
                </w14:textFill>
              </w:rPr>
              <w:t>制标</w:t>
            </w:r>
            <w:r>
              <w:rPr>
                <w:rFonts w:cs="Times New Roman"/>
                <w:color w:val="000000" w:themeColor="text1"/>
                <w:szCs w:val="21"/>
                <w14:textFill>
                  <w14:solidFill>
                    <w14:schemeClr w14:val="tx1"/>
                  </w14:solidFill>
                </w14:textFill>
              </w:rPr>
              <w:t>准</w:t>
            </w:r>
          </w:p>
        </w:tc>
        <w:tc>
          <w:tcPr>
            <w:tcW w:w="8387" w:type="dxa"/>
            <w:shd w:val="clear" w:color="auto" w:fill="auto"/>
            <w:vAlign w:val="center"/>
          </w:tcPr>
          <w:p w14:paraId="066A5028">
            <w:pPr>
              <w:pStyle w:val="3"/>
              <w:rPr>
                <w:rFonts w:cs="Times New Roman"/>
                <w:color w:val="000000" w:themeColor="text1"/>
                <w14:textFill>
                  <w14:solidFill>
                    <w14:schemeClr w14:val="tx1"/>
                  </w14:solidFill>
                </w14:textFill>
              </w:rPr>
            </w:pPr>
            <w:bookmarkStart w:id="127" w:name="_Toc230448043"/>
            <w:r>
              <w:rPr>
                <w:rFonts w:cs="Times New Roman"/>
                <w:color w:val="000000" w:themeColor="text1"/>
                <w14:textFill>
                  <w14:solidFill>
                    <w14:schemeClr w14:val="tx1"/>
                  </w14:solidFill>
                </w14:textFill>
              </w:rPr>
              <w:t>废气排放标准</w:t>
            </w:r>
            <w:bookmarkEnd w:id="127"/>
          </w:p>
          <w:p w14:paraId="0346A526">
            <w:pPr>
              <w:ind w:firstLine="480"/>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项目运营期主要有组织大气污染物排放执行《关于推进实施钢铁行业超低排放的意见》（环大气[2019]35号）和《火电厂大气污染物排放标准》（GB 13223—2011）</w:t>
            </w:r>
            <w:r>
              <w:rPr>
                <w:rFonts w:cs="Times New Roman"/>
                <w:color w:val="000000" w:themeColor="text1"/>
                <w:lang w:val="zh-CN"/>
                <w14:textFill>
                  <w14:solidFill>
                    <w14:schemeClr w14:val="tx1"/>
                  </w14:solidFill>
                </w14:textFill>
              </w:rPr>
              <w:t>中排放标准的要求，</w:t>
            </w:r>
            <w:r>
              <w:rPr>
                <w:rFonts w:cs="Times New Roman"/>
                <w:color w:val="000000" w:themeColor="text1"/>
                <w14:textFill>
                  <w14:solidFill>
                    <w14:schemeClr w14:val="tx1"/>
                  </w14:solidFill>
                </w14:textFill>
              </w:rPr>
              <w:t>氨参照执行《火电厂及锅炉大气污染物排放标准（征求意见稿）》（GB 13223 修订版，2026）表1</w:t>
            </w:r>
            <w:r>
              <w:rPr>
                <w:rFonts w:cs="Times New Roman"/>
                <w:color w:val="000000" w:themeColor="text1"/>
                <w:lang w:val="zh-CN"/>
                <w14:textFill>
                  <w14:solidFill>
                    <w14:schemeClr w14:val="tx1"/>
                  </w14:solidFill>
                </w14:textFill>
              </w:rPr>
              <w:t>排放限值；无组织颗粒物参照执行</w:t>
            </w:r>
            <w:r>
              <w:rPr>
                <w:rFonts w:cs="Times New Roman"/>
                <w:color w:val="000000" w:themeColor="text1"/>
                <w14:textFill>
                  <w14:solidFill>
                    <w14:schemeClr w14:val="tx1"/>
                  </w14:solidFill>
                </w14:textFill>
              </w:rPr>
              <w:t>《火电厂及锅炉大气污染物排放标准（征求意见稿）》（GB 13223 修订版，2026）表3排放监控限值</w:t>
            </w:r>
            <w:r>
              <w:rPr>
                <w:rFonts w:cs="Times New Roman"/>
                <w:color w:val="000000" w:themeColor="text1"/>
                <w:lang w:val="zh-CN"/>
                <w14:textFill>
                  <w14:solidFill>
                    <w14:schemeClr w14:val="tx1"/>
                  </w14:solidFill>
                </w14:textFill>
              </w:rPr>
              <w:t>。</w:t>
            </w:r>
          </w:p>
          <w:p w14:paraId="05A80E3C">
            <w:pPr>
              <w:ind w:firstLine="480"/>
              <w:rPr>
                <w:rFonts w:cs="Times New Roman"/>
                <w:color w:val="000000" w:themeColor="text1"/>
                <w14:textFill>
                  <w14:solidFill>
                    <w14:schemeClr w14:val="tx1"/>
                  </w14:solidFill>
                </w14:textFill>
              </w:rPr>
            </w:pPr>
            <w:r>
              <w:rPr>
                <w:rFonts w:cs="Times New Roman"/>
                <w:color w:val="000000" w:themeColor="text1"/>
                <w:lang w:val="zh-CN"/>
                <w14:textFill>
                  <w14:solidFill>
                    <w14:schemeClr w14:val="tx1"/>
                  </w14:solidFill>
                </w14:textFill>
              </w:rPr>
              <w:t>施工期废气排放执行《大气污染物综合排放标准》（</w:t>
            </w:r>
            <w:r>
              <w:rPr>
                <w:rFonts w:cs="Times New Roman"/>
                <w:color w:val="000000" w:themeColor="text1"/>
                <w14:textFill>
                  <w14:solidFill>
                    <w14:schemeClr w14:val="tx1"/>
                  </w14:solidFill>
                </w14:textFill>
              </w:rPr>
              <w:t>GB16297-1996</w:t>
            </w:r>
            <w:r>
              <w:rPr>
                <w:rFonts w:cs="Times New Roman"/>
                <w:color w:val="000000" w:themeColor="text1"/>
                <w:lang w:val="zh-CN"/>
                <w14:textFill>
                  <w14:solidFill>
                    <w14:schemeClr w14:val="tx1"/>
                  </w14:solidFill>
                </w14:textFill>
              </w:rPr>
              <w:t>）相关要求。具体</w:t>
            </w:r>
            <w:r>
              <w:rPr>
                <w:rFonts w:cs="Times New Roman"/>
                <w:color w:val="000000" w:themeColor="text1"/>
                <w14:textFill>
                  <w14:solidFill>
                    <w14:schemeClr w14:val="tx1"/>
                  </w14:solidFill>
                </w14:textFill>
              </w:rPr>
              <w:t>详见下表。</w:t>
            </w:r>
          </w:p>
          <w:p w14:paraId="316122FE">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本项目大气污染物排放标准</w:t>
            </w:r>
          </w:p>
          <w:tbl>
            <w:tblPr>
              <w:tblStyle w:val="46"/>
              <w:tblW w:w="8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1560"/>
              <w:gridCol w:w="1842"/>
              <w:gridCol w:w="1418"/>
              <w:gridCol w:w="1121"/>
            </w:tblGrid>
            <w:tr w14:paraId="67F2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491" w:type="dxa"/>
                  <w:vAlign w:val="center"/>
                </w:tcPr>
                <w:p w14:paraId="20634644">
                  <w:pPr>
                    <w:pStyle w:val="90"/>
                    <w:rPr>
                      <w:color w:val="000000" w:themeColor="text1"/>
                      <w14:textFill>
                        <w14:solidFill>
                          <w14:schemeClr w14:val="tx1"/>
                        </w14:solidFill>
                      </w14:textFill>
                    </w:rPr>
                  </w:pPr>
                  <w:r>
                    <w:rPr>
                      <w:color w:val="000000" w:themeColor="text1"/>
                      <w14:textFill>
                        <w14:solidFill>
                          <w14:schemeClr w14:val="tx1"/>
                        </w14:solidFill>
                      </w14:textFill>
                    </w:rPr>
                    <w:t>标准名称及代号</w:t>
                  </w:r>
                </w:p>
              </w:tc>
              <w:tc>
                <w:tcPr>
                  <w:tcW w:w="1560" w:type="dxa"/>
                  <w:vAlign w:val="center"/>
                </w:tcPr>
                <w:p w14:paraId="19123D53">
                  <w:pPr>
                    <w:pStyle w:val="90"/>
                    <w:rPr>
                      <w:color w:val="000000" w:themeColor="text1"/>
                      <w14:textFill>
                        <w14:solidFill>
                          <w14:schemeClr w14:val="tx1"/>
                        </w14:solidFill>
                      </w14:textFill>
                    </w:rPr>
                  </w:pPr>
                  <w:r>
                    <w:rPr>
                      <w:color w:val="000000" w:themeColor="text1"/>
                      <w14:textFill>
                        <w14:solidFill>
                          <w14:schemeClr w14:val="tx1"/>
                        </w14:solidFill>
                      </w14:textFill>
                    </w:rPr>
                    <w:t>生产设施</w:t>
                  </w:r>
                </w:p>
              </w:tc>
              <w:tc>
                <w:tcPr>
                  <w:tcW w:w="1842" w:type="dxa"/>
                  <w:vAlign w:val="center"/>
                </w:tcPr>
                <w:p w14:paraId="1B3037ED">
                  <w:pPr>
                    <w:pStyle w:val="90"/>
                    <w:rPr>
                      <w:color w:val="000000" w:themeColor="text1"/>
                      <w14:textFill>
                        <w14:solidFill>
                          <w14:schemeClr w14:val="tx1"/>
                        </w14:solidFill>
                      </w14:textFill>
                    </w:rPr>
                  </w:pPr>
                  <w:r>
                    <w:rPr>
                      <w:color w:val="000000" w:themeColor="text1"/>
                      <w14:textFill>
                        <w14:solidFill>
                          <w14:schemeClr w14:val="tx1"/>
                        </w14:solidFill>
                      </w14:textFill>
                    </w:rPr>
                    <w:t>污染物项目</w:t>
                  </w:r>
                </w:p>
              </w:tc>
              <w:tc>
                <w:tcPr>
                  <w:tcW w:w="1418" w:type="dxa"/>
                  <w:vAlign w:val="center"/>
                </w:tcPr>
                <w:p w14:paraId="3A9B81CB">
                  <w:pPr>
                    <w:pStyle w:val="90"/>
                    <w:rPr>
                      <w:color w:val="000000" w:themeColor="text1"/>
                      <w14:textFill>
                        <w14:solidFill>
                          <w14:schemeClr w14:val="tx1"/>
                        </w14:solidFill>
                      </w14:textFill>
                    </w:rPr>
                  </w:pPr>
                  <w:r>
                    <w:rPr>
                      <w:color w:val="000000" w:themeColor="text1"/>
                      <w14:textFill>
                        <w14:solidFill>
                          <w14:schemeClr w14:val="tx1"/>
                        </w14:solidFill>
                      </w14:textFill>
                    </w:rPr>
                    <w:t>标准限值（mg/m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1121" w:type="dxa"/>
                </w:tcPr>
                <w:p w14:paraId="6E739307">
                  <w:pPr>
                    <w:pStyle w:val="90"/>
                    <w:rPr>
                      <w:color w:val="000000" w:themeColor="text1"/>
                      <w14:textFill>
                        <w14:solidFill>
                          <w14:schemeClr w14:val="tx1"/>
                        </w14:solidFill>
                      </w14:textFill>
                    </w:rPr>
                  </w:pPr>
                  <w:r>
                    <w:rPr>
                      <w:color w:val="000000" w:themeColor="text1"/>
                      <w14:textFill>
                        <w14:solidFill>
                          <w14:schemeClr w14:val="tx1"/>
                        </w14:solidFill>
                      </w14:textFill>
                    </w:rPr>
                    <w:t>基准含氧量（%）</w:t>
                  </w:r>
                </w:p>
              </w:tc>
            </w:tr>
            <w:tr w14:paraId="41D7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491" w:type="dxa"/>
                  <w:vMerge w:val="restart"/>
                  <w:vAlign w:val="center"/>
                </w:tcPr>
                <w:p w14:paraId="72429271">
                  <w:pPr>
                    <w:pStyle w:val="90"/>
                    <w:rPr>
                      <w:color w:val="000000" w:themeColor="text1"/>
                      <w14:textFill>
                        <w14:solidFill>
                          <w14:schemeClr w14:val="tx1"/>
                        </w14:solidFill>
                      </w14:textFill>
                    </w:rPr>
                  </w:pPr>
                  <w:r>
                    <w:rPr>
                      <w:color w:val="000000" w:themeColor="text1"/>
                      <w14:textFill>
                        <w14:solidFill>
                          <w14:schemeClr w14:val="tx1"/>
                        </w14:solidFill>
                      </w14:textFill>
                    </w:rPr>
                    <w:t>《关于推进实施钢铁行业超低排放的意见》（环大气[2019]35号）</w:t>
                  </w:r>
                </w:p>
              </w:tc>
              <w:tc>
                <w:tcPr>
                  <w:tcW w:w="1560" w:type="dxa"/>
                  <w:vMerge w:val="restart"/>
                  <w:vAlign w:val="center"/>
                </w:tcPr>
                <w:p w14:paraId="69B7AEAA">
                  <w:pPr>
                    <w:pStyle w:val="90"/>
                    <w:rPr>
                      <w:color w:val="000000" w:themeColor="text1"/>
                      <w14:textFill>
                        <w14:solidFill>
                          <w14:schemeClr w14:val="tx1"/>
                        </w14:solidFill>
                      </w14:textFill>
                    </w:rPr>
                  </w:pPr>
                  <w:r>
                    <w:rPr>
                      <w:color w:val="000000" w:themeColor="text1"/>
                      <w14:textFill>
                        <w14:solidFill>
                          <w14:schemeClr w14:val="tx1"/>
                        </w14:solidFill>
                      </w14:textFill>
                    </w:rPr>
                    <w:t>燃气锅炉</w:t>
                  </w:r>
                </w:p>
              </w:tc>
              <w:tc>
                <w:tcPr>
                  <w:tcW w:w="1842" w:type="dxa"/>
                  <w:vAlign w:val="center"/>
                </w:tcPr>
                <w:p w14:paraId="744DC327">
                  <w:pPr>
                    <w:pStyle w:val="9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418" w:type="dxa"/>
                  <w:vAlign w:val="center"/>
                </w:tcPr>
                <w:p w14:paraId="187EFBFB">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121" w:type="dxa"/>
                  <w:vMerge w:val="restart"/>
                  <w:vAlign w:val="center"/>
                </w:tcPr>
                <w:p w14:paraId="2479E16E">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r>
            <w:tr w14:paraId="6A2F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491" w:type="dxa"/>
                  <w:vMerge w:val="continue"/>
                  <w:vAlign w:val="center"/>
                </w:tcPr>
                <w:p w14:paraId="13043DC9">
                  <w:pPr>
                    <w:pStyle w:val="90"/>
                    <w:rPr>
                      <w:color w:val="000000" w:themeColor="text1"/>
                      <w14:textFill>
                        <w14:solidFill>
                          <w14:schemeClr w14:val="tx1"/>
                        </w14:solidFill>
                      </w14:textFill>
                    </w:rPr>
                  </w:pPr>
                </w:p>
              </w:tc>
              <w:tc>
                <w:tcPr>
                  <w:tcW w:w="1560" w:type="dxa"/>
                  <w:vMerge w:val="continue"/>
                  <w:vAlign w:val="center"/>
                </w:tcPr>
                <w:p w14:paraId="25C09D69">
                  <w:pPr>
                    <w:pStyle w:val="90"/>
                    <w:rPr>
                      <w:color w:val="000000" w:themeColor="text1"/>
                      <w14:textFill>
                        <w14:solidFill>
                          <w14:schemeClr w14:val="tx1"/>
                        </w14:solidFill>
                      </w14:textFill>
                    </w:rPr>
                  </w:pPr>
                </w:p>
              </w:tc>
              <w:tc>
                <w:tcPr>
                  <w:tcW w:w="1842" w:type="dxa"/>
                  <w:vAlign w:val="center"/>
                </w:tcPr>
                <w:p w14:paraId="6044E98A">
                  <w:pPr>
                    <w:pStyle w:val="9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418" w:type="dxa"/>
                  <w:vAlign w:val="center"/>
                </w:tcPr>
                <w:p w14:paraId="185399E5">
                  <w:pPr>
                    <w:pStyle w:val="90"/>
                    <w:rPr>
                      <w:color w:val="000000" w:themeColor="text1"/>
                      <w14:textFill>
                        <w14:solidFill>
                          <w14:schemeClr w14:val="tx1"/>
                        </w14:solidFill>
                      </w14:textFill>
                    </w:rPr>
                  </w:pPr>
                  <w:r>
                    <w:rPr>
                      <w:color w:val="000000" w:themeColor="text1"/>
                      <w14:textFill>
                        <w14:solidFill>
                          <w14:schemeClr w14:val="tx1"/>
                        </w14:solidFill>
                      </w14:textFill>
                    </w:rPr>
                    <w:t>35</w:t>
                  </w:r>
                </w:p>
              </w:tc>
              <w:tc>
                <w:tcPr>
                  <w:tcW w:w="1121" w:type="dxa"/>
                  <w:vMerge w:val="continue"/>
                </w:tcPr>
                <w:p w14:paraId="7048CA66">
                  <w:pPr>
                    <w:pStyle w:val="90"/>
                    <w:rPr>
                      <w:color w:val="000000" w:themeColor="text1"/>
                      <w14:textFill>
                        <w14:solidFill>
                          <w14:schemeClr w14:val="tx1"/>
                        </w14:solidFill>
                      </w14:textFill>
                    </w:rPr>
                  </w:pPr>
                </w:p>
              </w:tc>
            </w:tr>
            <w:tr w14:paraId="09BF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491" w:type="dxa"/>
                  <w:vMerge w:val="continue"/>
                  <w:vAlign w:val="center"/>
                </w:tcPr>
                <w:p w14:paraId="702B3B8A">
                  <w:pPr>
                    <w:pStyle w:val="90"/>
                    <w:rPr>
                      <w:color w:val="000000" w:themeColor="text1"/>
                      <w14:textFill>
                        <w14:solidFill>
                          <w14:schemeClr w14:val="tx1"/>
                        </w14:solidFill>
                      </w14:textFill>
                    </w:rPr>
                  </w:pPr>
                </w:p>
              </w:tc>
              <w:tc>
                <w:tcPr>
                  <w:tcW w:w="1560" w:type="dxa"/>
                  <w:vMerge w:val="continue"/>
                  <w:vAlign w:val="center"/>
                </w:tcPr>
                <w:p w14:paraId="35E2640C">
                  <w:pPr>
                    <w:pStyle w:val="90"/>
                    <w:rPr>
                      <w:color w:val="000000" w:themeColor="text1"/>
                      <w14:textFill>
                        <w14:solidFill>
                          <w14:schemeClr w14:val="tx1"/>
                        </w14:solidFill>
                      </w14:textFill>
                    </w:rPr>
                  </w:pPr>
                </w:p>
              </w:tc>
              <w:tc>
                <w:tcPr>
                  <w:tcW w:w="1842" w:type="dxa"/>
                  <w:vAlign w:val="center"/>
                </w:tcPr>
                <w:p w14:paraId="563E50B0">
                  <w:pPr>
                    <w:pStyle w:val="90"/>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1418" w:type="dxa"/>
                  <w:vAlign w:val="center"/>
                </w:tcPr>
                <w:p w14:paraId="65E65507">
                  <w:pPr>
                    <w:pStyle w:val="90"/>
                    <w:rPr>
                      <w:color w:val="000000" w:themeColor="text1"/>
                      <w14:textFill>
                        <w14:solidFill>
                          <w14:schemeClr w14:val="tx1"/>
                        </w14:solidFill>
                      </w14:textFill>
                    </w:rPr>
                  </w:pPr>
                  <w:r>
                    <w:rPr>
                      <w:color w:val="000000" w:themeColor="text1"/>
                      <w14:textFill>
                        <w14:solidFill>
                          <w14:schemeClr w14:val="tx1"/>
                        </w14:solidFill>
                      </w14:textFill>
                    </w:rPr>
                    <w:t>50</w:t>
                  </w:r>
                </w:p>
              </w:tc>
              <w:tc>
                <w:tcPr>
                  <w:tcW w:w="1121" w:type="dxa"/>
                  <w:vMerge w:val="continue"/>
                </w:tcPr>
                <w:p w14:paraId="0D5B011F">
                  <w:pPr>
                    <w:pStyle w:val="90"/>
                    <w:rPr>
                      <w:color w:val="000000" w:themeColor="text1"/>
                      <w14:textFill>
                        <w14:solidFill>
                          <w14:schemeClr w14:val="tx1"/>
                        </w14:solidFill>
                      </w14:textFill>
                    </w:rPr>
                  </w:pPr>
                </w:p>
              </w:tc>
            </w:tr>
            <w:tr w14:paraId="0711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491" w:type="dxa"/>
                  <w:vAlign w:val="center"/>
                </w:tcPr>
                <w:p w14:paraId="366C7EC7">
                  <w:pPr>
                    <w:pStyle w:val="90"/>
                    <w:rPr>
                      <w:color w:val="000000" w:themeColor="text1"/>
                      <w14:textFill>
                        <w14:solidFill>
                          <w14:schemeClr w14:val="tx1"/>
                        </w14:solidFill>
                      </w14:textFill>
                    </w:rPr>
                  </w:pPr>
                  <w:r>
                    <w:rPr>
                      <w:color w:val="000000" w:themeColor="text1"/>
                      <w14:textFill>
                        <w14:solidFill>
                          <w14:schemeClr w14:val="tx1"/>
                        </w14:solidFill>
                      </w14:textFill>
                    </w:rPr>
                    <w:t>《火电厂大气污染物排放标准》（GB 13223—2011）</w:t>
                  </w:r>
                </w:p>
              </w:tc>
              <w:tc>
                <w:tcPr>
                  <w:tcW w:w="1560" w:type="dxa"/>
                  <w:vMerge w:val="continue"/>
                  <w:vAlign w:val="center"/>
                </w:tcPr>
                <w:p w14:paraId="0E7D3CDB">
                  <w:pPr>
                    <w:pStyle w:val="90"/>
                    <w:rPr>
                      <w:color w:val="000000" w:themeColor="text1"/>
                      <w14:textFill>
                        <w14:solidFill>
                          <w14:schemeClr w14:val="tx1"/>
                        </w14:solidFill>
                      </w14:textFill>
                    </w:rPr>
                  </w:pPr>
                </w:p>
              </w:tc>
              <w:tc>
                <w:tcPr>
                  <w:tcW w:w="1842" w:type="dxa"/>
                  <w:vAlign w:val="center"/>
                </w:tcPr>
                <w:p w14:paraId="71E1D9F1">
                  <w:pPr>
                    <w:pStyle w:val="90"/>
                    <w:rPr>
                      <w:color w:val="000000" w:themeColor="text1"/>
                      <w14:textFill>
                        <w14:solidFill>
                          <w14:schemeClr w14:val="tx1"/>
                        </w14:solidFill>
                      </w14:textFill>
                    </w:rPr>
                  </w:pPr>
                  <w:r>
                    <w:rPr>
                      <w:color w:val="000000" w:themeColor="text1"/>
                      <w14:textFill>
                        <w14:solidFill>
                          <w14:schemeClr w14:val="tx1"/>
                        </w14:solidFill>
                      </w14:textFill>
                    </w:rPr>
                    <w:t>烟气黑度（林格曼黑度）/级</w:t>
                  </w:r>
                </w:p>
              </w:tc>
              <w:tc>
                <w:tcPr>
                  <w:tcW w:w="1418" w:type="dxa"/>
                  <w:vAlign w:val="center"/>
                </w:tcPr>
                <w:p w14:paraId="74B75170">
                  <w:pPr>
                    <w:pStyle w:val="90"/>
                    <w:rPr>
                      <w:color w:val="000000" w:themeColor="text1"/>
                      <w14:textFill>
                        <w14:solidFill>
                          <w14:schemeClr w14:val="tx1"/>
                        </w14:solidFill>
                      </w14:textFill>
                    </w:rPr>
                  </w:pPr>
                  <w:r>
                    <w:rPr>
                      <w:color w:val="000000" w:themeColor="text1"/>
                      <w14:textFill>
                        <w14:solidFill>
                          <w14:schemeClr w14:val="tx1"/>
                        </w14:solidFill>
                      </w14:textFill>
                    </w:rPr>
                    <w:t>1级</w:t>
                  </w:r>
                </w:p>
              </w:tc>
              <w:tc>
                <w:tcPr>
                  <w:tcW w:w="1121" w:type="dxa"/>
                  <w:vMerge w:val="continue"/>
                </w:tcPr>
                <w:p w14:paraId="53AF0931">
                  <w:pPr>
                    <w:pStyle w:val="90"/>
                    <w:rPr>
                      <w:color w:val="000000" w:themeColor="text1"/>
                      <w14:textFill>
                        <w14:solidFill>
                          <w14:schemeClr w14:val="tx1"/>
                        </w14:solidFill>
                      </w14:textFill>
                    </w:rPr>
                  </w:pPr>
                </w:p>
              </w:tc>
            </w:tr>
            <w:tr w14:paraId="4CF4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491" w:type="dxa"/>
                  <w:vAlign w:val="center"/>
                </w:tcPr>
                <w:p w14:paraId="7A1DC6A4">
                  <w:pPr>
                    <w:pStyle w:val="90"/>
                    <w:rPr>
                      <w:color w:val="000000" w:themeColor="text1"/>
                      <w14:textFill>
                        <w14:solidFill>
                          <w14:schemeClr w14:val="tx1"/>
                        </w14:solidFill>
                      </w14:textFill>
                    </w:rPr>
                  </w:pPr>
                  <w:r>
                    <w:rPr>
                      <w:color w:val="000000" w:themeColor="text1"/>
                      <w14:textFill>
                        <w14:solidFill>
                          <w14:schemeClr w14:val="tx1"/>
                        </w14:solidFill>
                      </w14:textFill>
                    </w:rPr>
                    <w:t>参照《火电厂及锅炉大气污染物排放标准（征求意见稿）》（GB 13223 修订版，2026）</w:t>
                  </w:r>
                </w:p>
              </w:tc>
              <w:tc>
                <w:tcPr>
                  <w:tcW w:w="1560" w:type="dxa"/>
                  <w:vMerge w:val="continue"/>
                  <w:vAlign w:val="center"/>
                </w:tcPr>
                <w:p w14:paraId="4DC74326">
                  <w:pPr>
                    <w:pStyle w:val="90"/>
                    <w:rPr>
                      <w:color w:val="000000" w:themeColor="text1"/>
                      <w14:textFill>
                        <w14:solidFill>
                          <w14:schemeClr w14:val="tx1"/>
                        </w14:solidFill>
                      </w14:textFill>
                    </w:rPr>
                  </w:pPr>
                </w:p>
              </w:tc>
              <w:tc>
                <w:tcPr>
                  <w:tcW w:w="1842" w:type="dxa"/>
                  <w:vAlign w:val="center"/>
                </w:tcPr>
                <w:p w14:paraId="71737074">
                  <w:pPr>
                    <w:pStyle w:val="90"/>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418" w:type="dxa"/>
                  <w:vAlign w:val="center"/>
                </w:tcPr>
                <w:p w14:paraId="751006FC">
                  <w:pPr>
                    <w:pStyle w:val="90"/>
                    <w:rPr>
                      <w:color w:val="000000" w:themeColor="text1"/>
                      <w14:textFill>
                        <w14:solidFill>
                          <w14:schemeClr w14:val="tx1"/>
                        </w14:solidFill>
                      </w14:textFill>
                    </w:rPr>
                  </w:pPr>
                  <w:r>
                    <w:rPr>
                      <w:color w:val="000000" w:themeColor="text1"/>
                      <w14:textFill>
                        <w14:solidFill>
                          <w14:schemeClr w14:val="tx1"/>
                        </w14:solidFill>
                      </w14:textFill>
                    </w:rPr>
                    <w:t>8</w:t>
                  </w:r>
                </w:p>
              </w:tc>
              <w:tc>
                <w:tcPr>
                  <w:tcW w:w="1121" w:type="dxa"/>
                  <w:vMerge w:val="continue"/>
                </w:tcPr>
                <w:p w14:paraId="64332BCF">
                  <w:pPr>
                    <w:pStyle w:val="90"/>
                    <w:rPr>
                      <w:color w:val="000000" w:themeColor="text1"/>
                      <w14:textFill>
                        <w14:solidFill>
                          <w14:schemeClr w14:val="tx1"/>
                        </w14:solidFill>
                      </w14:textFill>
                    </w:rPr>
                  </w:pPr>
                </w:p>
              </w:tc>
            </w:tr>
          </w:tbl>
          <w:p w14:paraId="11249F7E">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厂区内无组织排放监控限值</w:t>
            </w:r>
          </w:p>
          <w:tbl>
            <w:tblPr>
              <w:tblStyle w:val="46"/>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1983"/>
              <w:gridCol w:w="2551"/>
              <w:gridCol w:w="1963"/>
            </w:tblGrid>
            <w:tr w14:paraId="2CF1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1" w:type="pct"/>
                  <w:vAlign w:val="center"/>
                </w:tcPr>
                <w:p w14:paraId="53B24841">
                  <w:pPr>
                    <w:pStyle w:val="90"/>
                    <w:rPr>
                      <w:color w:val="000000" w:themeColor="text1"/>
                      <w14:textFill>
                        <w14:solidFill>
                          <w14:schemeClr w14:val="tx1"/>
                        </w14:solidFill>
                      </w14:textFill>
                    </w:rPr>
                  </w:pPr>
                  <w:r>
                    <w:rPr>
                      <w:color w:val="000000" w:themeColor="text1"/>
                      <w14:textFill>
                        <w14:solidFill>
                          <w14:schemeClr w14:val="tx1"/>
                        </w14:solidFill>
                      </w14:textFill>
                    </w:rPr>
                    <w:t>污染物项目</w:t>
                  </w:r>
                </w:p>
              </w:tc>
              <w:tc>
                <w:tcPr>
                  <w:tcW w:w="1184" w:type="pct"/>
                  <w:vAlign w:val="center"/>
                </w:tcPr>
                <w:p w14:paraId="588C0389">
                  <w:pPr>
                    <w:pStyle w:val="90"/>
                    <w:rPr>
                      <w:color w:val="000000" w:themeColor="text1"/>
                      <w14:textFill>
                        <w14:solidFill>
                          <w14:schemeClr w14:val="tx1"/>
                        </w14:solidFill>
                      </w14:textFill>
                    </w:rPr>
                  </w:pPr>
                  <w:r>
                    <w:rPr>
                      <w:color w:val="000000" w:themeColor="text1"/>
                      <w14:textFill>
                        <w14:solidFill>
                          <w14:schemeClr w14:val="tx1"/>
                        </w14:solidFill>
                      </w14:textFill>
                    </w:rPr>
                    <w:t>监控限值（mg/m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1523" w:type="pct"/>
                  <w:vAlign w:val="center"/>
                </w:tcPr>
                <w:p w14:paraId="292E06F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限值含义</w:t>
                  </w:r>
                </w:p>
              </w:tc>
              <w:tc>
                <w:tcPr>
                  <w:tcW w:w="1173" w:type="pct"/>
                </w:tcPr>
                <w:p w14:paraId="317C066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无组织排放监控位置</w:t>
                  </w:r>
                </w:p>
              </w:tc>
            </w:tr>
            <w:tr w14:paraId="0C19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21" w:type="pct"/>
                  <w:vMerge w:val="restart"/>
                  <w:vAlign w:val="center"/>
                </w:tcPr>
                <w:p w14:paraId="4C833B8C">
                  <w:pPr>
                    <w:pStyle w:val="9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184" w:type="pct"/>
                  <w:vAlign w:val="center"/>
                </w:tcPr>
                <w:p w14:paraId="01AD4C31">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523" w:type="pct"/>
                  <w:vAlign w:val="center"/>
                </w:tcPr>
                <w:p w14:paraId="4058792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监控点处1h平均浓度值</w:t>
                  </w:r>
                </w:p>
              </w:tc>
              <w:tc>
                <w:tcPr>
                  <w:tcW w:w="1173" w:type="pct"/>
                  <w:vMerge w:val="restart"/>
                </w:tcPr>
                <w:p w14:paraId="4D444EC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在料场、贮灰场外设置监控点</w:t>
                  </w:r>
                </w:p>
              </w:tc>
            </w:tr>
            <w:tr w14:paraId="7D9D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121" w:type="pct"/>
                  <w:vMerge w:val="continue"/>
                  <w:vAlign w:val="center"/>
                </w:tcPr>
                <w:p w14:paraId="73173F33">
                  <w:pPr>
                    <w:pStyle w:val="90"/>
                    <w:rPr>
                      <w:color w:val="000000" w:themeColor="text1"/>
                      <w14:textFill>
                        <w14:solidFill>
                          <w14:schemeClr w14:val="tx1"/>
                        </w14:solidFill>
                      </w14:textFill>
                    </w:rPr>
                  </w:pPr>
                </w:p>
              </w:tc>
              <w:tc>
                <w:tcPr>
                  <w:tcW w:w="1184" w:type="pct"/>
                  <w:vAlign w:val="center"/>
                </w:tcPr>
                <w:p w14:paraId="17AD6F20">
                  <w:pPr>
                    <w:pStyle w:val="90"/>
                    <w:rPr>
                      <w:color w:val="000000" w:themeColor="text1"/>
                      <w14:textFill>
                        <w14:solidFill>
                          <w14:schemeClr w14:val="tx1"/>
                        </w14:solidFill>
                      </w14:textFill>
                    </w:rPr>
                  </w:pPr>
                  <w:r>
                    <w:rPr>
                      <w:color w:val="000000" w:themeColor="text1"/>
                      <w14:textFill>
                        <w14:solidFill>
                          <w14:schemeClr w14:val="tx1"/>
                        </w14:solidFill>
                      </w14:textFill>
                    </w:rPr>
                    <w:t>9</w:t>
                  </w:r>
                </w:p>
              </w:tc>
              <w:tc>
                <w:tcPr>
                  <w:tcW w:w="1523" w:type="pct"/>
                  <w:vAlign w:val="center"/>
                </w:tcPr>
                <w:p w14:paraId="3091D74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监控点处任意一次浓度值</w:t>
                  </w:r>
                </w:p>
              </w:tc>
              <w:tc>
                <w:tcPr>
                  <w:tcW w:w="1173" w:type="pct"/>
                  <w:vMerge w:val="continue"/>
                </w:tcPr>
                <w:p w14:paraId="366BDF50">
                  <w:pPr>
                    <w:pStyle w:val="138"/>
                    <w:rPr>
                      <w:rFonts w:cs="Times New Roman"/>
                      <w:color w:val="000000" w:themeColor="text1"/>
                      <w14:textFill>
                        <w14:solidFill>
                          <w14:schemeClr w14:val="tx1"/>
                        </w14:solidFill>
                      </w14:textFill>
                    </w:rPr>
                  </w:pPr>
                </w:p>
              </w:tc>
            </w:tr>
          </w:tbl>
          <w:p w14:paraId="5EEE5546">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施工期废气排放标准</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8"/>
              <w:gridCol w:w="2845"/>
              <w:gridCol w:w="2845"/>
            </w:tblGrid>
            <w:tr w14:paraId="6D02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12" w:type="pct"/>
                  <w:vAlign w:val="center"/>
                </w:tcPr>
                <w:p w14:paraId="0C214052">
                  <w:pPr>
                    <w:pStyle w:val="90"/>
                    <w:rPr>
                      <w:color w:val="000000" w:themeColor="text1"/>
                      <w14:textFill>
                        <w14:solidFill>
                          <w14:schemeClr w14:val="tx1"/>
                        </w14:solidFill>
                      </w14:textFill>
                    </w:rPr>
                  </w:pPr>
                  <w:r>
                    <w:rPr>
                      <w:color w:val="000000" w:themeColor="text1"/>
                      <w14:textFill>
                        <w14:solidFill>
                          <w14:schemeClr w14:val="tx1"/>
                        </w14:solidFill>
                      </w14:textFill>
                    </w:rPr>
                    <w:t>污染物项目</w:t>
                  </w:r>
                </w:p>
              </w:tc>
              <w:tc>
                <w:tcPr>
                  <w:tcW w:w="1743" w:type="pct"/>
                  <w:vAlign w:val="center"/>
                </w:tcPr>
                <w:p w14:paraId="2ACCE4E2">
                  <w:pPr>
                    <w:pStyle w:val="90"/>
                    <w:rPr>
                      <w:color w:val="000000" w:themeColor="text1"/>
                      <w14:textFill>
                        <w14:solidFill>
                          <w14:schemeClr w14:val="tx1"/>
                        </w14:solidFill>
                      </w14:textFill>
                    </w:rPr>
                  </w:pPr>
                  <w:r>
                    <w:rPr>
                      <w:color w:val="000000" w:themeColor="text1"/>
                      <w14:textFill>
                        <w14:solidFill>
                          <w14:schemeClr w14:val="tx1"/>
                        </w14:solidFill>
                      </w14:textFill>
                    </w:rPr>
                    <w:t>无组织排放标准限值（mg/m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1743" w:type="pct"/>
                  <w:vAlign w:val="center"/>
                </w:tcPr>
                <w:p w14:paraId="63084BE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监控点</w:t>
                  </w:r>
                </w:p>
              </w:tc>
            </w:tr>
            <w:tr w14:paraId="4785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12" w:type="pct"/>
                  <w:vAlign w:val="center"/>
                </w:tcPr>
                <w:p w14:paraId="00CD4183">
                  <w:pPr>
                    <w:pStyle w:val="9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743" w:type="pct"/>
                  <w:vAlign w:val="center"/>
                </w:tcPr>
                <w:p w14:paraId="6261EFBB">
                  <w:pPr>
                    <w:pStyle w:val="9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743" w:type="pct"/>
                  <w:vMerge w:val="restart"/>
                  <w:vAlign w:val="center"/>
                </w:tcPr>
                <w:p w14:paraId="62B4213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周界外浓度最高点</w:t>
                  </w:r>
                </w:p>
              </w:tc>
            </w:tr>
            <w:tr w14:paraId="7BBB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512" w:type="pct"/>
                  <w:vAlign w:val="center"/>
                </w:tcPr>
                <w:p w14:paraId="69233755">
                  <w:pPr>
                    <w:pStyle w:val="9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743" w:type="pct"/>
                  <w:vAlign w:val="center"/>
                </w:tcPr>
                <w:p w14:paraId="0CAF6FD0">
                  <w:pPr>
                    <w:pStyle w:val="90"/>
                    <w:rPr>
                      <w:color w:val="000000" w:themeColor="text1"/>
                      <w14:textFill>
                        <w14:solidFill>
                          <w14:schemeClr w14:val="tx1"/>
                        </w14:solidFill>
                      </w14:textFill>
                    </w:rPr>
                  </w:pPr>
                  <w:r>
                    <w:rPr>
                      <w:color w:val="000000" w:themeColor="text1"/>
                      <w14:textFill>
                        <w14:solidFill>
                          <w14:schemeClr w14:val="tx1"/>
                        </w14:solidFill>
                      </w14:textFill>
                    </w:rPr>
                    <w:t>0.4</w:t>
                  </w:r>
                </w:p>
              </w:tc>
              <w:tc>
                <w:tcPr>
                  <w:tcW w:w="1743" w:type="pct"/>
                  <w:vMerge w:val="continue"/>
                  <w:vAlign w:val="center"/>
                </w:tcPr>
                <w:p w14:paraId="54D3F052">
                  <w:pPr>
                    <w:pStyle w:val="138"/>
                    <w:rPr>
                      <w:rFonts w:cs="Times New Roman"/>
                      <w:color w:val="000000" w:themeColor="text1"/>
                      <w14:textFill>
                        <w14:solidFill>
                          <w14:schemeClr w14:val="tx1"/>
                        </w14:solidFill>
                      </w14:textFill>
                    </w:rPr>
                  </w:pPr>
                </w:p>
              </w:tc>
            </w:tr>
            <w:tr w14:paraId="583C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512" w:type="pct"/>
                  <w:vAlign w:val="center"/>
                </w:tcPr>
                <w:p w14:paraId="43C4ADA1">
                  <w:pPr>
                    <w:pStyle w:val="90"/>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1743" w:type="pct"/>
                  <w:vAlign w:val="center"/>
                </w:tcPr>
                <w:p w14:paraId="49548555">
                  <w:pPr>
                    <w:pStyle w:val="90"/>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1743" w:type="pct"/>
                  <w:vMerge w:val="continue"/>
                  <w:vAlign w:val="center"/>
                </w:tcPr>
                <w:p w14:paraId="1585BA0D">
                  <w:pPr>
                    <w:pStyle w:val="138"/>
                    <w:rPr>
                      <w:rFonts w:cs="Times New Roman"/>
                      <w:color w:val="000000" w:themeColor="text1"/>
                      <w14:textFill>
                        <w14:solidFill>
                          <w14:schemeClr w14:val="tx1"/>
                        </w14:solidFill>
                      </w14:textFill>
                    </w:rPr>
                  </w:pPr>
                </w:p>
              </w:tc>
            </w:tr>
          </w:tbl>
          <w:p w14:paraId="498BBC61">
            <w:pPr>
              <w:pStyle w:val="3"/>
              <w:rPr>
                <w:rFonts w:cs="Times New Roman"/>
                <w:color w:val="000000" w:themeColor="text1"/>
                <w14:textFill>
                  <w14:solidFill>
                    <w14:schemeClr w14:val="tx1"/>
                  </w14:solidFill>
                </w14:textFill>
              </w:rPr>
            </w:pPr>
            <w:bookmarkStart w:id="128" w:name="_Toc230448044"/>
            <w:r>
              <w:rPr>
                <w:rFonts w:cs="Times New Roman"/>
                <w:color w:val="000000" w:themeColor="text1"/>
                <w14:textFill>
                  <w14:solidFill>
                    <w14:schemeClr w14:val="tx1"/>
                  </w14:solidFill>
                </w14:textFill>
              </w:rPr>
              <w:t>噪声排放标准</w:t>
            </w:r>
            <w:bookmarkEnd w:id="128"/>
          </w:p>
          <w:p w14:paraId="420CBCE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本项目在施工期间噪声执行《建筑施工噪声排放标准》（GB12523-2025）标准，营运期厂界噪声排放限值执行《工业企业厂界环境噪声排放标准》(GB12348-2008)中3类标准，详见下表。</w:t>
            </w:r>
          </w:p>
          <w:p w14:paraId="50C1FEA9">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本项目噪声排放限值   单位：dB（A）</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1286"/>
              <w:gridCol w:w="1131"/>
              <w:gridCol w:w="811"/>
              <w:gridCol w:w="3735"/>
            </w:tblGrid>
            <w:tr w14:paraId="715B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732" w:type="pct"/>
                  <w:tcMar>
                    <w:left w:w="0" w:type="dxa"/>
                    <w:right w:w="0" w:type="dxa"/>
                  </w:tcMar>
                  <w:vAlign w:val="center"/>
                </w:tcPr>
                <w:p w14:paraId="3F0E81CB">
                  <w:pPr>
                    <w:pStyle w:val="90"/>
                    <w:rPr>
                      <w:color w:val="000000" w:themeColor="text1"/>
                      <w14:textFill>
                        <w14:solidFill>
                          <w14:schemeClr w14:val="tx1"/>
                        </w14:solidFill>
                      </w14:textFill>
                    </w:rPr>
                  </w:pPr>
                  <w:r>
                    <w:rPr>
                      <w:color w:val="000000" w:themeColor="text1"/>
                      <w14:textFill>
                        <w14:solidFill>
                          <w14:schemeClr w14:val="tx1"/>
                        </w14:solidFill>
                      </w14:textFill>
                    </w:rPr>
                    <w:t>要素</w:t>
                  </w:r>
                </w:p>
              </w:tc>
              <w:tc>
                <w:tcPr>
                  <w:tcW w:w="788" w:type="pct"/>
                  <w:tcMar>
                    <w:left w:w="0" w:type="dxa"/>
                    <w:right w:w="0" w:type="dxa"/>
                  </w:tcMar>
                  <w:vAlign w:val="center"/>
                </w:tcPr>
                <w:p w14:paraId="3BC02EE0">
                  <w:pPr>
                    <w:pStyle w:val="90"/>
                    <w:rPr>
                      <w:color w:val="000000" w:themeColor="text1"/>
                      <w14:textFill>
                        <w14:solidFill>
                          <w14:schemeClr w14:val="tx1"/>
                        </w14:solidFill>
                      </w14:textFill>
                    </w:rPr>
                  </w:pPr>
                  <w:r>
                    <w:rPr>
                      <w:color w:val="000000" w:themeColor="text1"/>
                      <w14:textFill>
                        <w14:solidFill>
                          <w14:schemeClr w14:val="tx1"/>
                        </w14:solidFill>
                      </w14:textFill>
                    </w:rPr>
                    <w:t>时期</w:t>
                  </w:r>
                </w:p>
              </w:tc>
              <w:tc>
                <w:tcPr>
                  <w:tcW w:w="693" w:type="pct"/>
                  <w:tcMar>
                    <w:left w:w="0" w:type="dxa"/>
                    <w:right w:w="0" w:type="dxa"/>
                  </w:tcMar>
                  <w:vAlign w:val="center"/>
                </w:tcPr>
                <w:p w14:paraId="5A12D02D">
                  <w:pPr>
                    <w:pStyle w:val="9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97" w:type="pct"/>
                  <w:tcMar>
                    <w:left w:w="0" w:type="dxa"/>
                    <w:right w:w="0" w:type="dxa"/>
                  </w:tcMar>
                  <w:vAlign w:val="center"/>
                </w:tcPr>
                <w:p w14:paraId="185F4B00">
                  <w:pPr>
                    <w:pStyle w:val="9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2288" w:type="pct"/>
                  <w:tcMar>
                    <w:left w:w="0" w:type="dxa"/>
                    <w:right w:w="0" w:type="dxa"/>
                  </w:tcMar>
                  <w:vAlign w:val="center"/>
                </w:tcPr>
                <w:p w14:paraId="074EAAD8">
                  <w:pPr>
                    <w:pStyle w:val="90"/>
                    <w:rPr>
                      <w:color w:val="000000" w:themeColor="text1"/>
                      <w14:textFill>
                        <w14:solidFill>
                          <w14:schemeClr w14:val="tx1"/>
                        </w14:solidFill>
                      </w14:textFill>
                    </w:rPr>
                  </w:pPr>
                  <w:r>
                    <w:rPr>
                      <w:color w:val="000000" w:themeColor="text1"/>
                      <w14:textFill>
                        <w14:solidFill>
                          <w14:schemeClr w14:val="tx1"/>
                        </w14:solidFill>
                      </w14:textFill>
                    </w:rPr>
                    <w:t>说明</w:t>
                  </w:r>
                </w:p>
              </w:tc>
            </w:tr>
            <w:tr w14:paraId="21B6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732" w:type="pct"/>
                  <w:vMerge w:val="restart"/>
                  <w:tcMar>
                    <w:left w:w="0" w:type="dxa"/>
                    <w:right w:w="0" w:type="dxa"/>
                  </w:tcMar>
                  <w:vAlign w:val="center"/>
                </w:tcPr>
                <w:p w14:paraId="4ED173AF">
                  <w:pPr>
                    <w:pStyle w:val="90"/>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788" w:type="pct"/>
                  <w:tcMar>
                    <w:left w:w="0" w:type="dxa"/>
                    <w:right w:w="0" w:type="dxa"/>
                  </w:tcMar>
                  <w:vAlign w:val="center"/>
                </w:tcPr>
                <w:p w14:paraId="1EEA1B37">
                  <w:pPr>
                    <w:pStyle w:val="90"/>
                    <w:rPr>
                      <w:color w:val="000000" w:themeColor="text1"/>
                      <w14:textFill>
                        <w14:solidFill>
                          <w14:schemeClr w14:val="tx1"/>
                        </w14:solidFill>
                      </w14:textFill>
                    </w:rPr>
                  </w:pPr>
                  <w:r>
                    <w:rPr>
                      <w:color w:val="000000" w:themeColor="text1"/>
                      <w14:textFill>
                        <w14:solidFill>
                          <w14:schemeClr w14:val="tx1"/>
                        </w14:solidFill>
                      </w14:textFill>
                    </w:rPr>
                    <w:t>施工期</w:t>
                  </w:r>
                </w:p>
              </w:tc>
              <w:tc>
                <w:tcPr>
                  <w:tcW w:w="693" w:type="pct"/>
                  <w:tcMar>
                    <w:left w:w="0" w:type="dxa"/>
                    <w:right w:w="0" w:type="dxa"/>
                  </w:tcMar>
                  <w:vAlign w:val="center"/>
                </w:tcPr>
                <w:p w14:paraId="03D9A72B">
                  <w:pPr>
                    <w:pStyle w:val="90"/>
                    <w:rPr>
                      <w:color w:val="000000" w:themeColor="text1"/>
                      <w14:textFill>
                        <w14:solidFill>
                          <w14:schemeClr w14:val="tx1"/>
                        </w14:solidFill>
                      </w14:textFill>
                    </w:rPr>
                  </w:pPr>
                  <w:r>
                    <w:rPr>
                      <w:color w:val="000000" w:themeColor="text1"/>
                      <w14:textFill>
                        <w14:solidFill>
                          <w14:schemeClr w14:val="tx1"/>
                        </w14:solidFill>
                      </w14:textFill>
                    </w:rPr>
                    <w:t>70</w:t>
                  </w:r>
                </w:p>
              </w:tc>
              <w:tc>
                <w:tcPr>
                  <w:tcW w:w="497" w:type="pct"/>
                  <w:tcMar>
                    <w:left w:w="0" w:type="dxa"/>
                    <w:right w:w="0" w:type="dxa"/>
                  </w:tcMar>
                  <w:vAlign w:val="center"/>
                </w:tcPr>
                <w:p w14:paraId="159CB900">
                  <w:pPr>
                    <w:pStyle w:val="9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2288" w:type="pct"/>
                  <w:tcMar>
                    <w:left w:w="0" w:type="dxa"/>
                    <w:right w:w="0" w:type="dxa"/>
                  </w:tcMar>
                  <w:vAlign w:val="center"/>
                </w:tcPr>
                <w:p w14:paraId="18370698">
                  <w:pPr>
                    <w:pStyle w:val="90"/>
                    <w:rPr>
                      <w:color w:val="000000" w:themeColor="text1"/>
                      <w14:textFill>
                        <w14:solidFill>
                          <w14:schemeClr w14:val="tx1"/>
                        </w14:solidFill>
                      </w14:textFill>
                    </w:rPr>
                  </w:pPr>
                  <w:r>
                    <w:rPr>
                      <w:color w:val="000000" w:themeColor="text1"/>
                      <w14:textFill>
                        <w14:solidFill>
                          <w14:schemeClr w14:val="tx1"/>
                        </w14:solidFill>
                      </w14:textFill>
                    </w:rPr>
                    <w:t>《建筑施工噪声排放标准》（GB12523-2025）</w:t>
                  </w:r>
                </w:p>
              </w:tc>
            </w:tr>
            <w:tr w14:paraId="41D6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1" w:hRule="atLeast"/>
                <w:jc w:val="center"/>
              </w:trPr>
              <w:tc>
                <w:tcPr>
                  <w:tcW w:w="732" w:type="pct"/>
                  <w:vMerge w:val="continue"/>
                  <w:tcMar>
                    <w:left w:w="0" w:type="dxa"/>
                    <w:right w:w="0" w:type="dxa"/>
                  </w:tcMar>
                  <w:vAlign w:val="center"/>
                </w:tcPr>
                <w:p w14:paraId="50671136">
                  <w:pPr>
                    <w:pStyle w:val="90"/>
                    <w:rPr>
                      <w:color w:val="000000" w:themeColor="text1"/>
                      <w14:textFill>
                        <w14:solidFill>
                          <w14:schemeClr w14:val="tx1"/>
                        </w14:solidFill>
                      </w14:textFill>
                    </w:rPr>
                  </w:pPr>
                </w:p>
              </w:tc>
              <w:tc>
                <w:tcPr>
                  <w:tcW w:w="788" w:type="pct"/>
                  <w:tcMar>
                    <w:left w:w="0" w:type="dxa"/>
                    <w:right w:w="0" w:type="dxa"/>
                  </w:tcMar>
                  <w:vAlign w:val="center"/>
                </w:tcPr>
                <w:p w14:paraId="55522EB0">
                  <w:pPr>
                    <w:pStyle w:val="90"/>
                    <w:rPr>
                      <w:color w:val="000000" w:themeColor="text1"/>
                      <w14:textFill>
                        <w14:solidFill>
                          <w14:schemeClr w14:val="tx1"/>
                        </w14:solidFill>
                      </w14:textFill>
                    </w:rPr>
                  </w:pPr>
                  <w:r>
                    <w:rPr>
                      <w:color w:val="000000" w:themeColor="text1"/>
                      <w14:textFill>
                        <w14:solidFill>
                          <w14:schemeClr w14:val="tx1"/>
                        </w14:solidFill>
                      </w14:textFill>
                    </w:rPr>
                    <w:t>运营期</w:t>
                  </w:r>
                </w:p>
              </w:tc>
              <w:tc>
                <w:tcPr>
                  <w:tcW w:w="693" w:type="pct"/>
                  <w:tcMar>
                    <w:left w:w="0" w:type="dxa"/>
                    <w:right w:w="0" w:type="dxa"/>
                  </w:tcMar>
                  <w:vAlign w:val="center"/>
                </w:tcPr>
                <w:p w14:paraId="395016B0">
                  <w:pPr>
                    <w:pStyle w:val="90"/>
                    <w:rPr>
                      <w:color w:val="000000" w:themeColor="text1"/>
                      <w14:textFill>
                        <w14:solidFill>
                          <w14:schemeClr w14:val="tx1"/>
                        </w14:solidFill>
                      </w14:textFill>
                    </w:rPr>
                  </w:pPr>
                  <w:r>
                    <w:rPr>
                      <w:color w:val="000000" w:themeColor="text1"/>
                      <w14:textFill>
                        <w14:solidFill>
                          <w14:schemeClr w14:val="tx1"/>
                        </w14:solidFill>
                      </w14:textFill>
                    </w:rPr>
                    <w:t>65</w:t>
                  </w:r>
                </w:p>
              </w:tc>
              <w:tc>
                <w:tcPr>
                  <w:tcW w:w="497" w:type="pct"/>
                  <w:tcMar>
                    <w:left w:w="0" w:type="dxa"/>
                    <w:right w:w="0" w:type="dxa"/>
                  </w:tcMar>
                  <w:vAlign w:val="center"/>
                </w:tcPr>
                <w:p w14:paraId="1B4C18BB">
                  <w:pPr>
                    <w:pStyle w:val="9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2288" w:type="pct"/>
                  <w:tcMar>
                    <w:left w:w="0" w:type="dxa"/>
                    <w:right w:w="0" w:type="dxa"/>
                  </w:tcMar>
                  <w:vAlign w:val="center"/>
                </w:tcPr>
                <w:p w14:paraId="4165A218">
                  <w:pPr>
                    <w:pStyle w:val="90"/>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《工业企业厂界环境噪声排放标准》（GB12348-2008）3类标准</w:t>
                  </w:r>
                </w:p>
              </w:tc>
            </w:tr>
          </w:tbl>
          <w:p w14:paraId="12D96944">
            <w:pPr>
              <w:pStyle w:val="3"/>
              <w:rPr>
                <w:rFonts w:cs="Times New Roman"/>
                <w:color w:val="000000" w:themeColor="text1"/>
                <w14:textFill>
                  <w14:solidFill>
                    <w14:schemeClr w14:val="tx1"/>
                  </w14:solidFill>
                </w14:textFill>
              </w:rPr>
            </w:pPr>
            <w:bookmarkStart w:id="129" w:name="_Toc230448045"/>
            <w:r>
              <w:rPr>
                <w:rFonts w:cs="Times New Roman"/>
                <w:color w:val="000000" w:themeColor="text1"/>
                <w14:textFill>
                  <w14:solidFill>
                    <w14:schemeClr w14:val="tx1"/>
                  </w14:solidFill>
                </w14:textFill>
              </w:rPr>
              <w:t>废水排放标准</w:t>
            </w:r>
            <w:bookmarkEnd w:id="129"/>
          </w:p>
          <w:p w14:paraId="5184FD12">
            <w:pPr>
              <w:ind w:firstLine="480"/>
              <w:rPr>
                <w:rStyle w:val="56"/>
                <w:rFonts w:cs="Times New Roman"/>
                <w:color w:val="000000" w:themeColor="text1"/>
                <w:szCs w:val="20"/>
                <w14:textFill>
                  <w14:solidFill>
                    <w14:schemeClr w14:val="tx1"/>
                  </w14:solidFill>
                </w14:textFill>
              </w:rPr>
            </w:pPr>
            <w:r>
              <w:rPr>
                <w:rFonts w:cs="Times New Roman"/>
                <w:color w:val="000000" w:themeColor="text1"/>
                <w:lang w:val="zh-CN"/>
                <w14:textFill>
                  <w14:solidFill>
                    <w14:schemeClr w14:val="tx1"/>
                  </w14:solidFill>
                </w14:textFill>
              </w:rPr>
              <w:t>拟建项目废水主要有</w:t>
            </w:r>
            <w:r>
              <w:rPr>
                <w:rFonts w:cs="Times New Roman"/>
                <w:color w:val="000000" w:themeColor="text1"/>
                <w14:textFill>
                  <w14:solidFill>
                    <w14:schemeClr w14:val="tx1"/>
                  </w14:solidFill>
                </w14:textFill>
              </w:rPr>
              <w:t>设备间接冷却强排水、锅炉排水、煤气管网排水、蒸汽疏放水排水</w:t>
            </w:r>
            <w:r>
              <w:rPr>
                <w:rFonts w:cs="Times New Roman"/>
                <w:color w:val="000000" w:themeColor="text1"/>
                <w:lang w:val="zh-CN"/>
                <w14:textFill>
                  <w14:solidFill>
                    <w14:schemeClr w14:val="tx1"/>
                  </w14:solidFill>
                </w14:textFill>
              </w:rPr>
              <w:t>及生活污水。其中生活污水</w:t>
            </w:r>
            <w:r>
              <w:rPr>
                <w:rFonts w:cs="Times New Roman"/>
                <w:color w:val="000000" w:themeColor="text1"/>
                <w14:textFill>
                  <w14:solidFill>
                    <w14:schemeClr w14:val="tx1"/>
                  </w14:solidFill>
                </w14:textFill>
              </w:rPr>
              <w:t>经预</w:t>
            </w:r>
            <w:r>
              <w:rPr>
                <w:rFonts w:cs="Times New Roman"/>
                <w:color w:val="000000" w:themeColor="text1"/>
                <w:lang w:val="zh-CN"/>
                <w14:textFill>
                  <w14:solidFill>
                    <w14:schemeClr w14:val="tx1"/>
                  </w14:solidFill>
                </w14:textFill>
              </w:rPr>
              <w:t>处理后，与其他</w:t>
            </w:r>
            <w:r>
              <w:rPr>
                <w:rFonts w:cs="Times New Roman"/>
                <w:color w:val="000000" w:themeColor="text1"/>
                <w14:textFill>
                  <w14:solidFill>
                    <w14:schemeClr w14:val="tx1"/>
                  </w14:solidFill>
                </w14:textFill>
              </w:rPr>
              <w:t>生产废水一同排入全厂中央污水处理站进一步处理</w:t>
            </w:r>
            <w:r>
              <w:rPr>
                <w:rFonts w:cs="Times New Roman"/>
                <w:color w:val="000000" w:themeColor="text1"/>
                <w:lang w:val="zh-CN"/>
                <w14:textFill>
                  <w14:solidFill>
                    <w14:schemeClr w14:val="tx1"/>
                  </w14:solidFill>
                </w14:textFill>
              </w:rPr>
              <w:t>；</w:t>
            </w:r>
            <w:r>
              <w:rPr>
                <w:rFonts w:cs="Times New Roman"/>
                <w:color w:val="000000" w:themeColor="text1"/>
                <w14:textFill>
                  <w14:solidFill>
                    <w14:schemeClr w14:val="tx1"/>
                  </w14:solidFill>
                </w14:textFill>
              </w:rPr>
              <w:t>处理后进工业新水管网回用于全厂</w:t>
            </w:r>
            <w:r>
              <w:rPr>
                <w:rFonts w:cs="Times New Roman"/>
                <w:color w:val="000000" w:themeColor="text1"/>
                <w:lang w:val="zh-CN"/>
                <w14:textFill>
                  <w14:solidFill>
                    <w14:schemeClr w14:val="tx1"/>
                  </w14:solidFill>
                </w14:textFill>
              </w:rPr>
              <w:t>。整个项目的废水均不外排。</w:t>
            </w:r>
            <w:r>
              <w:rPr>
                <w:rFonts w:cs="Times New Roman"/>
                <w:color w:val="000000" w:themeColor="text1"/>
                <w14:textFill>
                  <w14:solidFill>
                    <w14:schemeClr w14:val="tx1"/>
                  </w14:solidFill>
                </w14:textFill>
              </w:rPr>
              <w:t>回用水执行《钢铁工业废水治理及回用工程技术规范》（HJ2019-2012）中综合污水处理设施回用水主要水质控制指标，标准值详见下表。</w:t>
            </w:r>
          </w:p>
          <w:p w14:paraId="21C9D618">
            <w:pPr>
              <w:pStyle w:val="351"/>
              <w:spacing w:before="120"/>
              <w:rPr>
                <w:bCs/>
                <w:color w:val="000000" w:themeColor="text1"/>
                <w:kern w:val="0"/>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3.10</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回用水水质</w:t>
            </w:r>
            <w:r>
              <w:rPr>
                <w:bCs/>
                <w:color w:val="000000" w:themeColor="text1"/>
                <w:kern w:val="0"/>
                <w14:textFill>
                  <w14:solidFill>
                    <w14:schemeClr w14:val="tx1"/>
                  </w14:solidFill>
                </w14:textFill>
              </w:rPr>
              <w:t>控制指标</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63"/>
              <w:gridCol w:w="1732"/>
              <w:gridCol w:w="3360"/>
            </w:tblGrid>
            <w:tr w14:paraId="3EF45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78" w:type="pct"/>
                  <w:vAlign w:val="center"/>
                </w:tcPr>
                <w:p w14:paraId="029DC2F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tc>
                <w:tcPr>
                  <w:tcW w:w="1062" w:type="pct"/>
                  <w:vAlign w:val="center"/>
                </w:tcPr>
                <w:p w14:paraId="79D0362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w:t>
                  </w:r>
                </w:p>
              </w:tc>
              <w:tc>
                <w:tcPr>
                  <w:tcW w:w="2060" w:type="pct"/>
                  <w:vAlign w:val="center"/>
                </w:tcPr>
                <w:p w14:paraId="1C1EF69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敞开式循环冷却水系统补充水</w:t>
                  </w:r>
                </w:p>
              </w:tc>
            </w:tr>
            <w:tr w14:paraId="73087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78" w:type="pct"/>
                  <w:vAlign w:val="center"/>
                </w:tcPr>
                <w:p w14:paraId="3A95590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w:t>
                  </w:r>
                </w:p>
              </w:tc>
              <w:tc>
                <w:tcPr>
                  <w:tcW w:w="1062" w:type="pct"/>
                  <w:vAlign w:val="center"/>
                </w:tcPr>
                <w:p w14:paraId="04166E8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060" w:type="pct"/>
                  <w:vAlign w:val="center"/>
                </w:tcPr>
                <w:p w14:paraId="04406FF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6.5~9</w:t>
                  </w:r>
                </w:p>
              </w:tc>
            </w:tr>
            <w:tr w14:paraId="1BEDE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78" w:type="pct"/>
                  <w:vAlign w:val="center"/>
                </w:tcPr>
                <w:p w14:paraId="35A55E6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悬浮物</w:t>
                  </w:r>
                </w:p>
              </w:tc>
              <w:tc>
                <w:tcPr>
                  <w:tcW w:w="1062" w:type="pct"/>
                  <w:vAlign w:val="center"/>
                </w:tcPr>
                <w:p w14:paraId="5E264B0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2060" w:type="pct"/>
                  <w:vAlign w:val="center"/>
                </w:tcPr>
                <w:p w14:paraId="7837BCA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14:paraId="5DEC8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78" w:type="pct"/>
                  <w:vAlign w:val="center"/>
                </w:tcPr>
                <w:p w14:paraId="0CF2A72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w:t>
                  </w:r>
                </w:p>
              </w:tc>
              <w:tc>
                <w:tcPr>
                  <w:tcW w:w="1062" w:type="pct"/>
                  <w:vAlign w:val="center"/>
                </w:tcPr>
                <w:p w14:paraId="659BC41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2060" w:type="pct"/>
                  <w:vAlign w:val="center"/>
                </w:tcPr>
                <w:p w14:paraId="35A67E8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r>
            <w:tr w14:paraId="48D93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78" w:type="pct"/>
                  <w:vAlign w:val="center"/>
                </w:tcPr>
                <w:p w14:paraId="24B105A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w:t>
                  </w:r>
                </w:p>
              </w:tc>
              <w:tc>
                <w:tcPr>
                  <w:tcW w:w="1062" w:type="pct"/>
                  <w:vAlign w:val="center"/>
                </w:tcPr>
                <w:p w14:paraId="1A4699E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2060" w:type="pct"/>
                  <w:vAlign w:val="center"/>
                </w:tcPr>
                <w:p w14:paraId="50B2400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r>
            <w:tr w14:paraId="2B81A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78" w:type="pct"/>
                  <w:vAlign w:val="center"/>
                </w:tcPr>
                <w:p w14:paraId="0401F9A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BOD</w:t>
                  </w:r>
                  <w:r>
                    <w:rPr>
                      <w:rFonts w:cs="Times New Roman"/>
                      <w:color w:val="000000" w:themeColor="text1"/>
                      <w:vertAlign w:val="subscript"/>
                      <w14:textFill>
                        <w14:solidFill>
                          <w14:schemeClr w14:val="tx1"/>
                        </w14:solidFill>
                      </w14:textFill>
                    </w:rPr>
                    <w:t>5</w:t>
                  </w:r>
                </w:p>
              </w:tc>
              <w:tc>
                <w:tcPr>
                  <w:tcW w:w="1062" w:type="pct"/>
                  <w:vAlign w:val="center"/>
                </w:tcPr>
                <w:p w14:paraId="36ABD24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2060" w:type="pct"/>
                  <w:vAlign w:val="center"/>
                </w:tcPr>
                <w:p w14:paraId="071523E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14:paraId="6F361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78" w:type="pct"/>
                  <w:vAlign w:val="center"/>
                </w:tcPr>
                <w:p w14:paraId="76502AA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p>
              </w:tc>
              <w:tc>
                <w:tcPr>
                  <w:tcW w:w="1062" w:type="pct"/>
                  <w:vAlign w:val="center"/>
                </w:tcPr>
                <w:p w14:paraId="70781F0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2060" w:type="pct"/>
                  <w:vAlign w:val="center"/>
                </w:tcPr>
                <w:p w14:paraId="3690B3C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14:paraId="43A0C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78" w:type="pct"/>
                  <w:vAlign w:val="center"/>
                </w:tcPr>
                <w:p w14:paraId="761E80F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总硬度（以CaCO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计）</w:t>
                  </w:r>
                </w:p>
              </w:tc>
              <w:tc>
                <w:tcPr>
                  <w:tcW w:w="1062" w:type="pct"/>
                  <w:vAlign w:val="center"/>
                </w:tcPr>
                <w:p w14:paraId="256011F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2060" w:type="pct"/>
                  <w:vAlign w:val="center"/>
                </w:tcPr>
                <w:p w14:paraId="10B8495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≤300</w:t>
                  </w:r>
                </w:p>
              </w:tc>
            </w:tr>
            <w:tr w14:paraId="577F5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78" w:type="pct"/>
                  <w:vAlign w:val="center"/>
                </w:tcPr>
                <w:p w14:paraId="69E34D6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总溶解性固体</w:t>
                  </w:r>
                </w:p>
              </w:tc>
              <w:tc>
                <w:tcPr>
                  <w:tcW w:w="1062" w:type="pct"/>
                  <w:vAlign w:val="center"/>
                </w:tcPr>
                <w:p w14:paraId="008C4D6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2060" w:type="pct"/>
                  <w:vAlign w:val="center"/>
                </w:tcPr>
                <w:p w14:paraId="34DE9CA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1000</w:t>
                  </w:r>
                </w:p>
              </w:tc>
            </w:tr>
            <w:tr w14:paraId="017A0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78" w:type="pct"/>
                  <w:vAlign w:val="center"/>
                </w:tcPr>
                <w:p w14:paraId="1CA484E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总铁</w:t>
                  </w:r>
                </w:p>
              </w:tc>
              <w:tc>
                <w:tcPr>
                  <w:tcW w:w="1062" w:type="pct"/>
                  <w:vAlign w:val="center"/>
                </w:tcPr>
                <w:p w14:paraId="02B9BCB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2060" w:type="pct"/>
                  <w:vAlign w:val="center"/>
                </w:tcPr>
                <w:p w14:paraId="0FE6668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r>
          </w:tbl>
          <w:p w14:paraId="21034335">
            <w:pPr>
              <w:ind w:firstLine="420"/>
              <w:rPr>
                <w:rFonts w:cs="Times New Roman"/>
                <w:color w:val="000000" w:themeColor="text1"/>
                <w:sz w:val="21"/>
                <w:szCs w:val="20"/>
                <w14:textFill>
                  <w14:solidFill>
                    <w14:schemeClr w14:val="tx1"/>
                  </w14:solidFill>
                </w14:textFill>
              </w:rPr>
            </w:pPr>
          </w:p>
        </w:tc>
      </w:tr>
      <w:tr w14:paraId="3149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14:paraId="191758F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总量</w:t>
            </w:r>
          </w:p>
          <w:p w14:paraId="650909B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控制</w:t>
            </w:r>
          </w:p>
          <w:p w14:paraId="091803A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指标</w:t>
            </w:r>
          </w:p>
        </w:tc>
        <w:tc>
          <w:tcPr>
            <w:tcW w:w="8387" w:type="dxa"/>
            <w:shd w:val="clear" w:color="auto" w:fill="auto"/>
            <w:vAlign w:val="center"/>
          </w:tcPr>
          <w:p w14:paraId="3D3CBD2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拟建项目排污量及宝钢德盛全厂排污情况如下：</w:t>
            </w:r>
          </w:p>
          <w:p w14:paraId="62C7789D">
            <w:pPr>
              <w:pStyle w:val="97"/>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lang w:val="en-US"/>
                <w14:textFill>
                  <w14:solidFill>
                    <w14:schemeClr w14:val="tx1"/>
                  </w14:solidFill>
                </w14:textFill>
              </w:rPr>
              <w:fldChar w:fldCharType="begin"/>
            </w:r>
            <w:r>
              <w:rPr>
                <w:rFonts w:cs="Times New Roman"/>
                <w:color w:val="000000" w:themeColor="text1"/>
                <w:lang w:val="en-US"/>
                <w14:textFill>
                  <w14:solidFill>
                    <w14:schemeClr w14:val="tx1"/>
                  </w14:solidFill>
                </w14:textFill>
              </w:rPr>
              <w:instrText xml:space="preserve"> STYLEREF 2 \s </w:instrText>
            </w:r>
            <w:r>
              <w:rPr>
                <w:rFonts w:cs="Times New Roman"/>
                <w:color w:val="000000" w:themeColor="text1"/>
                <w:lang w:val="en-US"/>
                <w14:textFill>
                  <w14:solidFill>
                    <w14:schemeClr w14:val="tx1"/>
                  </w14:solidFill>
                </w14:textFill>
              </w:rPr>
              <w:fldChar w:fldCharType="separate"/>
            </w:r>
            <w:r>
              <w:rPr>
                <w:rFonts w:cs="Times New Roman"/>
                <w:color w:val="000000" w:themeColor="text1"/>
                <w:lang w:val="en-US"/>
                <w14:textFill>
                  <w14:solidFill>
                    <w14:schemeClr w14:val="tx1"/>
                  </w14:solidFill>
                </w14:textFill>
              </w:rPr>
              <w:t>3.10</w:t>
            </w:r>
            <w:r>
              <w:rPr>
                <w:rFonts w:cs="Times New Roman"/>
                <w:color w:val="000000" w:themeColor="text1"/>
                <w:lang w:val="en-US"/>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拟建项目实施前后全厂废气“三本账”一览表（单位：t/a）</w:t>
            </w:r>
          </w:p>
          <w:p w14:paraId="1D2A4E36">
            <w:pPr>
              <w:pStyle w:val="97"/>
              <w:spacing w:before="120" w:after="120"/>
              <w:rPr>
                <w:rFonts w:cs="Times New Roman"/>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61228A6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、颗粒物和氨排放总量分别为</w:t>
            </w:r>
            <w:r>
              <w:rPr>
                <w:rFonts w:cs="Times New Roman"/>
                <w:color w:val="000000" w:themeColor="text1"/>
                <w:sz w:val="22"/>
                <w:szCs w:val="22"/>
                <w14:textFill>
                  <w14:solidFill>
                    <w14:schemeClr w14:val="tx1"/>
                  </w14:solidFill>
                </w14:textFill>
              </w:rPr>
              <w:t>54.53</w:t>
            </w:r>
            <w:r>
              <w:rPr>
                <w:rFonts w:cs="Times New Roman"/>
                <w:color w:val="000000" w:themeColor="text1"/>
                <w14:textFill>
                  <w14:solidFill>
                    <w14:schemeClr w14:val="tx1"/>
                  </w14:solidFill>
                </w14:textFill>
              </w:rPr>
              <w:t xml:space="preserve"> t/a、</w:t>
            </w:r>
            <w:r>
              <w:rPr>
                <w:rFonts w:cs="Times New Roman"/>
                <w:color w:val="000000" w:themeColor="text1"/>
                <w:sz w:val="22"/>
                <w:szCs w:val="22"/>
                <w14:textFill>
                  <w14:solidFill>
                    <w14:schemeClr w14:val="tx1"/>
                  </w14:solidFill>
                </w14:textFill>
              </w:rPr>
              <w:t>77.9</w:t>
            </w:r>
            <w:r>
              <w:rPr>
                <w:rFonts w:cs="Times New Roman"/>
                <w:color w:val="000000" w:themeColor="text1"/>
                <w14:textFill>
                  <w14:solidFill>
                    <w14:schemeClr w14:val="tx1"/>
                  </w14:solidFill>
                </w14:textFill>
              </w:rPr>
              <w:t xml:space="preserve"> t/a、</w:t>
            </w:r>
            <w:r>
              <w:rPr>
                <w:rFonts w:cs="Times New Roman"/>
                <w:color w:val="000000" w:themeColor="text1"/>
                <w:sz w:val="22"/>
                <w:szCs w:val="22"/>
                <w14:textFill>
                  <w14:solidFill>
                    <w14:schemeClr w14:val="tx1"/>
                  </w14:solidFill>
                </w14:textFill>
              </w:rPr>
              <w:t>7.79</w:t>
            </w:r>
            <w:r>
              <w:rPr>
                <w:rFonts w:cs="Times New Roman"/>
                <w:color w:val="000000" w:themeColor="text1"/>
                <w14:textFill>
                  <w14:solidFill>
                    <w14:schemeClr w14:val="tx1"/>
                  </w14:solidFill>
                </w14:textFill>
              </w:rPr>
              <w:t xml:space="preserve"> t/a、</w:t>
            </w:r>
            <w:r>
              <w:rPr>
                <w:rFonts w:cs="Times New Roman"/>
                <w:color w:val="000000" w:themeColor="text1"/>
                <w:sz w:val="22"/>
                <w:szCs w:val="22"/>
                <w14:textFill>
                  <w14:solidFill>
                    <w14:schemeClr w14:val="tx1"/>
                  </w14:solidFill>
                </w14:textFill>
              </w:rPr>
              <w:t>12.46</w:t>
            </w:r>
            <w:r>
              <w:rPr>
                <w:rFonts w:cs="Times New Roman"/>
                <w:color w:val="000000" w:themeColor="text1"/>
                <w14:textFill>
                  <w14:solidFill>
                    <w14:schemeClr w14:val="tx1"/>
                  </w14:solidFill>
                </w14:textFill>
              </w:rPr>
              <w:t xml:space="preserve"> t/a；宝钢德盛实施超低排放改造后排污总量全面削减，拟建项目为余能利用项目，建成后全厂排污符合《福州市钢铁产业转型升级布局规划》等规划及规划环评中钢铁产业污染物排放总量未突破的要求。</w:t>
            </w:r>
          </w:p>
          <w:p w14:paraId="46AEC1A5">
            <w:pPr>
              <w:ind w:firstLine="480"/>
              <w:rPr>
                <w:rFonts w:cs="Times New Roman"/>
                <w:color w:val="000000" w:themeColor="text1"/>
                <w:szCs w:val="21"/>
                <w14:textFill>
                  <w14:solidFill>
                    <w14:schemeClr w14:val="tx1"/>
                  </w14:solidFill>
                </w14:textFill>
              </w:rPr>
            </w:pPr>
            <w:r>
              <w:rPr>
                <w:rFonts w:cs="Times New Roman"/>
                <w:color w:val="000000" w:themeColor="text1"/>
                <w14:textFill>
                  <w14:solidFill>
                    <w14:schemeClr w14:val="tx1"/>
                  </w14:solidFill>
                </w14:textFill>
              </w:rPr>
              <w:t>。</w:t>
            </w:r>
          </w:p>
        </w:tc>
      </w:tr>
    </w:tbl>
    <w:p w14:paraId="50C3AE63">
      <w:pPr>
        <w:ind w:firstLine="480"/>
        <w:rPr>
          <w:rFonts w:cs="Times New Roman"/>
          <w:color w:val="000000" w:themeColor="text1"/>
          <w14:textFill>
            <w14:solidFill>
              <w14:schemeClr w14:val="tx1"/>
            </w14:solidFill>
          </w14:textFill>
        </w:rPr>
        <w:sectPr>
          <w:pgSz w:w="11907" w:h="16840"/>
          <w:pgMar w:top="1701" w:right="1531" w:bottom="2127" w:left="1531" w:header="851" w:footer="851" w:gutter="0"/>
          <w:cols w:space="720" w:num="1"/>
          <w:docGrid w:linePitch="312" w:charSpace="0"/>
        </w:sectPr>
      </w:pPr>
    </w:p>
    <w:p w14:paraId="0CBE3804">
      <w:pPr>
        <w:pStyle w:val="2"/>
        <w:rPr>
          <w:rFonts w:cs="Times New Roman"/>
          <w:snapToGrid w:val="0"/>
          <w:color w:val="000000" w:themeColor="text1"/>
          <w14:textFill>
            <w14:solidFill>
              <w14:schemeClr w14:val="tx1"/>
            </w14:solidFill>
          </w14:textFill>
        </w:rPr>
      </w:pPr>
      <w:bookmarkStart w:id="130" w:name="_Toc1894333470"/>
      <w:bookmarkStart w:id="131" w:name="_Toc230448046"/>
      <w:r>
        <w:rPr>
          <w:rFonts w:cs="Times New Roman"/>
          <w:color w:val="000000" w:themeColor="text1"/>
          <w14:textFill>
            <w14:solidFill>
              <w14:schemeClr w14:val="tx1"/>
            </w14:solidFill>
          </w14:textFill>
        </w:rPr>
        <w:t>（</w:t>
      </w:r>
      <w:r>
        <w:rPr>
          <w:rFonts w:cs="Times New Roman"/>
          <w:snapToGrid w:val="0"/>
          <w:color w:val="000000" w:themeColor="text1"/>
          <w14:textFill>
            <w14:solidFill>
              <w14:schemeClr w14:val="tx1"/>
            </w14:solidFill>
          </w14:textFill>
        </w:rPr>
        <w:t>四</w:t>
      </w:r>
      <w:r>
        <w:rPr>
          <w:rFonts w:cs="Times New Roman"/>
          <w:color w:val="000000" w:themeColor="text1"/>
          <w14:textFill>
            <w14:solidFill>
              <w14:schemeClr w14:val="tx1"/>
            </w14:solidFill>
          </w14:textFill>
        </w:rPr>
        <w:t>）</w:t>
      </w:r>
      <w:r>
        <w:rPr>
          <w:rFonts w:cs="Times New Roman"/>
          <w:snapToGrid w:val="0"/>
          <w:color w:val="000000" w:themeColor="text1"/>
          <w14:textFill>
            <w14:solidFill>
              <w14:schemeClr w14:val="tx1"/>
            </w14:solidFill>
          </w14:textFill>
        </w:rPr>
        <w:t>主要环境影响和保护措施</w:t>
      </w:r>
      <w:bookmarkEnd w:id="130"/>
      <w:bookmarkEnd w:id="131"/>
    </w:p>
    <w:tbl>
      <w:tblPr>
        <w:tblStyle w:val="4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2"/>
        <w:gridCol w:w="8739"/>
      </w:tblGrid>
      <w:tr w14:paraId="7D9E5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6" w:hRule="atLeast"/>
          <w:jc w:val="center"/>
        </w:trPr>
        <w:tc>
          <w:tcPr>
            <w:tcW w:w="242" w:type="dxa"/>
            <w:tcMar>
              <w:left w:w="28" w:type="dxa"/>
              <w:right w:w="28" w:type="dxa"/>
            </w:tcMar>
            <w:vAlign w:val="center"/>
          </w:tcPr>
          <w:p w14:paraId="4D9F77B2">
            <w:pPr>
              <w:pStyle w:val="90"/>
              <w:rPr>
                <w:color w:val="000000" w:themeColor="text1"/>
                <w14:textFill>
                  <w14:solidFill>
                    <w14:schemeClr w14:val="tx1"/>
                  </w14:solidFill>
                </w14:textFill>
              </w:rPr>
            </w:pPr>
            <w:r>
              <w:rPr>
                <w:color w:val="000000" w:themeColor="text1"/>
                <w14:textFill>
                  <w14:solidFill>
                    <w14:schemeClr w14:val="tx1"/>
                  </w14:solidFill>
                </w14:textFill>
              </w:rPr>
              <w:t>施工</w:t>
            </w:r>
          </w:p>
          <w:p w14:paraId="41B3971F">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期环</w:t>
            </w:r>
          </w:p>
          <w:p w14:paraId="550707CB">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境保</w:t>
            </w:r>
          </w:p>
          <w:p w14:paraId="365A5C55">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护措</w:t>
            </w:r>
          </w:p>
          <w:p w14:paraId="6E71CDC5">
            <w:pPr>
              <w:pStyle w:val="90"/>
              <w:rPr>
                <w:bCs/>
                <w:color w:val="000000" w:themeColor="text1"/>
                <w:szCs w:val="21"/>
                <w14:textFill>
                  <w14:solidFill>
                    <w14:schemeClr w14:val="tx1"/>
                  </w14:solidFill>
                </w14:textFill>
              </w:rPr>
            </w:pPr>
            <w:r>
              <w:rPr>
                <w:color w:val="000000" w:themeColor="text1"/>
                <w:szCs w:val="21"/>
                <w14:textFill>
                  <w14:solidFill>
                    <w14:schemeClr w14:val="tx1"/>
                  </w14:solidFill>
                </w14:textFill>
              </w:rPr>
              <w:t>施</w:t>
            </w:r>
          </w:p>
        </w:tc>
        <w:tc>
          <w:tcPr>
            <w:tcW w:w="8739" w:type="dxa"/>
            <w:vAlign w:val="center"/>
          </w:tcPr>
          <w:p w14:paraId="782306B8">
            <w:pPr>
              <w:pStyle w:val="3"/>
              <w:rPr>
                <w:rFonts w:cs="Times New Roman"/>
                <w:color w:val="000000" w:themeColor="text1"/>
                <w14:textFill>
                  <w14:solidFill>
                    <w14:schemeClr w14:val="tx1"/>
                  </w14:solidFill>
                </w14:textFill>
              </w:rPr>
            </w:pPr>
            <w:bookmarkStart w:id="132" w:name="_Toc22768"/>
            <w:bookmarkStart w:id="133" w:name="_Toc230448047"/>
            <w:bookmarkStart w:id="134" w:name="_Toc508127264"/>
            <w:r>
              <w:rPr>
                <w:rFonts w:cs="Times New Roman"/>
                <w:color w:val="000000" w:themeColor="text1"/>
                <w14:textFill>
                  <w14:solidFill>
                    <w14:schemeClr w14:val="tx1"/>
                  </w14:solidFill>
                </w14:textFill>
              </w:rPr>
              <w:t>废气影响分析</w:t>
            </w:r>
            <w:bookmarkEnd w:id="132"/>
            <w:r>
              <w:rPr>
                <w:rFonts w:cs="Times New Roman"/>
                <w:color w:val="000000" w:themeColor="text1"/>
                <w14:textFill>
                  <w14:solidFill>
                    <w14:schemeClr w14:val="tx1"/>
                  </w14:solidFill>
                </w14:textFill>
              </w:rPr>
              <w:t>及污染防治措施</w:t>
            </w:r>
            <w:bookmarkEnd w:id="133"/>
            <w:bookmarkEnd w:id="134"/>
          </w:p>
          <w:p w14:paraId="6F0F8B6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施工期大气污染物主要来源于施工扬尘与机械燃油废气。扬尘主要来自于以下几类：施工场地平整扬尘，运输车辆所产生的道路扬尘，施工物料和固体废物的装卸、堆积等产生的扬尘。废气来自施工机械的排放，施工机械多属于重型机械，施工强度大，且燃油量较大，伴随燃料燃烧，产生CO、N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、烃类等有害气体，从而使得施工作业面的大气环境质量降低，经过踏勘该工程所处的地理环境，施工作业扬尘与道路扬尘是施工期最主要的大气污染源。</w:t>
            </w:r>
          </w:p>
          <w:p w14:paraId="4D2B0B12">
            <w:pPr>
              <w:kinsoku w:val="0"/>
              <w:overflowPunct w:val="0"/>
              <w:autoSpaceDE w:val="0"/>
              <w:autoSpaceDN w:val="0"/>
              <w:adjustRightIn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施工工地临海，受海陆风气象影响，风速较大，填方沙土极易随风扩散。在汽车经过时，扬尘影响也较为明显。由于扬尘颗粒的重力沉降作用，其污染影响范围和程度随着距离的不同而有所差异，在扬尘点下风向0～50m为较重污染带，50～100m为污染带，100～200m为轻污染带，200m以外对大气影响甚微。扬尘经过大气扩散运输对周围环境空气产生污染影响，增加空气的浑浊度，特别是使环境空气中的可吸性颗粒物浓度增加，经过人呼吸系统进入人的肺部，从而影响人的身体健康。</w:t>
            </w:r>
          </w:p>
          <w:p w14:paraId="67E5962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为了减轻施工过程中的大气环境影响，要求建设方在施工过程中采取如下的措施：</w:t>
            </w:r>
          </w:p>
          <w:p w14:paraId="22E78D2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①建设单位应加强施工期的环境管理，与施工单位签订施工期环境管理合同，合理安排施工工序，按有关环保措施要求进行施工。</w:t>
            </w:r>
          </w:p>
          <w:p w14:paraId="1A57586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②运送石料、水泥等的卡车不得超载，石料装料高度不得高于车厢边缘高度，并采用加盖篷布和洒水的方法，以防止石料泄漏，增加道路路面土石扬尘。</w:t>
            </w:r>
          </w:p>
          <w:p w14:paraId="08D4488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③在本项目施工场地设置临时施工建筑材料仓库，用于水泥等起尘材料的存放，并尽量使用商品混凝土，以减小水泥粉尘污染。</w:t>
            </w:r>
          </w:p>
          <w:p w14:paraId="348C60B5">
            <w:pPr>
              <w:kinsoku w:val="0"/>
              <w:overflowPunct w:val="0"/>
              <w:autoSpaceDE w:val="0"/>
              <w:autoSpaceDN w:val="0"/>
              <w:adjustRightIn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④施工道路要定时清扫和喷洒水，以减少汽车行驶扰动起来的扬尘。</w:t>
            </w:r>
          </w:p>
          <w:p w14:paraId="3FFCB3E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⑤完善施工工地的路网，尽可能铺设夯实的水泥路面，可降低重型机械设备运行耗油，减少车辆尾气污染物排放量。</w:t>
            </w:r>
          </w:p>
          <w:p w14:paraId="2BD27DC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⑥施工场界应设围墙，可减小施工对周边环境空气质量的污染影响，同时可改善工地景观。</w:t>
            </w:r>
          </w:p>
          <w:p w14:paraId="7C9F03DD">
            <w:pPr>
              <w:pStyle w:val="3"/>
              <w:rPr>
                <w:rFonts w:cs="Times New Roman"/>
                <w:color w:val="000000" w:themeColor="text1"/>
                <w14:textFill>
                  <w14:solidFill>
                    <w14:schemeClr w14:val="tx1"/>
                  </w14:solidFill>
                </w14:textFill>
              </w:rPr>
            </w:pPr>
            <w:bookmarkStart w:id="135" w:name="_Toc31115"/>
            <w:bookmarkStart w:id="136" w:name="_Toc230448048"/>
            <w:bookmarkStart w:id="137" w:name="_Toc548573984"/>
            <w:r>
              <w:rPr>
                <w:rFonts w:cs="Times New Roman"/>
                <w:color w:val="000000" w:themeColor="text1"/>
                <w14:textFill>
                  <w14:solidFill>
                    <w14:schemeClr w14:val="tx1"/>
                  </w14:solidFill>
                </w14:textFill>
              </w:rPr>
              <w:t>废水影响分析</w:t>
            </w:r>
            <w:bookmarkEnd w:id="135"/>
            <w:r>
              <w:rPr>
                <w:rFonts w:cs="Times New Roman"/>
                <w:color w:val="000000" w:themeColor="text1"/>
                <w14:textFill>
                  <w14:solidFill>
                    <w14:schemeClr w14:val="tx1"/>
                  </w14:solidFill>
                </w14:textFill>
              </w:rPr>
              <w:t>及污染防治措施</w:t>
            </w:r>
            <w:bookmarkEnd w:id="136"/>
            <w:bookmarkEnd w:id="137"/>
          </w:p>
          <w:p w14:paraId="0171F0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施工过程废水来源于两部分：一是场址建筑施工产生的废水，这部分废水含泥沙等悬浮物很高，一般呈碱性，部分废水还带有少量的油污。二是场地施工人员的生活污水，主要含CODcr、BOD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-N、SS等污染物质。</w:t>
            </w:r>
          </w:p>
          <w:p w14:paraId="009013D1">
            <w:pPr>
              <w:pStyle w:val="4"/>
              <w:rPr>
                <w:rFonts w:cs="Times New Roman"/>
                <w:color w:val="000000" w:themeColor="text1"/>
                <w14:textFill>
                  <w14:solidFill>
                    <w14:schemeClr w14:val="tx1"/>
                  </w14:solidFill>
                </w14:textFill>
              </w:rPr>
            </w:pPr>
            <w:bookmarkStart w:id="138" w:name="_Toc12680"/>
            <w:r>
              <w:rPr>
                <w:rFonts w:cs="Times New Roman"/>
                <w:color w:val="000000" w:themeColor="text1"/>
                <w14:textFill>
                  <w14:solidFill>
                    <w14:schemeClr w14:val="tx1"/>
                  </w14:solidFill>
                </w14:textFill>
              </w:rPr>
              <w:t>施工废水</w:t>
            </w:r>
            <w:bookmarkEnd w:id="138"/>
          </w:p>
          <w:p w14:paraId="316DD9E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施工废水主要包括施工生产废水和机械、车辆冲洗废水。根据项目特点，经类比分析，预计施工废水排放量为10m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/天。</w:t>
            </w:r>
          </w:p>
          <w:p w14:paraId="057E9D2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过程中的生产废水主要来源于机械的冲刷、楼地及墙面的冲洗、构件与建筑材料的保潮、墙体的浸润、材料的洗刷以及桩基础施工中排出的泥浆等。生产废水中的主要污染物为SS。根据现有工程建设经验，施工方均设有沉淀池，将施工废水沉淀处理后回用，没有外排施工生产废水。</w:t>
            </w:r>
          </w:p>
          <w:p w14:paraId="1286B0C6">
            <w:pPr>
              <w:pStyle w:val="4"/>
              <w:rPr>
                <w:rFonts w:cs="Times New Roman"/>
                <w:color w:val="000000" w:themeColor="text1"/>
                <w14:textFill>
                  <w14:solidFill>
                    <w14:schemeClr w14:val="tx1"/>
                  </w14:solidFill>
                </w14:textFill>
              </w:rPr>
            </w:pPr>
            <w:bookmarkStart w:id="139" w:name="_Toc13715"/>
            <w:r>
              <w:rPr>
                <w:rFonts w:cs="Times New Roman"/>
                <w:color w:val="000000" w:themeColor="text1"/>
                <w14:textFill>
                  <w14:solidFill>
                    <w14:schemeClr w14:val="tx1"/>
                  </w14:solidFill>
                </w14:textFill>
              </w:rPr>
              <w:t>生活废水</w:t>
            </w:r>
            <w:bookmarkEnd w:id="139"/>
          </w:p>
          <w:p w14:paraId="76681000">
            <w:pPr>
              <w:kinsoku w:val="0"/>
              <w:overflowPunct w:val="0"/>
              <w:autoSpaceDE w:val="0"/>
              <w:autoSpaceDN w:val="0"/>
              <w:adjustRightInd w:val="0"/>
              <w:ind w:left="228" w:right="241"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施工高峰期施工人员约40人，根据《建筑给水排水设计规范》（GB50015-2010），工人生活污水排放按0.15立方米/人·天计算，日产生活污水约6m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/d，以排放系数0.8计，排放量约为4.8m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/d，生活污水中主要含COD</w:t>
            </w:r>
            <w:r>
              <w:rPr>
                <w:rFonts w:cs="Times New Roman"/>
                <w:color w:val="000000" w:themeColor="text1"/>
                <w:vertAlign w:val="subscript"/>
                <w14:textFill>
                  <w14:solidFill>
                    <w14:schemeClr w14:val="tx1"/>
                  </w14:solidFill>
                </w14:textFill>
              </w:rPr>
              <w:t>Cr</w:t>
            </w:r>
            <w:r>
              <w:rPr>
                <w:rFonts w:cs="Times New Roman"/>
                <w:color w:val="000000" w:themeColor="text1"/>
                <w14:textFill>
                  <w14:solidFill>
                    <w14:schemeClr w14:val="tx1"/>
                  </w14:solidFill>
                </w14:textFill>
              </w:rPr>
              <w:t>、BOD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-N、SS等；现场施工人员施工过程用、排水依托宝钢德盛现有设施，因此其生活污水经企业现有一体化生活污水处理设施处理后排入厂区中央污水处理站处理回用。施工期生活废水排放情况见下表。</w:t>
            </w:r>
          </w:p>
          <w:p w14:paraId="0D88359A">
            <w:pPr>
              <w:pStyle w:val="351"/>
              <w:spacing w:before="120"/>
              <w:rPr>
                <w:color w:val="000000" w:themeColor="text1"/>
                <w:szCs w:val="22"/>
                <w:lang w:val="zh-CN"/>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szCs w:val="22"/>
                <w:lang w:val="zh-CN"/>
                <w14:textFill>
                  <w14:solidFill>
                    <w14:schemeClr w14:val="tx1"/>
                  </w14:solidFill>
                </w14:textFill>
              </w:rPr>
              <w:t>施工期生活废水排放情况</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9"/>
              <w:gridCol w:w="1705"/>
              <w:gridCol w:w="1325"/>
              <w:gridCol w:w="1058"/>
              <w:gridCol w:w="1191"/>
              <w:gridCol w:w="1060"/>
              <w:gridCol w:w="1099"/>
            </w:tblGrid>
            <w:tr w14:paraId="78D56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1630" w:type="pct"/>
                  <w:gridSpan w:val="2"/>
                  <w:vAlign w:val="center"/>
                </w:tcPr>
                <w:p w14:paraId="47C8A09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废水性质</w:t>
                  </w:r>
                </w:p>
              </w:tc>
              <w:tc>
                <w:tcPr>
                  <w:tcW w:w="779" w:type="pct"/>
                  <w:vAlign w:val="center"/>
                </w:tcPr>
                <w:p w14:paraId="7F45C50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废水量m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p>
              </w:tc>
              <w:tc>
                <w:tcPr>
                  <w:tcW w:w="622" w:type="pct"/>
                  <w:vAlign w:val="center"/>
                </w:tcPr>
                <w:p w14:paraId="6AB44AE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w:t>
                  </w:r>
                </w:p>
              </w:tc>
              <w:tc>
                <w:tcPr>
                  <w:tcW w:w="700" w:type="pct"/>
                  <w:vAlign w:val="center"/>
                </w:tcPr>
                <w:p w14:paraId="31C5F24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BOD</w:t>
                  </w:r>
                  <w:r>
                    <w:rPr>
                      <w:rFonts w:cs="Times New Roman"/>
                      <w:color w:val="000000" w:themeColor="text1"/>
                      <w:vertAlign w:val="subscript"/>
                      <w14:textFill>
                        <w14:solidFill>
                          <w14:schemeClr w14:val="tx1"/>
                        </w14:solidFill>
                      </w14:textFill>
                    </w:rPr>
                    <w:t>5</w:t>
                  </w:r>
                </w:p>
              </w:tc>
              <w:tc>
                <w:tcPr>
                  <w:tcW w:w="623" w:type="pct"/>
                  <w:vAlign w:val="center"/>
                </w:tcPr>
                <w:p w14:paraId="6A9BA1E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SS</w:t>
                  </w:r>
                </w:p>
              </w:tc>
              <w:tc>
                <w:tcPr>
                  <w:tcW w:w="646" w:type="pct"/>
                  <w:vAlign w:val="center"/>
                </w:tcPr>
                <w:p w14:paraId="41BA63A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p>
              </w:tc>
            </w:tr>
            <w:tr w14:paraId="2E639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28" w:type="pct"/>
                  <w:vMerge w:val="restart"/>
                  <w:vAlign w:val="center"/>
                </w:tcPr>
                <w:p w14:paraId="544623B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处理前</w:t>
                  </w:r>
                </w:p>
              </w:tc>
              <w:tc>
                <w:tcPr>
                  <w:tcW w:w="1002" w:type="pct"/>
                  <w:vAlign w:val="center"/>
                </w:tcPr>
                <w:p w14:paraId="3D456B2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浓度(mg/L)</w:t>
                  </w:r>
                </w:p>
              </w:tc>
              <w:tc>
                <w:tcPr>
                  <w:tcW w:w="779" w:type="pct"/>
                  <w:vAlign w:val="center"/>
                </w:tcPr>
                <w:p w14:paraId="63A340A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22" w:type="pct"/>
                  <w:vAlign w:val="center"/>
                </w:tcPr>
                <w:p w14:paraId="378BC65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700" w:type="pct"/>
                  <w:vAlign w:val="center"/>
                </w:tcPr>
                <w:p w14:paraId="02655681">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623" w:type="pct"/>
                  <w:vAlign w:val="center"/>
                </w:tcPr>
                <w:p w14:paraId="2F5EEFBD">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220</w:t>
                  </w:r>
                </w:p>
              </w:tc>
              <w:tc>
                <w:tcPr>
                  <w:tcW w:w="646" w:type="pct"/>
                  <w:vAlign w:val="center"/>
                </w:tcPr>
                <w:p w14:paraId="04F20E3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35</w:t>
                  </w:r>
                </w:p>
              </w:tc>
            </w:tr>
            <w:tr w14:paraId="65F7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628" w:type="pct"/>
                  <w:vMerge w:val="continue"/>
                  <w:vAlign w:val="center"/>
                </w:tcPr>
                <w:p w14:paraId="44A68731">
                  <w:pPr>
                    <w:pStyle w:val="138"/>
                    <w:rPr>
                      <w:rFonts w:cs="Times New Roman"/>
                      <w:color w:val="000000" w:themeColor="text1"/>
                      <w14:textFill>
                        <w14:solidFill>
                          <w14:schemeClr w14:val="tx1"/>
                        </w14:solidFill>
                      </w14:textFill>
                    </w:rPr>
                  </w:pPr>
                </w:p>
              </w:tc>
              <w:tc>
                <w:tcPr>
                  <w:tcW w:w="1002" w:type="pct"/>
                  <w:vAlign w:val="center"/>
                </w:tcPr>
                <w:p w14:paraId="6A47877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产生量(kg/d)</w:t>
                  </w:r>
                </w:p>
              </w:tc>
              <w:tc>
                <w:tcPr>
                  <w:tcW w:w="779" w:type="pct"/>
                  <w:vAlign w:val="center"/>
                </w:tcPr>
                <w:p w14:paraId="34C3098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4.8</w:t>
                  </w:r>
                </w:p>
              </w:tc>
              <w:tc>
                <w:tcPr>
                  <w:tcW w:w="1056" w:type="dxa"/>
                  <w:vAlign w:val="center"/>
                </w:tcPr>
                <w:p w14:paraId="3EFA0BF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 xml:space="preserve">1.92 </w:t>
                  </w:r>
                </w:p>
              </w:tc>
              <w:tc>
                <w:tcPr>
                  <w:tcW w:w="1188" w:type="dxa"/>
                  <w:vAlign w:val="center"/>
                </w:tcPr>
                <w:p w14:paraId="6B1906F7">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 xml:space="preserve">0.96 </w:t>
                  </w:r>
                </w:p>
              </w:tc>
              <w:tc>
                <w:tcPr>
                  <w:tcW w:w="1057" w:type="dxa"/>
                  <w:vAlign w:val="center"/>
                </w:tcPr>
                <w:p w14:paraId="346EA5F5">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 xml:space="preserve">1.06 </w:t>
                  </w:r>
                </w:p>
              </w:tc>
              <w:tc>
                <w:tcPr>
                  <w:tcW w:w="1096" w:type="dxa"/>
                  <w:vAlign w:val="center"/>
                </w:tcPr>
                <w:p w14:paraId="46DBC7F8">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 xml:space="preserve">0.17 </w:t>
                  </w:r>
                </w:p>
              </w:tc>
            </w:tr>
            <w:tr w14:paraId="6CC46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628" w:type="pct"/>
                  <w:vMerge w:val="restart"/>
                  <w:vAlign w:val="center"/>
                </w:tcPr>
                <w:p w14:paraId="5E94BB8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处理后</w:t>
                  </w:r>
                </w:p>
              </w:tc>
              <w:tc>
                <w:tcPr>
                  <w:tcW w:w="1002" w:type="pct"/>
                  <w:vAlign w:val="center"/>
                </w:tcPr>
                <w:p w14:paraId="7B8A4D0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浓度(mg/L)</w:t>
                  </w:r>
                </w:p>
              </w:tc>
              <w:tc>
                <w:tcPr>
                  <w:tcW w:w="779" w:type="pct"/>
                  <w:vAlign w:val="center"/>
                </w:tcPr>
                <w:p w14:paraId="3305745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22" w:type="pct"/>
                  <w:vAlign w:val="center"/>
                </w:tcPr>
                <w:p w14:paraId="2F8DB8C2">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700" w:type="pct"/>
                  <w:vAlign w:val="center"/>
                </w:tcPr>
                <w:p w14:paraId="5818696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20</w:t>
                  </w:r>
                </w:p>
              </w:tc>
              <w:tc>
                <w:tcPr>
                  <w:tcW w:w="623" w:type="pct"/>
                  <w:vAlign w:val="center"/>
                </w:tcPr>
                <w:p w14:paraId="7AC0CFE6">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70</w:t>
                  </w:r>
                </w:p>
              </w:tc>
              <w:tc>
                <w:tcPr>
                  <w:tcW w:w="646" w:type="pct"/>
                  <w:vAlign w:val="center"/>
                </w:tcPr>
                <w:p w14:paraId="4DE1FC90">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15</w:t>
                  </w:r>
                </w:p>
              </w:tc>
            </w:tr>
            <w:tr w14:paraId="5FD03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628" w:type="pct"/>
                  <w:vMerge w:val="continue"/>
                  <w:vAlign w:val="center"/>
                </w:tcPr>
                <w:p w14:paraId="7D00D666">
                  <w:pPr>
                    <w:pStyle w:val="138"/>
                    <w:rPr>
                      <w:rFonts w:cs="Times New Roman"/>
                      <w:color w:val="000000" w:themeColor="text1"/>
                      <w14:textFill>
                        <w14:solidFill>
                          <w14:schemeClr w14:val="tx1"/>
                        </w14:solidFill>
                      </w14:textFill>
                    </w:rPr>
                  </w:pPr>
                </w:p>
              </w:tc>
              <w:tc>
                <w:tcPr>
                  <w:tcW w:w="1002" w:type="pct"/>
                  <w:vAlign w:val="center"/>
                </w:tcPr>
                <w:p w14:paraId="65A5DAF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排放量(kg/d)</w:t>
                  </w:r>
                </w:p>
              </w:tc>
              <w:tc>
                <w:tcPr>
                  <w:tcW w:w="779" w:type="pct"/>
                  <w:vAlign w:val="center"/>
                </w:tcPr>
                <w:p w14:paraId="2450A4F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4.8</w:t>
                  </w:r>
                </w:p>
              </w:tc>
              <w:tc>
                <w:tcPr>
                  <w:tcW w:w="1056" w:type="dxa"/>
                  <w:vAlign w:val="center"/>
                </w:tcPr>
                <w:p w14:paraId="1D58D64E">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 xml:space="preserve">0.48 </w:t>
                  </w:r>
                </w:p>
              </w:tc>
              <w:tc>
                <w:tcPr>
                  <w:tcW w:w="1188" w:type="dxa"/>
                  <w:vAlign w:val="center"/>
                </w:tcPr>
                <w:p w14:paraId="69A17544">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 xml:space="preserve">0.10 </w:t>
                  </w:r>
                </w:p>
              </w:tc>
              <w:tc>
                <w:tcPr>
                  <w:tcW w:w="1057" w:type="dxa"/>
                  <w:vAlign w:val="center"/>
                </w:tcPr>
                <w:p w14:paraId="3E6AD64E">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 xml:space="preserve">0.34 </w:t>
                  </w:r>
                </w:p>
              </w:tc>
              <w:tc>
                <w:tcPr>
                  <w:tcW w:w="1096" w:type="dxa"/>
                  <w:vAlign w:val="center"/>
                </w:tcPr>
                <w:p w14:paraId="30F331AC">
                  <w:pPr>
                    <w:pStyle w:val="144"/>
                    <w:spacing w:before="24"/>
                    <w:rPr>
                      <w:color w:val="000000" w:themeColor="text1"/>
                      <w14:textFill>
                        <w14:solidFill>
                          <w14:schemeClr w14:val="tx1"/>
                        </w14:solidFill>
                      </w14:textFill>
                    </w:rPr>
                  </w:pPr>
                  <w:r>
                    <w:rPr>
                      <w:color w:val="000000" w:themeColor="text1"/>
                      <w14:textFill>
                        <w14:solidFill>
                          <w14:schemeClr w14:val="tx1"/>
                        </w14:solidFill>
                      </w14:textFill>
                    </w:rPr>
                    <w:t xml:space="preserve">0.07 </w:t>
                  </w:r>
                </w:p>
              </w:tc>
            </w:tr>
          </w:tbl>
          <w:p w14:paraId="4BDAD97B">
            <w:pPr>
              <w:pStyle w:val="3"/>
              <w:rPr>
                <w:rFonts w:cs="Times New Roman"/>
                <w:color w:val="000000" w:themeColor="text1"/>
                <w14:textFill>
                  <w14:solidFill>
                    <w14:schemeClr w14:val="tx1"/>
                  </w14:solidFill>
                </w14:textFill>
              </w:rPr>
            </w:pPr>
            <w:bookmarkStart w:id="140" w:name="_Toc31007"/>
            <w:bookmarkStart w:id="141" w:name="_Toc230448049"/>
            <w:bookmarkStart w:id="142" w:name="_Toc1587917417"/>
            <w:r>
              <w:rPr>
                <w:rFonts w:cs="Times New Roman"/>
                <w:color w:val="000000" w:themeColor="text1"/>
                <w14:textFill>
                  <w14:solidFill>
                    <w14:schemeClr w14:val="tx1"/>
                  </w14:solidFill>
                </w14:textFill>
              </w:rPr>
              <w:t>噪声影响分析</w:t>
            </w:r>
            <w:bookmarkEnd w:id="140"/>
            <w:r>
              <w:rPr>
                <w:rFonts w:cs="Times New Roman"/>
                <w:color w:val="000000" w:themeColor="text1"/>
                <w14:textFill>
                  <w14:solidFill>
                    <w14:schemeClr w14:val="tx1"/>
                  </w14:solidFill>
                </w14:textFill>
              </w:rPr>
              <w:t>及污染防治措施</w:t>
            </w:r>
            <w:bookmarkEnd w:id="141"/>
            <w:bookmarkEnd w:id="142"/>
          </w:p>
          <w:p w14:paraId="351844D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拟建项目施工期的噪声主要来自挖掘机、起重机、搅拌机、振捣棒等机械设备及汽车运输噪声等，这些施工机械均为高噪声源，其等效噪声级可高达70~90 dB。在建筑施工中，除搅拌机位置相对固定以外，大部分声源设备随着施工位置的改变在施工区域内和建筑楼层最高高度以下移动；挖掘机在大部分时间内为持续工作，搅拌机既有连续运转也有时开时停，混凝土振捣器、冲击钻的持续开机时间大部分在5min以下，电锯、切割机通常为瞬间噪声。类比多个工地的声源噪声情况，将施工设备视为点声源计算各施工阶段各声源经过衰减，不同距离测点的连续等效A声级测定结果详见下表。</w:t>
            </w:r>
          </w:p>
          <w:p w14:paraId="6DF488EA">
            <w:pPr>
              <w:pStyle w:val="98"/>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建筑施工机械设备噪声监测数据</w:t>
            </w:r>
          </w:p>
          <w:tbl>
            <w:tblPr>
              <w:tblStyle w:val="46"/>
              <w:tblW w:w="7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475"/>
              <w:gridCol w:w="643"/>
              <w:gridCol w:w="784"/>
              <w:gridCol w:w="784"/>
              <w:gridCol w:w="784"/>
              <w:gridCol w:w="784"/>
              <w:gridCol w:w="784"/>
              <w:gridCol w:w="932"/>
            </w:tblGrid>
            <w:tr w14:paraId="7C3D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96" w:type="dxa"/>
                  <w:vMerge w:val="restart"/>
                  <w:vAlign w:val="center"/>
                </w:tcPr>
                <w:p w14:paraId="1B29523D">
                  <w:pPr>
                    <w:pStyle w:val="90"/>
                    <w:rPr>
                      <w:color w:val="000000" w:themeColor="text1"/>
                      <w14:textFill>
                        <w14:solidFill>
                          <w14:schemeClr w14:val="tx1"/>
                        </w14:solidFill>
                      </w14:textFill>
                    </w:rPr>
                  </w:pPr>
                  <w:r>
                    <w:rPr>
                      <w:color w:val="000000" w:themeColor="text1"/>
                      <w14:textFill>
                        <w14:solidFill>
                          <w14:schemeClr w14:val="tx1"/>
                        </w14:solidFill>
                      </w14:textFill>
                    </w:rPr>
                    <w:t>施工阶段</w:t>
                  </w:r>
                </w:p>
              </w:tc>
              <w:tc>
                <w:tcPr>
                  <w:tcW w:w="1475" w:type="dxa"/>
                  <w:vMerge w:val="restart"/>
                  <w:vAlign w:val="center"/>
                </w:tcPr>
                <w:p w14:paraId="136D0535">
                  <w:pPr>
                    <w:pStyle w:val="90"/>
                    <w:rPr>
                      <w:color w:val="000000" w:themeColor="text1"/>
                      <w14:textFill>
                        <w14:solidFill>
                          <w14:schemeClr w14:val="tx1"/>
                        </w14:solidFill>
                      </w14:textFill>
                    </w:rPr>
                  </w:pPr>
                  <w:r>
                    <w:rPr>
                      <w:color w:val="000000" w:themeColor="text1"/>
                      <w14:textFill>
                        <w14:solidFill>
                          <w14:schemeClr w14:val="tx1"/>
                        </w14:solidFill>
                      </w14:textFill>
                    </w:rPr>
                    <w:t>声源名称</w:t>
                  </w:r>
                </w:p>
              </w:tc>
              <w:tc>
                <w:tcPr>
                  <w:tcW w:w="5495" w:type="dxa"/>
                  <w:gridSpan w:val="7"/>
                  <w:vAlign w:val="center"/>
                </w:tcPr>
                <w:p w14:paraId="4B76DCDA">
                  <w:pPr>
                    <w:pStyle w:val="90"/>
                    <w:rPr>
                      <w:color w:val="000000" w:themeColor="text1"/>
                      <w14:textFill>
                        <w14:solidFill>
                          <w14:schemeClr w14:val="tx1"/>
                        </w14:solidFill>
                      </w14:textFill>
                    </w:rPr>
                  </w:pPr>
                  <w:r>
                    <w:rPr>
                      <w:color w:val="000000" w:themeColor="text1"/>
                      <w14:textFill>
                        <w14:solidFill>
                          <w14:schemeClr w14:val="tx1"/>
                        </w14:solidFill>
                      </w14:textFill>
                    </w:rPr>
                    <w:t>与噪声源不同距离测点的连续等效A声级（dB）</w:t>
                  </w:r>
                </w:p>
              </w:tc>
            </w:tr>
            <w:tr w14:paraId="4CEA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96" w:type="dxa"/>
                  <w:vMerge w:val="continue"/>
                  <w:vAlign w:val="center"/>
                </w:tcPr>
                <w:p w14:paraId="0C45AFC0">
                  <w:pPr>
                    <w:pStyle w:val="90"/>
                    <w:rPr>
                      <w:color w:val="000000" w:themeColor="text1"/>
                      <w14:textFill>
                        <w14:solidFill>
                          <w14:schemeClr w14:val="tx1"/>
                        </w14:solidFill>
                      </w14:textFill>
                    </w:rPr>
                  </w:pPr>
                </w:p>
              </w:tc>
              <w:tc>
                <w:tcPr>
                  <w:tcW w:w="1475" w:type="dxa"/>
                  <w:vMerge w:val="continue"/>
                  <w:vAlign w:val="center"/>
                </w:tcPr>
                <w:p w14:paraId="127D772E">
                  <w:pPr>
                    <w:pStyle w:val="90"/>
                    <w:rPr>
                      <w:color w:val="000000" w:themeColor="text1"/>
                      <w14:textFill>
                        <w14:solidFill>
                          <w14:schemeClr w14:val="tx1"/>
                        </w14:solidFill>
                      </w14:textFill>
                    </w:rPr>
                  </w:pPr>
                </w:p>
              </w:tc>
              <w:tc>
                <w:tcPr>
                  <w:tcW w:w="643" w:type="dxa"/>
                  <w:vAlign w:val="center"/>
                </w:tcPr>
                <w:p w14:paraId="10119426">
                  <w:pPr>
                    <w:pStyle w:val="90"/>
                    <w:rPr>
                      <w:color w:val="000000" w:themeColor="text1"/>
                      <w14:textFill>
                        <w14:solidFill>
                          <w14:schemeClr w14:val="tx1"/>
                        </w14:solidFill>
                      </w14:textFill>
                    </w:rPr>
                  </w:pPr>
                  <w:r>
                    <w:rPr>
                      <w:color w:val="000000" w:themeColor="text1"/>
                      <w14:textFill>
                        <w14:solidFill>
                          <w14:schemeClr w14:val="tx1"/>
                        </w14:solidFill>
                      </w14:textFill>
                    </w:rPr>
                    <w:t>5m</w:t>
                  </w:r>
                </w:p>
              </w:tc>
              <w:tc>
                <w:tcPr>
                  <w:tcW w:w="784" w:type="dxa"/>
                  <w:vAlign w:val="center"/>
                </w:tcPr>
                <w:p w14:paraId="324B2676">
                  <w:pPr>
                    <w:pStyle w:val="90"/>
                    <w:rPr>
                      <w:color w:val="000000" w:themeColor="text1"/>
                      <w14:textFill>
                        <w14:solidFill>
                          <w14:schemeClr w14:val="tx1"/>
                        </w14:solidFill>
                      </w14:textFill>
                    </w:rPr>
                  </w:pPr>
                  <w:r>
                    <w:rPr>
                      <w:color w:val="000000" w:themeColor="text1"/>
                      <w14:textFill>
                        <w14:solidFill>
                          <w14:schemeClr w14:val="tx1"/>
                        </w14:solidFill>
                      </w14:textFill>
                    </w:rPr>
                    <w:t>20m</w:t>
                  </w:r>
                </w:p>
              </w:tc>
              <w:tc>
                <w:tcPr>
                  <w:tcW w:w="784" w:type="dxa"/>
                  <w:vAlign w:val="center"/>
                </w:tcPr>
                <w:p w14:paraId="0679FC4A">
                  <w:pPr>
                    <w:pStyle w:val="90"/>
                    <w:rPr>
                      <w:color w:val="000000" w:themeColor="text1"/>
                      <w14:textFill>
                        <w14:solidFill>
                          <w14:schemeClr w14:val="tx1"/>
                        </w14:solidFill>
                      </w14:textFill>
                    </w:rPr>
                  </w:pPr>
                  <w:r>
                    <w:rPr>
                      <w:color w:val="000000" w:themeColor="text1"/>
                      <w14:textFill>
                        <w14:solidFill>
                          <w14:schemeClr w14:val="tx1"/>
                        </w14:solidFill>
                      </w14:textFill>
                    </w:rPr>
                    <w:t>25m</w:t>
                  </w:r>
                </w:p>
              </w:tc>
              <w:tc>
                <w:tcPr>
                  <w:tcW w:w="784" w:type="dxa"/>
                  <w:vAlign w:val="center"/>
                </w:tcPr>
                <w:p w14:paraId="0BCF13FE">
                  <w:pPr>
                    <w:pStyle w:val="90"/>
                    <w:rPr>
                      <w:color w:val="000000" w:themeColor="text1"/>
                      <w14:textFill>
                        <w14:solidFill>
                          <w14:schemeClr w14:val="tx1"/>
                        </w14:solidFill>
                      </w14:textFill>
                    </w:rPr>
                  </w:pPr>
                  <w:r>
                    <w:rPr>
                      <w:color w:val="000000" w:themeColor="text1"/>
                      <w14:textFill>
                        <w14:solidFill>
                          <w14:schemeClr w14:val="tx1"/>
                        </w14:solidFill>
                      </w14:textFill>
                    </w:rPr>
                    <w:t>50m</w:t>
                  </w:r>
                </w:p>
              </w:tc>
              <w:tc>
                <w:tcPr>
                  <w:tcW w:w="784" w:type="dxa"/>
                  <w:vAlign w:val="center"/>
                </w:tcPr>
                <w:p w14:paraId="3961F4F4">
                  <w:pPr>
                    <w:pStyle w:val="90"/>
                    <w:rPr>
                      <w:color w:val="000000" w:themeColor="text1"/>
                      <w14:textFill>
                        <w14:solidFill>
                          <w14:schemeClr w14:val="tx1"/>
                        </w14:solidFill>
                      </w14:textFill>
                    </w:rPr>
                  </w:pPr>
                  <w:r>
                    <w:rPr>
                      <w:color w:val="000000" w:themeColor="text1"/>
                      <w14:textFill>
                        <w14:solidFill>
                          <w14:schemeClr w14:val="tx1"/>
                        </w14:solidFill>
                      </w14:textFill>
                    </w:rPr>
                    <w:t>70m</w:t>
                  </w:r>
                </w:p>
              </w:tc>
              <w:tc>
                <w:tcPr>
                  <w:tcW w:w="784" w:type="dxa"/>
                  <w:vAlign w:val="center"/>
                </w:tcPr>
                <w:p w14:paraId="78AD554B">
                  <w:pPr>
                    <w:pStyle w:val="90"/>
                    <w:rPr>
                      <w:color w:val="000000" w:themeColor="text1"/>
                      <w14:textFill>
                        <w14:solidFill>
                          <w14:schemeClr w14:val="tx1"/>
                        </w14:solidFill>
                      </w14:textFill>
                    </w:rPr>
                  </w:pPr>
                  <w:r>
                    <w:rPr>
                      <w:color w:val="000000" w:themeColor="text1"/>
                      <w14:textFill>
                        <w14:solidFill>
                          <w14:schemeClr w14:val="tx1"/>
                        </w14:solidFill>
                      </w14:textFill>
                    </w:rPr>
                    <w:t>90m</w:t>
                  </w:r>
                </w:p>
              </w:tc>
              <w:tc>
                <w:tcPr>
                  <w:tcW w:w="927" w:type="dxa"/>
                  <w:vAlign w:val="center"/>
                </w:tcPr>
                <w:p w14:paraId="360B3CE6">
                  <w:pPr>
                    <w:pStyle w:val="90"/>
                    <w:rPr>
                      <w:color w:val="000000" w:themeColor="text1"/>
                      <w14:textFill>
                        <w14:solidFill>
                          <w14:schemeClr w14:val="tx1"/>
                        </w14:solidFill>
                      </w14:textFill>
                    </w:rPr>
                  </w:pPr>
                  <w:r>
                    <w:rPr>
                      <w:color w:val="000000" w:themeColor="text1"/>
                      <w14:textFill>
                        <w14:solidFill>
                          <w14:schemeClr w14:val="tx1"/>
                        </w14:solidFill>
                      </w14:textFill>
                    </w:rPr>
                    <w:t>110m</w:t>
                  </w:r>
                </w:p>
              </w:tc>
            </w:tr>
            <w:tr w14:paraId="13DC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96" w:type="dxa"/>
                  <w:vMerge w:val="restart"/>
                  <w:vAlign w:val="center"/>
                </w:tcPr>
                <w:p w14:paraId="52433397">
                  <w:pPr>
                    <w:pStyle w:val="90"/>
                    <w:rPr>
                      <w:color w:val="000000" w:themeColor="text1"/>
                      <w14:textFill>
                        <w14:solidFill>
                          <w14:schemeClr w14:val="tx1"/>
                        </w14:solidFill>
                      </w14:textFill>
                    </w:rPr>
                  </w:pPr>
                  <w:r>
                    <w:rPr>
                      <w:color w:val="000000" w:themeColor="text1"/>
                      <w14:textFill>
                        <w14:solidFill>
                          <w14:schemeClr w14:val="tx1"/>
                        </w14:solidFill>
                      </w14:textFill>
                    </w:rPr>
                    <w:t>土石方</w:t>
                  </w:r>
                </w:p>
              </w:tc>
              <w:tc>
                <w:tcPr>
                  <w:tcW w:w="1475" w:type="dxa"/>
                  <w:vAlign w:val="center"/>
                </w:tcPr>
                <w:p w14:paraId="236CBB26">
                  <w:pPr>
                    <w:pStyle w:val="90"/>
                    <w:rPr>
                      <w:color w:val="000000" w:themeColor="text1"/>
                      <w14:textFill>
                        <w14:solidFill>
                          <w14:schemeClr w14:val="tx1"/>
                        </w14:solidFill>
                      </w14:textFill>
                    </w:rPr>
                  </w:pPr>
                  <w:r>
                    <w:rPr>
                      <w:color w:val="000000" w:themeColor="text1"/>
                      <w14:textFill>
                        <w14:solidFill>
                          <w14:schemeClr w14:val="tx1"/>
                        </w14:solidFill>
                      </w14:textFill>
                    </w:rPr>
                    <w:t>装载机</w:t>
                  </w:r>
                </w:p>
              </w:tc>
              <w:tc>
                <w:tcPr>
                  <w:tcW w:w="643" w:type="dxa"/>
                  <w:vAlign w:val="center"/>
                </w:tcPr>
                <w:p w14:paraId="7C274AC1">
                  <w:pPr>
                    <w:pStyle w:val="90"/>
                    <w:rPr>
                      <w:color w:val="000000" w:themeColor="text1"/>
                      <w14:textFill>
                        <w14:solidFill>
                          <w14:schemeClr w14:val="tx1"/>
                        </w14:solidFill>
                      </w14:textFill>
                    </w:rPr>
                  </w:pPr>
                  <w:r>
                    <w:rPr>
                      <w:color w:val="000000" w:themeColor="text1"/>
                      <w14:textFill>
                        <w14:solidFill>
                          <w14:schemeClr w14:val="tx1"/>
                        </w14:solidFill>
                      </w14:textFill>
                    </w:rPr>
                    <w:t>80</w:t>
                  </w:r>
                </w:p>
              </w:tc>
              <w:tc>
                <w:tcPr>
                  <w:tcW w:w="784" w:type="dxa"/>
                  <w:vAlign w:val="center"/>
                </w:tcPr>
                <w:p w14:paraId="366E08E2">
                  <w:pPr>
                    <w:pStyle w:val="90"/>
                    <w:rPr>
                      <w:color w:val="000000" w:themeColor="text1"/>
                      <w14:textFill>
                        <w14:solidFill>
                          <w14:schemeClr w14:val="tx1"/>
                        </w14:solidFill>
                      </w14:textFill>
                    </w:rPr>
                  </w:pPr>
                  <w:r>
                    <w:rPr>
                      <w:color w:val="000000" w:themeColor="text1"/>
                      <w14:textFill>
                        <w14:solidFill>
                          <w14:schemeClr w14:val="tx1"/>
                        </w14:solidFill>
                      </w14:textFill>
                    </w:rPr>
                    <w:t>74</w:t>
                  </w:r>
                </w:p>
              </w:tc>
              <w:tc>
                <w:tcPr>
                  <w:tcW w:w="784" w:type="dxa"/>
                  <w:vAlign w:val="center"/>
                </w:tcPr>
                <w:p w14:paraId="05F5FA16">
                  <w:pPr>
                    <w:pStyle w:val="90"/>
                    <w:rPr>
                      <w:color w:val="000000" w:themeColor="text1"/>
                      <w14:textFill>
                        <w14:solidFill>
                          <w14:schemeClr w14:val="tx1"/>
                        </w14:solidFill>
                      </w14:textFill>
                    </w:rPr>
                  </w:pPr>
                  <w:r>
                    <w:rPr>
                      <w:color w:val="000000" w:themeColor="text1"/>
                      <w14:textFill>
                        <w14:solidFill>
                          <w14:schemeClr w14:val="tx1"/>
                        </w14:solidFill>
                      </w14:textFill>
                    </w:rPr>
                    <w:t>73</w:t>
                  </w:r>
                </w:p>
              </w:tc>
              <w:tc>
                <w:tcPr>
                  <w:tcW w:w="784" w:type="dxa"/>
                  <w:vAlign w:val="center"/>
                </w:tcPr>
                <w:p w14:paraId="058674DA">
                  <w:pPr>
                    <w:pStyle w:val="90"/>
                    <w:rPr>
                      <w:color w:val="000000" w:themeColor="text1"/>
                      <w14:textFill>
                        <w14:solidFill>
                          <w14:schemeClr w14:val="tx1"/>
                        </w14:solidFill>
                      </w14:textFill>
                    </w:rPr>
                  </w:pPr>
                  <w:r>
                    <w:rPr>
                      <w:color w:val="000000" w:themeColor="text1"/>
                      <w14:textFill>
                        <w14:solidFill>
                          <w14:schemeClr w14:val="tx1"/>
                        </w14:solidFill>
                      </w14:textFill>
                    </w:rPr>
                    <w:t>68</w:t>
                  </w:r>
                </w:p>
              </w:tc>
              <w:tc>
                <w:tcPr>
                  <w:tcW w:w="784" w:type="dxa"/>
                  <w:vAlign w:val="center"/>
                </w:tcPr>
                <w:p w14:paraId="1C8DC62A">
                  <w:pPr>
                    <w:pStyle w:val="90"/>
                    <w:rPr>
                      <w:color w:val="000000" w:themeColor="text1"/>
                      <w14:textFill>
                        <w14:solidFill>
                          <w14:schemeClr w14:val="tx1"/>
                        </w14:solidFill>
                      </w14:textFill>
                    </w:rPr>
                  </w:pPr>
                  <w:r>
                    <w:rPr>
                      <w:color w:val="000000" w:themeColor="text1"/>
                      <w14:textFill>
                        <w14:solidFill>
                          <w14:schemeClr w14:val="tx1"/>
                        </w14:solidFill>
                      </w14:textFill>
                    </w:rPr>
                    <w:t>64</w:t>
                  </w:r>
                </w:p>
              </w:tc>
              <w:tc>
                <w:tcPr>
                  <w:tcW w:w="784" w:type="dxa"/>
                  <w:vAlign w:val="center"/>
                </w:tcPr>
                <w:p w14:paraId="4AAAE21C">
                  <w:pPr>
                    <w:pStyle w:val="90"/>
                    <w:rPr>
                      <w:color w:val="000000" w:themeColor="text1"/>
                      <w14:textFill>
                        <w14:solidFill>
                          <w14:schemeClr w14:val="tx1"/>
                        </w14:solidFill>
                      </w14:textFill>
                    </w:rPr>
                  </w:pPr>
                  <w:r>
                    <w:rPr>
                      <w:color w:val="000000" w:themeColor="text1"/>
                      <w14:textFill>
                        <w14:solidFill>
                          <w14:schemeClr w14:val="tx1"/>
                        </w14:solidFill>
                      </w14:textFill>
                    </w:rPr>
                    <w:t>60</w:t>
                  </w:r>
                </w:p>
              </w:tc>
              <w:tc>
                <w:tcPr>
                  <w:tcW w:w="927" w:type="dxa"/>
                  <w:vAlign w:val="center"/>
                </w:tcPr>
                <w:p w14:paraId="495649F8">
                  <w:pPr>
                    <w:pStyle w:val="90"/>
                    <w:rPr>
                      <w:color w:val="000000" w:themeColor="text1"/>
                      <w14:textFill>
                        <w14:solidFill>
                          <w14:schemeClr w14:val="tx1"/>
                        </w14:solidFill>
                      </w14:textFill>
                    </w:rPr>
                  </w:pPr>
                  <w:r>
                    <w:rPr>
                      <w:color w:val="000000" w:themeColor="text1"/>
                      <w14:textFill>
                        <w14:solidFill>
                          <w14:schemeClr w14:val="tx1"/>
                        </w14:solidFill>
                      </w14:textFill>
                    </w:rPr>
                    <w:t>56</w:t>
                  </w:r>
                </w:p>
              </w:tc>
            </w:tr>
            <w:tr w14:paraId="1CEE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96" w:type="dxa"/>
                  <w:vMerge w:val="continue"/>
                  <w:vAlign w:val="center"/>
                </w:tcPr>
                <w:p w14:paraId="7A87921C">
                  <w:pPr>
                    <w:pStyle w:val="90"/>
                    <w:rPr>
                      <w:color w:val="000000" w:themeColor="text1"/>
                      <w14:textFill>
                        <w14:solidFill>
                          <w14:schemeClr w14:val="tx1"/>
                        </w14:solidFill>
                      </w14:textFill>
                    </w:rPr>
                  </w:pPr>
                </w:p>
              </w:tc>
              <w:tc>
                <w:tcPr>
                  <w:tcW w:w="1475" w:type="dxa"/>
                  <w:vAlign w:val="center"/>
                </w:tcPr>
                <w:p w14:paraId="7CD67CEB">
                  <w:pPr>
                    <w:pStyle w:val="90"/>
                    <w:rPr>
                      <w:color w:val="000000" w:themeColor="text1"/>
                      <w14:textFill>
                        <w14:solidFill>
                          <w14:schemeClr w14:val="tx1"/>
                        </w14:solidFill>
                      </w14:textFill>
                    </w:rPr>
                  </w:pPr>
                  <w:r>
                    <w:rPr>
                      <w:color w:val="000000" w:themeColor="text1"/>
                      <w14:textFill>
                        <w14:solidFill>
                          <w14:schemeClr w14:val="tx1"/>
                        </w14:solidFill>
                      </w14:textFill>
                    </w:rPr>
                    <w:t>柴油压空机</w:t>
                  </w:r>
                </w:p>
              </w:tc>
              <w:tc>
                <w:tcPr>
                  <w:tcW w:w="643" w:type="dxa"/>
                  <w:vAlign w:val="center"/>
                </w:tcPr>
                <w:p w14:paraId="25EFD02F">
                  <w:pPr>
                    <w:pStyle w:val="90"/>
                    <w:rPr>
                      <w:color w:val="000000" w:themeColor="text1"/>
                      <w14:textFill>
                        <w14:solidFill>
                          <w14:schemeClr w14:val="tx1"/>
                        </w14:solidFill>
                      </w14:textFill>
                    </w:rPr>
                  </w:pPr>
                  <w:r>
                    <w:rPr>
                      <w:color w:val="000000" w:themeColor="text1"/>
                      <w14:textFill>
                        <w14:solidFill>
                          <w14:schemeClr w14:val="tx1"/>
                        </w14:solidFill>
                      </w14:textFill>
                    </w:rPr>
                    <w:t>88</w:t>
                  </w:r>
                </w:p>
              </w:tc>
              <w:tc>
                <w:tcPr>
                  <w:tcW w:w="784" w:type="dxa"/>
                  <w:vAlign w:val="center"/>
                </w:tcPr>
                <w:p w14:paraId="7CE3D26C">
                  <w:pPr>
                    <w:pStyle w:val="90"/>
                    <w:rPr>
                      <w:color w:val="000000" w:themeColor="text1"/>
                      <w14:textFill>
                        <w14:solidFill>
                          <w14:schemeClr w14:val="tx1"/>
                        </w14:solidFill>
                      </w14:textFill>
                    </w:rPr>
                  </w:pPr>
                  <w:r>
                    <w:rPr>
                      <w:color w:val="000000" w:themeColor="text1"/>
                      <w14:textFill>
                        <w14:solidFill>
                          <w14:schemeClr w14:val="tx1"/>
                        </w14:solidFill>
                      </w14:textFill>
                    </w:rPr>
                    <w:t>76</w:t>
                  </w:r>
                </w:p>
              </w:tc>
              <w:tc>
                <w:tcPr>
                  <w:tcW w:w="784" w:type="dxa"/>
                  <w:vAlign w:val="center"/>
                </w:tcPr>
                <w:p w14:paraId="01B7CC26">
                  <w:pPr>
                    <w:pStyle w:val="90"/>
                    <w:rPr>
                      <w:color w:val="000000" w:themeColor="text1"/>
                      <w14:textFill>
                        <w14:solidFill>
                          <w14:schemeClr w14:val="tx1"/>
                        </w14:solidFill>
                      </w14:textFill>
                    </w:rPr>
                  </w:pPr>
                  <w:r>
                    <w:rPr>
                      <w:color w:val="000000" w:themeColor="text1"/>
                      <w14:textFill>
                        <w14:solidFill>
                          <w14:schemeClr w14:val="tx1"/>
                        </w14:solidFill>
                      </w14:textFill>
                    </w:rPr>
                    <w:t>74</w:t>
                  </w:r>
                </w:p>
              </w:tc>
              <w:tc>
                <w:tcPr>
                  <w:tcW w:w="784" w:type="dxa"/>
                  <w:vAlign w:val="center"/>
                </w:tcPr>
                <w:p w14:paraId="0573A84D">
                  <w:pPr>
                    <w:pStyle w:val="90"/>
                    <w:rPr>
                      <w:color w:val="000000" w:themeColor="text1"/>
                      <w14:textFill>
                        <w14:solidFill>
                          <w14:schemeClr w14:val="tx1"/>
                        </w14:solidFill>
                      </w14:textFill>
                    </w:rPr>
                  </w:pPr>
                  <w:r>
                    <w:rPr>
                      <w:color w:val="000000" w:themeColor="text1"/>
                      <w14:textFill>
                        <w14:solidFill>
                          <w14:schemeClr w14:val="tx1"/>
                        </w14:solidFill>
                      </w14:textFill>
                    </w:rPr>
                    <w:t>68</w:t>
                  </w:r>
                </w:p>
              </w:tc>
              <w:tc>
                <w:tcPr>
                  <w:tcW w:w="784" w:type="dxa"/>
                  <w:vAlign w:val="center"/>
                </w:tcPr>
                <w:p w14:paraId="7E13F7BD">
                  <w:pPr>
                    <w:pStyle w:val="90"/>
                    <w:rPr>
                      <w:color w:val="000000" w:themeColor="text1"/>
                      <w14:textFill>
                        <w14:solidFill>
                          <w14:schemeClr w14:val="tx1"/>
                        </w14:solidFill>
                      </w14:textFill>
                    </w:rPr>
                  </w:pPr>
                  <w:r>
                    <w:rPr>
                      <w:color w:val="000000" w:themeColor="text1"/>
                      <w14:textFill>
                        <w14:solidFill>
                          <w14:schemeClr w14:val="tx1"/>
                        </w14:solidFill>
                      </w14:textFill>
                    </w:rPr>
                    <w:t>64</w:t>
                  </w:r>
                </w:p>
              </w:tc>
              <w:tc>
                <w:tcPr>
                  <w:tcW w:w="784" w:type="dxa"/>
                  <w:vAlign w:val="center"/>
                </w:tcPr>
                <w:p w14:paraId="1BC1411B">
                  <w:pPr>
                    <w:pStyle w:val="90"/>
                    <w:rPr>
                      <w:color w:val="000000" w:themeColor="text1"/>
                      <w14:textFill>
                        <w14:solidFill>
                          <w14:schemeClr w14:val="tx1"/>
                        </w14:solidFill>
                      </w14:textFill>
                    </w:rPr>
                  </w:pPr>
                  <w:r>
                    <w:rPr>
                      <w:color w:val="000000" w:themeColor="text1"/>
                      <w14:textFill>
                        <w14:solidFill>
                          <w14:schemeClr w14:val="tx1"/>
                        </w14:solidFill>
                      </w14:textFill>
                    </w:rPr>
                    <w:t>60</w:t>
                  </w:r>
                </w:p>
              </w:tc>
              <w:tc>
                <w:tcPr>
                  <w:tcW w:w="927" w:type="dxa"/>
                  <w:vAlign w:val="center"/>
                </w:tcPr>
                <w:p w14:paraId="1D6C404C">
                  <w:pPr>
                    <w:pStyle w:val="90"/>
                    <w:rPr>
                      <w:color w:val="000000" w:themeColor="text1"/>
                      <w14:textFill>
                        <w14:solidFill>
                          <w14:schemeClr w14:val="tx1"/>
                        </w14:solidFill>
                      </w14:textFill>
                    </w:rPr>
                  </w:pPr>
                  <w:r>
                    <w:rPr>
                      <w:color w:val="000000" w:themeColor="text1"/>
                      <w14:textFill>
                        <w14:solidFill>
                          <w14:schemeClr w14:val="tx1"/>
                        </w14:solidFill>
                      </w14:textFill>
                    </w:rPr>
                    <w:t>56</w:t>
                  </w:r>
                </w:p>
              </w:tc>
            </w:tr>
            <w:tr w14:paraId="7CF6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96" w:type="dxa"/>
                  <w:vMerge w:val="continue"/>
                  <w:vAlign w:val="center"/>
                </w:tcPr>
                <w:p w14:paraId="41F7B046">
                  <w:pPr>
                    <w:pStyle w:val="90"/>
                    <w:rPr>
                      <w:color w:val="000000" w:themeColor="text1"/>
                      <w14:textFill>
                        <w14:solidFill>
                          <w14:schemeClr w14:val="tx1"/>
                        </w14:solidFill>
                      </w14:textFill>
                    </w:rPr>
                  </w:pPr>
                </w:p>
              </w:tc>
              <w:tc>
                <w:tcPr>
                  <w:tcW w:w="1475" w:type="dxa"/>
                  <w:vAlign w:val="center"/>
                </w:tcPr>
                <w:p w14:paraId="7A864B04">
                  <w:pPr>
                    <w:pStyle w:val="90"/>
                    <w:rPr>
                      <w:color w:val="000000" w:themeColor="text1"/>
                      <w14:textFill>
                        <w14:solidFill>
                          <w14:schemeClr w14:val="tx1"/>
                        </w14:solidFill>
                      </w14:textFill>
                    </w:rPr>
                  </w:pPr>
                  <w:r>
                    <w:rPr>
                      <w:color w:val="000000" w:themeColor="text1"/>
                      <w14:textFill>
                        <w14:solidFill>
                          <w14:schemeClr w14:val="tx1"/>
                        </w14:solidFill>
                      </w14:textFill>
                    </w:rPr>
                    <w:t>挖掘机</w:t>
                  </w:r>
                </w:p>
              </w:tc>
              <w:tc>
                <w:tcPr>
                  <w:tcW w:w="643" w:type="dxa"/>
                  <w:vAlign w:val="center"/>
                </w:tcPr>
                <w:p w14:paraId="45B2F9F8">
                  <w:pPr>
                    <w:pStyle w:val="90"/>
                    <w:rPr>
                      <w:color w:val="000000" w:themeColor="text1"/>
                      <w14:textFill>
                        <w14:solidFill>
                          <w14:schemeClr w14:val="tx1"/>
                        </w14:solidFill>
                      </w14:textFill>
                    </w:rPr>
                  </w:pPr>
                  <w:r>
                    <w:rPr>
                      <w:color w:val="000000" w:themeColor="text1"/>
                      <w14:textFill>
                        <w14:solidFill>
                          <w14:schemeClr w14:val="tx1"/>
                        </w14:solidFill>
                      </w14:textFill>
                    </w:rPr>
                    <w:t>79</w:t>
                  </w:r>
                </w:p>
              </w:tc>
              <w:tc>
                <w:tcPr>
                  <w:tcW w:w="784" w:type="dxa"/>
                  <w:vAlign w:val="center"/>
                </w:tcPr>
                <w:p w14:paraId="5D905D18">
                  <w:pPr>
                    <w:pStyle w:val="90"/>
                    <w:rPr>
                      <w:color w:val="000000" w:themeColor="text1"/>
                      <w14:textFill>
                        <w14:solidFill>
                          <w14:schemeClr w14:val="tx1"/>
                        </w14:solidFill>
                      </w14:textFill>
                    </w:rPr>
                  </w:pPr>
                  <w:r>
                    <w:rPr>
                      <w:color w:val="000000" w:themeColor="text1"/>
                      <w14:textFill>
                        <w14:solidFill>
                          <w14:schemeClr w14:val="tx1"/>
                        </w14:solidFill>
                      </w14:textFill>
                    </w:rPr>
                    <w:t>72</w:t>
                  </w:r>
                </w:p>
              </w:tc>
              <w:tc>
                <w:tcPr>
                  <w:tcW w:w="784" w:type="dxa"/>
                  <w:vAlign w:val="center"/>
                </w:tcPr>
                <w:p w14:paraId="122D4B19">
                  <w:pPr>
                    <w:pStyle w:val="90"/>
                    <w:rPr>
                      <w:color w:val="000000" w:themeColor="text1"/>
                      <w14:textFill>
                        <w14:solidFill>
                          <w14:schemeClr w14:val="tx1"/>
                        </w14:solidFill>
                      </w14:textFill>
                    </w:rPr>
                  </w:pPr>
                  <w:r>
                    <w:rPr>
                      <w:color w:val="000000" w:themeColor="text1"/>
                      <w14:textFill>
                        <w14:solidFill>
                          <w14:schemeClr w14:val="tx1"/>
                        </w14:solidFill>
                      </w14:textFill>
                    </w:rPr>
                    <w:t>71</w:t>
                  </w:r>
                </w:p>
              </w:tc>
              <w:tc>
                <w:tcPr>
                  <w:tcW w:w="784" w:type="dxa"/>
                  <w:vAlign w:val="center"/>
                </w:tcPr>
                <w:p w14:paraId="30F9A816">
                  <w:pPr>
                    <w:pStyle w:val="90"/>
                    <w:rPr>
                      <w:color w:val="000000" w:themeColor="text1"/>
                      <w14:textFill>
                        <w14:solidFill>
                          <w14:schemeClr w14:val="tx1"/>
                        </w14:solidFill>
                      </w14:textFill>
                    </w:rPr>
                  </w:pPr>
                  <w:r>
                    <w:rPr>
                      <w:color w:val="000000" w:themeColor="text1"/>
                      <w14:textFill>
                        <w14:solidFill>
                          <w14:schemeClr w14:val="tx1"/>
                        </w14:solidFill>
                      </w14:textFill>
                    </w:rPr>
                    <w:t>66</w:t>
                  </w:r>
                </w:p>
              </w:tc>
              <w:tc>
                <w:tcPr>
                  <w:tcW w:w="784" w:type="dxa"/>
                  <w:vAlign w:val="center"/>
                </w:tcPr>
                <w:p w14:paraId="3672C203">
                  <w:pPr>
                    <w:pStyle w:val="90"/>
                    <w:rPr>
                      <w:color w:val="000000" w:themeColor="text1"/>
                      <w14:textFill>
                        <w14:solidFill>
                          <w14:schemeClr w14:val="tx1"/>
                        </w14:solidFill>
                      </w14:textFill>
                    </w:rPr>
                  </w:pPr>
                  <w:r>
                    <w:rPr>
                      <w:color w:val="000000" w:themeColor="text1"/>
                      <w14:textFill>
                        <w14:solidFill>
                          <w14:schemeClr w14:val="tx1"/>
                        </w14:solidFill>
                      </w14:textFill>
                    </w:rPr>
                    <w:t>62</w:t>
                  </w:r>
                </w:p>
              </w:tc>
              <w:tc>
                <w:tcPr>
                  <w:tcW w:w="784" w:type="dxa"/>
                  <w:vAlign w:val="center"/>
                </w:tcPr>
                <w:p w14:paraId="6478AD84">
                  <w:pPr>
                    <w:pStyle w:val="90"/>
                    <w:rPr>
                      <w:color w:val="000000" w:themeColor="text1"/>
                      <w14:textFill>
                        <w14:solidFill>
                          <w14:schemeClr w14:val="tx1"/>
                        </w14:solidFill>
                      </w14:textFill>
                    </w:rPr>
                  </w:pPr>
                  <w:r>
                    <w:rPr>
                      <w:color w:val="000000" w:themeColor="text1"/>
                      <w14:textFill>
                        <w14:solidFill>
                          <w14:schemeClr w14:val="tx1"/>
                        </w14:solidFill>
                      </w14:textFill>
                    </w:rPr>
                    <w:t>58</w:t>
                  </w:r>
                </w:p>
              </w:tc>
              <w:tc>
                <w:tcPr>
                  <w:tcW w:w="927" w:type="dxa"/>
                  <w:vAlign w:val="center"/>
                </w:tcPr>
                <w:p w14:paraId="0414B6D6">
                  <w:pPr>
                    <w:pStyle w:val="90"/>
                    <w:rPr>
                      <w:color w:val="000000" w:themeColor="text1"/>
                      <w14:textFill>
                        <w14:solidFill>
                          <w14:schemeClr w14:val="tx1"/>
                        </w14:solidFill>
                      </w14:textFill>
                    </w:rPr>
                  </w:pPr>
                  <w:r>
                    <w:rPr>
                      <w:color w:val="000000" w:themeColor="text1"/>
                      <w14:textFill>
                        <w14:solidFill>
                          <w14:schemeClr w14:val="tx1"/>
                        </w14:solidFill>
                      </w14:textFill>
                    </w:rPr>
                    <w:t>54</w:t>
                  </w:r>
                </w:p>
              </w:tc>
            </w:tr>
            <w:tr w14:paraId="6993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96" w:type="dxa"/>
                  <w:vMerge w:val="restart"/>
                  <w:vAlign w:val="center"/>
                </w:tcPr>
                <w:p w14:paraId="78816A15">
                  <w:pPr>
                    <w:pStyle w:val="90"/>
                    <w:rPr>
                      <w:color w:val="000000" w:themeColor="text1"/>
                      <w14:textFill>
                        <w14:solidFill>
                          <w14:schemeClr w14:val="tx1"/>
                        </w14:solidFill>
                      </w14:textFill>
                    </w:rPr>
                  </w:pPr>
                  <w:r>
                    <w:rPr>
                      <w:color w:val="000000" w:themeColor="text1"/>
                      <w14:textFill>
                        <w14:solidFill>
                          <w14:schemeClr w14:val="tx1"/>
                        </w14:solidFill>
                      </w14:textFill>
                    </w:rPr>
                    <w:t>结构</w:t>
                  </w:r>
                </w:p>
              </w:tc>
              <w:tc>
                <w:tcPr>
                  <w:tcW w:w="1475" w:type="dxa"/>
                  <w:vAlign w:val="center"/>
                </w:tcPr>
                <w:p w14:paraId="7E88F92C">
                  <w:pPr>
                    <w:pStyle w:val="90"/>
                    <w:rPr>
                      <w:color w:val="000000" w:themeColor="text1"/>
                      <w14:textFill>
                        <w14:solidFill>
                          <w14:schemeClr w14:val="tx1"/>
                        </w14:solidFill>
                      </w14:textFill>
                    </w:rPr>
                  </w:pPr>
                  <w:r>
                    <w:rPr>
                      <w:color w:val="000000" w:themeColor="text1"/>
                      <w14:textFill>
                        <w14:solidFill>
                          <w14:schemeClr w14:val="tx1"/>
                        </w14:solidFill>
                      </w14:textFill>
                    </w:rPr>
                    <w:t>搅拌机</w:t>
                  </w:r>
                </w:p>
              </w:tc>
              <w:tc>
                <w:tcPr>
                  <w:tcW w:w="643" w:type="dxa"/>
                  <w:vAlign w:val="center"/>
                </w:tcPr>
                <w:p w14:paraId="3AD7494E">
                  <w:pPr>
                    <w:pStyle w:val="90"/>
                    <w:rPr>
                      <w:color w:val="000000" w:themeColor="text1"/>
                      <w14:textFill>
                        <w14:solidFill>
                          <w14:schemeClr w14:val="tx1"/>
                        </w14:solidFill>
                      </w14:textFill>
                    </w:rPr>
                  </w:pPr>
                  <w:r>
                    <w:rPr>
                      <w:color w:val="000000" w:themeColor="text1"/>
                      <w14:textFill>
                        <w14:solidFill>
                          <w14:schemeClr w14:val="tx1"/>
                        </w14:solidFill>
                      </w14:textFill>
                    </w:rPr>
                    <w:t>78</w:t>
                  </w:r>
                </w:p>
              </w:tc>
              <w:tc>
                <w:tcPr>
                  <w:tcW w:w="784" w:type="dxa"/>
                  <w:vAlign w:val="center"/>
                </w:tcPr>
                <w:p w14:paraId="1277C183">
                  <w:pPr>
                    <w:pStyle w:val="90"/>
                    <w:rPr>
                      <w:color w:val="000000" w:themeColor="text1"/>
                      <w14:textFill>
                        <w14:solidFill>
                          <w14:schemeClr w14:val="tx1"/>
                        </w14:solidFill>
                      </w14:textFill>
                    </w:rPr>
                  </w:pPr>
                  <w:r>
                    <w:rPr>
                      <w:color w:val="000000" w:themeColor="text1"/>
                      <w14:textFill>
                        <w14:solidFill>
                          <w14:schemeClr w14:val="tx1"/>
                        </w14:solidFill>
                      </w14:textFill>
                    </w:rPr>
                    <w:t>70</w:t>
                  </w:r>
                </w:p>
              </w:tc>
              <w:tc>
                <w:tcPr>
                  <w:tcW w:w="784" w:type="dxa"/>
                  <w:vAlign w:val="center"/>
                </w:tcPr>
                <w:p w14:paraId="0EC619E7">
                  <w:pPr>
                    <w:pStyle w:val="90"/>
                    <w:rPr>
                      <w:color w:val="000000" w:themeColor="text1"/>
                      <w14:textFill>
                        <w14:solidFill>
                          <w14:schemeClr w14:val="tx1"/>
                        </w14:solidFill>
                      </w14:textFill>
                    </w:rPr>
                  </w:pPr>
                  <w:r>
                    <w:rPr>
                      <w:color w:val="000000" w:themeColor="text1"/>
                      <w14:textFill>
                        <w14:solidFill>
                          <w14:schemeClr w14:val="tx1"/>
                        </w14:solidFill>
                      </w14:textFill>
                    </w:rPr>
                    <w:t>69</w:t>
                  </w:r>
                </w:p>
              </w:tc>
              <w:tc>
                <w:tcPr>
                  <w:tcW w:w="784" w:type="dxa"/>
                  <w:vAlign w:val="center"/>
                </w:tcPr>
                <w:p w14:paraId="1AD8954E">
                  <w:pPr>
                    <w:pStyle w:val="90"/>
                    <w:rPr>
                      <w:color w:val="000000" w:themeColor="text1"/>
                      <w14:textFill>
                        <w14:solidFill>
                          <w14:schemeClr w14:val="tx1"/>
                        </w14:solidFill>
                      </w14:textFill>
                    </w:rPr>
                  </w:pPr>
                  <w:r>
                    <w:rPr>
                      <w:color w:val="000000" w:themeColor="text1"/>
                      <w14:textFill>
                        <w14:solidFill>
                          <w14:schemeClr w14:val="tx1"/>
                        </w14:solidFill>
                      </w14:textFill>
                    </w:rPr>
                    <w:t>64</w:t>
                  </w:r>
                </w:p>
              </w:tc>
              <w:tc>
                <w:tcPr>
                  <w:tcW w:w="784" w:type="dxa"/>
                  <w:vAlign w:val="center"/>
                </w:tcPr>
                <w:p w14:paraId="2E8DEFCE">
                  <w:pPr>
                    <w:pStyle w:val="90"/>
                    <w:rPr>
                      <w:color w:val="000000" w:themeColor="text1"/>
                      <w14:textFill>
                        <w14:solidFill>
                          <w14:schemeClr w14:val="tx1"/>
                        </w14:solidFill>
                      </w14:textFill>
                    </w:rPr>
                  </w:pPr>
                  <w:r>
                    <w:rPr>
                      <w:color w:val="000000" w:themeColor="text1"/>
                      <w14:textFill>
                        <w14:solidFill>
                          <w14:schemeClr w14:val="tx1"/>
                        </w14:solidFill>
                      </w14:textFill>
                    </w:rPr>
                    <w:t>60</w:t>
                  </w:r>
                </w:p>
              </w:tc>
              <w:tc>
                <w:tcPr>
                  <w:tcW w:w="784" w:type="dxa"/>
                  <w:vAlign w:val="center"/>
                </w:tcPr>
                <w:p w14:paraId="3A28CD1A">
                  <w:pPr>
                    <w:pStyle w:val="90"/>
                    <w:rPr>
                      <w:color w:val="000000" w:themeColor="text1"/>
                      <w14:textFill>
                        <w14:solidFill>
                          <w14:schemeClr w14:val="tx1"/>
                        </w14:solidFill>
                      </w14:textFill>
                    </w:rPr>
                  </w:pPr>
                  <w:r>
                    <w:rPr>
                      <w:color w:val="000000" w:themeColor="text1"/>
                      <w14:textFill>
                        <w14:solidFill>
                          <w14:schemeClr w14:val="tx1"/>
                        </w14:solidFill>
                      </w14:textFill>
                    </w:rPr>
                    <w:t>56</w:t>
                  </w:r>
                </w:p>
              </w:tc>
              <w:tc>
                <w:tcPr>
                  <w:tcW w:w="927" w:type="dxa"/>
                  <w:vAlign w:val="center"/>
                </w:tcPr>
                <w:p w14:paraId="7DA528A0">
                  <w:pPr>
                    <w:pStyle w:val="90"/>
                    <w:rPr>
                      <w:color w:val="000000" w:themeColor="text1"/>
                      <w14:textFill>
                        <w14:solidFill>
                          <w14:schemeClr w14:val="tx1"/>
                        </w14:solidFill>
                      </w14:textFill>
                    </w:rPr>
                  </w:pPr>
                  <w:r>
                    <w:rPr>
                      <w:color w:val="000000" w:themeColor="text1"/>
                      <w14:textFill>
                        <w14:solidFill>
                          <w14:schemeClr w14:val="tx1"/>
                        </w14:solidFill>
                      </w14:textFill>
                    </w:rPr>
                    <w:t>52</w:t>
                  </w:r>
                </w:p>
              </w:tc>
            </w:tr>
            <w:tr w14:paraId="4CE9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96" w:type="dxa"/>
                  <w:vMerge w:val="continue"/>
                  <w:vAlign w:val="center"/>
                </w:tcPr>
                <w:p w14:paraId="06B3BBB0">
                  <w:pPr>
                    <w:pStyle w:val="90"/>
                    <w:rPr>
                      <w:color w:val="000000" w:themeColor="text1"/>
                      <w14:textFill>
                        <w14:solidFill>
                          <w14:schemeClr w14:val="tx1"/>
                        </w14:solidFill>
                      </w14:textFill>
                    </w:rPr>
                  </w:pPr>
                </w:p>
              </w:tc>
              <w:tc>
                <w:tcPr>
                  <w:tcW w:w="1475" w:type="dxa"/>
                  <w:vAlign w:val="center"/>
                </w:tcPr>
                <w:p w14:paraId="4DFEC7CF">
                  <w:pPr>
                    <w:pStyle w:val="90"/>
                    <w:rPr>
                      <w:color w:val="000000" w:themeColor="text1"/>
                      <w14:textFill>
                        <w14:solidFill>
                          <w14:schemeClr w14:val="tx1"/>
                        </w14:solidFill>
                      </w14:textFill>
                    </w:rPr>
                  </w:pPr>
                  <w:r>
                    <w:rPr>
                      <w:color w:val="000000" w:themeColor="text1"/>
                      <w14:textFill>
                        <w14:solidFill>
                          <w14:schemeClr w14:val="tx1"/>
                        </w14:solidFill>
                      </w14:textFill>
                    </w:rPr>
                    <w:t>起重机</w:t>
                  </w:r>
                </w:p>
              </w:tc>
              <w:tc>
                <w:tcPr>
                  <w:tcW w:w="643" w:type="dxa"/>
                  <w:vAlign w:val="center"/>
                </w:tcPr>
                <w:p w14:paraId="0249EFC9">
                  <w:pPr>
                    <w:pStyle w:val="90"/>
                    <w:rPr>
                      <w:color w:val="000000" w:themeColor="text1"/>
                      <w14:textFill>
                        <w14:solidFill>
                          <w14:schemeClr w14:val="tx1"/>
                        </w14:solidFill>
                      </w14:textFill>
                    </w:rPr>
                  </w:pPr>
                  <w:r>
                    <w:rPr>
                      <w:color w:val="000000" w:themeColor="text1"/>
                      <w14:textFill>
                        <w14:solidFill>
                          <w14:schemeClr w14:val="tx1"/>
                        </w14:solidFill>
                      </w14:textFill>
                    </w:rPr>
                    <w:t>80</w:t>
                  </w:r>
                </w:p>
              </w:tc>
              <w:tc>
                <w:tcPr>
                  <w:tcW w:w="784" w:type="dxa"/>
                  <w:vAlign w:val="center"/>
                </w:tcPr>
                <w:p w14:paraId="2984A6DC">
                  <w:pPr>
                    <w:pStyle w:val="90"/>
                    <w:rPr>
                      <w:color w:val="000000" w:themeColor="text1"/>
                      <w14:textFill>
                        <w14:solidFill>
                          <w14:schemeClr w14:val="tx1"/>
                        </w14:solidFill>
                      </w14:textFill>
                    </w:rPr>
                  </w:pPr>
                  <w:r>
                    <w:rPr>
                      <w:color w:val="000000" w:themeColor="text1"/>
                      <w14:textFill>
                        <w14:solidFill>
                          <w14:schemeClr w14:val="tx1"/>
                        </w14:solidFill>
                      </w14:textFill>
                    </w:rPr>
                    <w:t>73</w:t>
                  </w:r>
                </w:p>
              </w:tc>
              <w:tc>
                <w:tcPr>
                  <w:tcW w:w="784" w:type="dxa"/>
                  <w:vAlign w:val="center"/>
                </w:tcPr>
                <w:p w14:paraId="7715B5A1">
                  <w:pPr>
                    <w:pStyle w:val="90"/>
                    <w:rPr>
                      <w:color w:val="000000" w:themeColor="text1"/>
                      <w14:textFill>
                        <w14:solidFill>
                          <w14:schemeClr w14:val="tx1"/>
                        </w14:solidFill>
                      </w14:textFill>
                    </w:rPr>
                  </w:pPr>
                  <w:r>
                    <w:rPr>
                      <w:color w:val="000000" w:themeColor="text1"/>
                      <w14:textFill>
                        <w14:solidFill>
                          <w14:schemeClr w14:val="tx1"/>
                        </w14:solidFill>
                      </w14:textFill>
                    </w:rPr>
                    <w:t>72</w:t>
                  </w:r>
                </w:p>
              </w:tc>
              <w:tc>
                <w:tcPr>
                  <w:tcW w:w="784" w:type="dxa"/>
                  <w:vAlign w:val="center"/>
                </w:tcPr>
                <w:p w14:paraId="6C47BBB1">
                  <w:pPr>
                    <w:pStyle w:val="90"/>
                    <w:rPr>
                      <w:color w:val="000000" w:themeColor="text1"/>
                      <w14:textFill>
                        <w14:solidFill>
                          <w14:schemeClr w14:val="tx1"/>
                        </w14:solidFill>
                      </w14:textFill>
                    </w:rPr>
                  </w:pPr>
                  <w:r>
                    <w:rPr>
                      <w:color w:val="000000" w:themeColor="text1"/>
                      <w14:textFill>
                        <w14:solidFill>
                          <w14:schemeClr w14:val="tx1"/>
                        </w14:solidFill>
                      </w14:textFill>
                    </w:rPr>
                    <w:t>67</w:t>
                  </w:r>
                </w:p>
              </w:tc>
              <w:tc>
                <w:tcPr>
                  <w:tcW w:w="784" w:type="dxa"/>
                  <w:vAlign w:val="center"/>
                </w:tcPr>
                <w:p w14:paraId="41F4A90E">
                  <w:pPr>
                    <w:pStyle w:val="90"/>
                    <w:rPr>
                      <w:color w:val="000000" w:themeColor="text1"/>
                      <w14:textFill>
                        <w14:solidFill>
                          <w14:schemeClr w14:val="tx1"/>
                        </w14:solidFill>
                      </w14:textFill>
                    </w:rPr>
                  </w:pPr>
                  <w:r>
                    <w:rPr>
                      <w:color w:val="000000" w:themeColor="text1"/>
                      <w14:textFill>
                        <w14:solidFill>
                          <w14:schemeClr w14:val="tx1"/>
                        </w14:solidFill>
                      </w14:textFill>
                    </w:rPr>
                    <w:t>63</w:t>
                  </w:r>
                </w:p>
              </w:tc>
              <w:tc>
                <w:tcPr>
                  <w:tcW w:w="784" w:type="dxa"/>
                  <w:vAlign w:val="center"/>
                </w:tcPr>
                <w:p w14:paraId="42822D57">
                  <w:pPr>
                    <w:pStyle w:val="90"/>
                    <w:rPr>
                      <w:color w:val="000000" w:themeColor="text1"/>
                      <w14:textFill>
                        <w14:solidFill>
                          <w14:schemeClr w14:val="tx1"/>
                        </w14:solidFill>
                      </w14:textFill>
                    </w:rPr>
                  </w:pPr>
                  <w:r>
                    <w:rPr>
                      <w:color w:val="000000" w:themeColor="text1"/>
                      <w14:textFill>
                        <w14:solidFill>
                          <w14:schemeClr w14:val="tx1"/>
                        </w14:solidFill>
                      </w14:textFill>
                    </w:rPr>
                    <w:t>59</w:t>
                  </w:r>
                </w:p>
              </w:tc>
              <w:tc>
                <w:tcPr>
                  <w:tcW w:w="927" w:type="dxa"/>
                  <w:vAlign w:val="center"/>
                </w:tcPr>
                <w:p w14:paraId="680788DE">
                  <w:pPr>
                    <w:pStyle w:val="90"/>
                    <w:rPr>
                      <w:color w:val="000000" w:themeColor="text1"/>
                      <w14:textFill>
                        <w14:solidFill>
                          <w14:schemeClr w14:val="tx1"/>
                        </w14:solidFill>
                      </w14:textFill>
                    </w:rPr>
                  </w:pPr>
                  <w:r>
                    <w:rPr>
                      <w:color w:val="000000" w:themeColor="text1"/>
                      <w14:textFill>
                        <w14:solidFill>
                          <w14:schemeClr w14:val="tx1"/>
                        </w14:solidFill>
                      </w14:textFill>
                    </w:rPr>
                    <w:t>55</w:t>
                  </w:r>
                </w:p>
              </w:tc>
            </w:tr>
            <w:tr w14:paraId="7721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96" w:type="dxa"/>
                  <w:vMerge w:val="continue"/>
                  <w:vAlign w:val="center"/>
                </w:tcPr>
                <w:p w14:paraId="5E7356E0">
                  <w:pPr>
                    <w:pStyle w:val="90"/>
                    <w:rPr>
                      <w:color w:val="000000" w:themeColor="text1"/>
                      <w14:textFill>
                        <w14:solidFill>
                          <w14:schemeClr w14:val="tx1"/>
                        </w14:solidFill>
                      </w14:textFill>
                    </w:rPr>
                  </w:pPr>
                </w:p>
              </w:tc>
              <w:tc>
                <w:tcPr>
                  <w:tcW w:w="1475" w:type="dxa"/>
                  <w:vAlign w:val="center"/>
                </w:tcPr>
                <w:p w14:paraId="63E2B1B3">
                  <w:pPr>
                    <w:pStyle w:val="90"/>
                    <w:rPr>
                      <w:color w:val="000000" w:themeColor="text1"/>
                      <w14:textFill>
                        <w14:solidFill>
                          <w14:schemeClr w14:val="tx1"/>
                        </w14:solidFill>
                      </w14:textFill>
                    </w:rPr>
                  </w:pPr>
                  <w:r>
                    <w:rPr>
                      <w:color w:val="000000" w:themeColor="text1"/>
                      <w14:textFill>
                        <w14:solidFill>
                          <w14:schemeClr w14:val="tx1"/>
                        </w14:solidFill>
                      </w14:textFill>
                    </w:rPr>
                    <w:t>振动棒</w:t>
                  </w:r>
                </w:p>
              </w:tc>
              <w:tc>
                <w:tcPr>
                  <w:tcW w:w="643" w:type="dxa"/>
                  <w:vAlign w:val="center"/>
                </w:tcPr>
                <w:p w14:paraId="1D38D069">
                  <w:pPr>
                    <w:pStyle w:val="90"/>
                    <w:rPr>
                      <w:color w:val="000000" w:themeColor="text1"/>
                      <w14:textFill>
                        <w14:solidFill>
                          <w14:schemeClr w14:val="tx1"/>
                        </w14:solidFill>
                      </w14:textFill>
                    </w:rPr>
                  </w:pPr>
                  <w:r>
                    <w:rPr>
                      <w:color w:val="000000" w:themeColor="text1"/>
                      <w14:textFill>
                        <w14:solidFill>
                          <w14:schemeClr w14:val="tx1"/>
                        </w14:solidFill>
                      </w14:textFill>
                    </w:rPr>
                    <w:t>78</w:t>
                  </w:r>
                </w:p>
              </w:tc>
              <w:tc>
                <w:tcPr>
                  <w:tcW w:w="784" w:type="dxa"/>
                  <w:vAlign w:val="center"/>
                </w:tcPr>
                <w:p w14:paraId="09980398">
                  <w:pPr>
                    <w:pStyle w:val="90"/>
                    <w:rPr>
                      <w:color w:val="000000" w:themeColor="text1"/>
                      <w14:textFill>
                        <w14:solidFill>
                          <w14:schemeClr w14:val="tx1"/>
                        </w14:solidFill>
                      </w14:textFill>
                    </w:rPr>
                  </w:pPr>
                  <w:r>
                    <w:rPr>
                      <w:color w:val="000000" w:themeColor="text1"/>
                      <w14:textFill>
                        <w14:solidFill>
                          <w14:schemeClr w14:val="tx1"/>
                        </w14:solidFill>
                      </w14:textFill>
                    </w:rPr>
                    <w:t>71</w:t>
                  </w:r>
                </w:p>
              </w:tc>
              <w:tc>
                <w:tcPr>
                  <w:tcW w:w="784" w:type="dxa"/>
                  <w:vAlign w:val="center"/>
                </w:tcPr>
                <w:p w14:paraId="2B77F741">
                  <w:pPr>
                    <w:pStyle w:val="90"/>
                    <w:rPr>
                      <w:color w:val="000000" w:themeColor="text1"/>
                      <w14:textFill>
                        <w14:solidFill>
                          <w14:schemeClr w14:val="tx1"/>
                        </w14:solidFill>
                      </w14:textFill>
                    </w:rPr>
                  </w:pPr>
                  <w:r>
                    <w:rPr>
                      <w:color w:val="000000" w:themeColor="text1"/>
                      <w14:textFill>
                        <w14:solidFill>
                          <w14:schemeClr w14:val="tx1"/>
                        </w14:solidFill>
                      </w14:textFill>
                    </w:rPr>
                    <w:t>70</w:t>
                  </w:r>
                </w:p>
              </w:tc>
              <w:tc>
                <w:tcPr>
                  <w:tcW w:w="784" w:type="dxa"/>
                  <w:vAlign w:val="center"/>
                </w:tcPr>
                <w:p w14:paraId="64F5F0B9">
                  <w:pPr>
                    <w:pStyle w:val="90"/>
                    <w:rPr>
                      <w:color w:val="000000" w:themeColor="text1"/>
                      <w14:textFill>
                        <w14:solidFill>
                          <w14:schemeClr w14:val="tx1"/>
                        </w14:solidFill>
                      </w14:textFill>
                    </w:rPr>
                  </w:pPr>
                  <w:r>
                    <w:rPr>
                      <w:color w:val="000000" w:themeColor="text1"/>
                      <w14:textFill>
                        <w14:solidFill>
                          <w14:schemeClr w14:val="tx1"/>
                        </w14:solidFill>
                      </w14:textFill>
                    </w:rPr>
                    <w:t>65</w:t>
                  </w:r>
                </w:p>
              </w:tc>
              <w:tc>
                <w:tcPr>
                  <w:tcW w:w="784" w:type="dxa"/>
                  <w:vAlign w:val="center"/>
                </w:tcPr>
                <w:p w14:paraId="042B9F26">
                  <w:pPr>
                    <w:pStyle w:val="90"/>
                    <w:rPr>
                      <w:color w:val="000000" w:themeColor="text1"/>
                      <w14:textFill>
                        <w14:solidFill>
                          <w14:schemeClr w14:val="tx1"/>
                        </w14:solidFill>
                      </w14:textFill>
                    </w:rPr>
                  </w:pPr>
                  <w:r>
                    <w:rPr>
                      <w:color w:val="000000" w:themeColor="text1"/>
                      <w14:textFill>
                        <w14:solidFill>
                          <w14:schemeClr w14:val="tx1"/>
                        </w14:solidFill>
                      </w14:textFill>
                    </w:rPr>
                    <w:t>61</w:t>
                  </w:r>
                </w:p>
              </w:tc>
              <w:tc>
                <w:tcPr>
                  <w:tcW w:w="784" w:type="dxa"/>
                  <w:vAlign w:val="center"/>
                </w:tcPr>
                <w:p w14:paraId="2D8A705F">
                  <w:pPr>
                    <w:pStyle w:val="90"/>
                    <w:rPr>
                      <w:color w:val="000000" w:themeColor="text1"/>
                      <w14:textFill>
                        <w14:solidFill>
                          <w14:schemeClr w14:val="tx1"/>
                        </w14:solidFill>
                      </w14:textFill>
                    </w:rPr>
                  </w:pPr>
                  <w:r>
                    <w:rPr>
                      <w:color w:val="000000" w:themeColor="text1"/>
                      <w14:textFill>
                        <w14:solidFill>
                          <w14:schemeClr w14:val="tx1"/>
                        </w14:solidFill>
                      </w14:textFill>
                    </w:rPr>
                    <w:t>57</w:t>
                  </w:r>
                </w:p>
              </w:tc>
              <w:tc>
                <w:tcPr>
                  <w:tcW w:w="927" w:type="dxa"/>
                  <w:vAlign w:val="center"/>
                </w:tcPr>
                <w:p w14:paraId="1A816795">
                  <w:pPr>
                    <w:pStyle w:val="90"/>
                    <w:rPr>
                      <w:color w:val="000000" w:themeColor="text1"/>
                      <w14:textFill>
                        <w14:solidFill>
                          <w14:schemeClr w14:val="tx1"/>
                        </w14:solidFill>
                      </w14:textFill>
                    </w:rPr>
                  </w:pPr>
                  <w:r>
                    <w:rPr>
                      <w:color w:val="000000" w:themeColor="text1"/>
                      <w14:textFill>
                        <w14:solidFill>
                          <w14:schemeClr w14:val="tx1"/>
                        </w14:solidFill>
                      </w14:textFill>
                    </w:rPr>
                    <w:t>53</w:t>
                  </w:r>
                </w:p>
              </w:tc>
            </w:tr>
            <w:tr w14:paraId="2F9E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96" w:type="dxa"/>
                  <w:vMerge w:val="restart"/>
                  <w:vAlign w:val="center"/>
                </w:tcPr>
                <w:p w14:paraId="0E19FE1C">
                  <w:pPr>
                    <w:pStyle w:val="90"/>
                    <w:rPr>
                      <w:color w:val="000000" w:themeColor="text1"/>
                      <w14:textFill>
                        <w14:solidFill>
                          <w14:schemeClr w14:val="tx1"/>
                        </w14:solidFill>
                      </w14:textFill>
                    </w:rPr>
                  </w:pPr>
                  <w:r>
                    <w:rPr>
                      <w:color w:val="000000" w:themeColor="text1"/>
                      <w14:textFill>
                        <w14:solidFill>
                          <w14:schemeClr w14:val="tx1"/>
                        </w14:solidFill>
                      </w14:textFill>
                    </w:rPr>
                    <w:t>装修</w:t>
                  </w:r>
                </w:p>
              </w:tc>
              <w:tc>
                <w:tcPr>
                  <w:tcW w:w="1475" w:type="dxa"/>
                  <w:vAlign w:val="center"/>
                </w:tcPr>
                <w:p w14:paraId="504C1D6F">
                  <w:pPr>
                    <w:pStyle w:val="90"/>
                    <w:rPr>
                      <w:color w:val="000000" w:themeColor="text1"/>
                      <w14:textFill>
                        <w14:solidFill>
                          <w14:schemeClr w14:val="tx1"/>
                        </w14:solidFill>
                      </w14:textFill>
                    </w:rPr>
                  </w:pPr>
                  <w:r>
                    <w:rPr>
                      <w:color w:val="000000" w:themeColor="text1"/>
                      <w14:textFill>
                        <w14:solidFill>
                          <w14:schemeClr w14:val="tx1"/>
                        </w14:solidFill>
                      </w14:textFill>
                    </w:rPr>
                    <w:t>拉直切断机</w:t>
                  </w:r>
                </w:p>
              </w:tc>
              <w:tc>
                <w:tcPr>
                  <w:tcW w:w="643" w:type="dxa"/>
                  <w:vAlign w:val="center"/>
                </w:tcPr>
                <w:p w14:paraId="7D17E4A6">
                  <w:pPr>
                    <w:pStyle w:val="90"/>
                    <w:rPr>
                      <w:color w:val="000000" w:themeColor="text1"/>
                      <w14:textFill>
                        <w14:solidFill>
                          <w14:schemeClr w14:val="tx1"/>
                        </w14:solidFill>
                      </w14:textFill>
                    </w:rPr>
                  </w:pPr>
                  <w:r>
                    <w:rPr>
                      <w:color w:val="000000" w:themeColor="text1"/>
                      <w14:textFill>
                        <w14:solidFill>
                          <w14:schemeClr w14:val="tx1"/>
                        </w14:solidFill>
                      </w14:textFill>
                    </w:rPr>
                    <w:t>78</w:t>
                  </w:r>
                </w:p>
              </w:tc>
              <w:tc>
                <w:tcPr>
                  <w:tcW w:w="784" w:type="dxa"/>
                  <w:vAlign w:val="center"/>
                </w:tcPr>
                <w:p w14:paraId="5606B530">
                  <w:pPr>
                    <w:pStyle w:val="90"/>
                    <w:rPr>
                      <w:color w:val="000000" w:themeColor="text1"/>
                      <w14:textFill>
                        <w14:solidFill>
                          <w14:schemeClr w14:val="tx1"/>
                        </w14:solidFill>
                      </w14:textFill>
                    </w:rPr>
                  </w:pPr>
                  <w:r>
                    <w:rPr>
                      <w:color w:val="000000" w:themeColor="text1"/>
                      <w14:textFill>
                        <w14:solidFill>
                          <w14:schemeClr w14:val="tx1"/>
                        </w14:solidFill>
                      </w14:textFill>
                    </w:rPr>
                    <w:t>67</w:t>
                  </w:r>
                </w:p>
              </w:tc>
              <w:tc>
                <w:tcPr>
                  <w:tcW w:w="784" w:type="dxa"/>
                  <w:vAlign w:val="center"/>
                </w:tcPr>
                <w:p w14:paraId="0E39F707">
                  <w:pPr>
                    <w:pStyle w:val="90"/>
                    <w:rPr>
                      <w:color w:val="000000" w:themeColor="text1"/>
                      <w14:textFill>
                        <w14:solidFill>
                          <w14:schemeClr w14:val="tx1"/>
                        </w14:solidFill>
                      </w14:textFill>
                    </w:rPr>
                  </w:pPr>
                  <w:r>
                    <w:rPr>
                      <w:color w:val="000000" w:themeColor="text1"/>
                      <w14:textFill>
                        <w14:solidFill>
                          <w14:schemeClr w14:val="tx1"/>
                        </w14:solidFill>
                      </w14:textFill>
                    </w:rPr>
                    <w:t>66</w:t>
                  </w:r>
                </w:p>
              </w:tc>
              <w:tc>
                <w:tcPr>
                  <w:tcW w:w="784" w:type="dxa"/>
                  <w:vAlign w:val="center"/>
                </w:tcPr>
                <w:p w14:paraId="3AFDF9C7">
                  <w:pPr>
                    <w:pStyle w:val="90"/>
                    <w:rPr>
                      <w:color w:val="000000" w:themeColor="text1"/>
                      <w14:textFill>
                        <w14:solidFill>
                          <w14:schemeClr w14:val="tx1"/>
                        </w14:solidFill>
                      </w14:textFill>
                    </w:rPr>
                  </w:pPr>
                  <w:r>
                    <w:rPr>
                      <w:color w:val="000000" w:themeColor="text1"/>
                      <w14:textFill>
                        <w14:solidFill>
                          <w14:schemeClr w14:val="tx1"/>
                        </w14:solidFill>
                      </w14:textFill>
                    </w:rPr>
                    <w:t>61</w:t>
                  </w:r>
                </w:p>
              </w:tc>
              <w:tc>
                <w:tcPr>
                  <w:tcW w:w="784" w:type="dxa"/>
                  <w:vAlign w:val="center"/>
                </w:tcPr>
                <w:p w14:paraId="0369DDEE">
                  <w:pPr>
                    <w:pStyle w:val="90"/>
                    <w:rPr>
                      <w:color w:val="000000" w:themeColor="text1"/>
                      <w14:textFill>
                        <w14:solidFill>
                          <w14:schemeClr w14:val="tx1"/>
                        </w14:solidFill>
                      </w14:textFill>
                    </w:rPr>
                  </w:pPr>
                  <w:r>
                    <w:rPr>
                      <w:color w:val="000000" w:themeColor="text1"/>
                      <w14:textFill>
                        <w14:solidFill>
                          <w14:schemeClr w14:val="tx1"/>
                        </w14:solidFill>
                      </w14:textFill>
                    </w:rPr>
                    <w:t>56</w:t>
                  </w:r>
                </w:p>
              </w:tc>
              <w:tc>
                <w:tcPr>
                  <w:tcW w:w="784" w:type="dxa"/>
                  <w:vAlign w:val="center"/>
                </w:tcPr>
                <w:p w14:paraId="25718907">
                  <w:pPr>
                    <w:pStyle w:val="90"/>
                    <w:rPr>
                      <w:color w:val="000000" w:themeColor="text1"/>
                      <w14:textFill>
                        <w14:solidFill>
                          <w14:schemeClr w14:val="tx1"/>
                        </w14:solidFill>
                      </w14:textFill>
                    </w:rPr>
                  </w:pPr>
                  <w:r>
                    <w:rPr>
                      <w:color w:val="000000" w:themeColor="text1"/>
                      <w14:textFill>
                        <w14:solidFill>
                          <w14:schemeClr w14:val="tx1"/>
                        </w14:solidFill>
                      </w14:textFill>
                    </w:rPr>
                    <w:t>52</w:t>
                  </w:r>
                </w:p>
              </w:tc>
              <w:tc>
                <w:tcPr>
                  <w:tcW w:w="927" w:type="dxa"/>
                  <w:vAlign w:val="center"/>
                </w:tcPr>
                <w:p w14:paraId="6E7B62AF">
                  <w:pPr>
                    <w:pStyle w:val="90"/>
                    <w:rPr>
                      <w:color w:val="000000" w:themeColor="text1"/>
                      <w14:textFill>
                        <w14:solidFill>
                          <w14:schemeClr w14:val="tx1"/>
                        </w14:solidFill>
                      </w14:textFill>
                    </w:rPr>
                  </w:pPr>
                  <w:r>
                    <w:rPr>
                      <w:color w:val="000000" w:themeColor="text1"/>
                      <w14:textFill>
                        <w14:solidFill>
                          <w14:schemeClr w14:val="tx1"/>
                        </w14:solidFill>
                      </w14:textFill>
                    </w:rPr>
                    <w:t>48</w:t>
                  </w:r>
                </w:p>
              </w:tc>
            </w:tr>
            <w:tr w14:paraId="5BD1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96" w:type="dxa"/>
                  <w:vMerge w:val="continue"/>
                  <w:vAlign w:val="center"/>
                </w:tcPr>
                <w:p w14:paraId="272E3FCD">
                  <w:pPr>
                    <w:pStyle w:val="90"/>
                    <w:rPr>
                      <w:color w:val="000000" w:themeColor="text1"/>
                      <w14:textFill>
                        <w14:solidFill>
                          <w14:schemeClr w14:val="tx1"/>
                        </w14:solidFill>
                      </w14:textFill>
                    </w:rPr>
                  </w:pPr>
                </w:p>
              </w:tc>
              <w:tc>
                <w:tcPr>
                  <w:tcW w:w="1475" w:type="dxa"/>
                  <w:vAlign w:val="center"/>
                </w:tcPr>
                <w:p w14:paraId="126E27A1">
                  <w:pPr>
                    <w:pStyle w:val="90"/>
                    <w:rPr>
                      <w:color w:val="000000" w:themeColor="text1"/>
                      <w14:textFill>
                        <w14:solidFill>
                          <w14:schemeClr w14:val="tx1"/>
                        </w14:solidFill>
                      </w14:textFill>
                    </w:rPr>
                  </w:pPr>
                  <w:r>
                    <w:rPr>
                      <w:color w:val="000000" w:themeColor="text1"/>
                      <w14:textFill>
                        <w14:solidFill>
                          <w14:schemeClr w14:val="tx1"/>
                        </w14:solidFill>
                      </w14:textFill>
                    </w:rPr>
                    <w:t>冲击钻</w:t>
                  </w:r>
                </w:p>
              </w:tc>
              <w:tc>
                <w:tcPr>
                  <w:tcW w:w="643" w:type="dxa"/>
                  <w:vAlign w:val="center"/>
                </w:tcPr>
                <w:p w14:paraId="3F6285F4">
                  <w:pPr>
                    <w:pStyle w:val="90"/>
                    <w:rPr>
                      <w:color w:val="000000" w:themeColor="text1"/>
                      <w14:textFill>
                        <w14:solidFill>
                          <w14:schemeClr w14:val="tx1"/>
                        </w14:solidFill>
                      </w14:textFill>
                    </w:rPr>
                  </w:pPr>
                  <w:r>
                    <w:rPr>
                      <w:color w:val="000000" w:themeColor="text1"/>
                      <w14:textFill>
                        <w14:solidFill>
                          <w14:schemeClr w14:val="tx1"/>
                        </w14:solidFill>
                      </w14:textFill>
                    </w:rPr>
                    <w:t>81</w:t>
                  </w:r>
                </w:p>
              </w:tc>
              <w:tc>
                <w:tcPr>
                  <w:tcW w:w="784" w:type="dxa"/>
                  <w:vAlign w:val="center"/>
                </w:tcPr>
                <w:p w14:paraId="017173C2">
                  <w:pPr>
                    <w:pStyle w:val="90"/>
                    <w:rPr>
                      <w:color w:val="000000" w:themeColor="text1"/>
                      <w14:textFill>
                        <w14:solidFill>
                          <w14:schemeClr w14:val="tx1"/>
                        </w14:solidFill>
                      </w14:textFill>
                    </w:rPr>
                  </w:pPr>
                  <w:r>
                    <w:rPr>
                      <w:color w:val="000000" w:themeColor="text1"/>
                      <w14:textFill>
                        <w14:solidFill>
                          <w14:schemeClr w14:val="tx1"/>
                        </w14:solidFill>
                      </w14:textFill>
                    </w:rPr>
                    <w:t>74</w:t>
                  </w:r>
                </w:p>
              </w:tc>
              <w:tc>
                <w:tcPr>
                  <w:tcW w:w="784" w:type="dxa"/>
                  <w:vAlign w:val="center"/>
                </w:tcPr>
                <w:p w14:paraId="45DC2A56">
                  <w:pPr>
                    <w:pStyle w:val="90"/>
                    <w:rPr>
                      <w:color w:val="000000" w:themeColor="text1"/>
                      <w14:textFill>
                        <w14:solidFill>
                          <w14:schemeClr w14:val="tx1"/>
                        </w14:solidFill>
                      </w14:textFill>
                    </w:rPr>
                  </w:pPr>
                  <w:r>
                    <w:rPr>
                      <w:color w:val="000000" w:themeColor="text1"/>
                      <w14:textFill>
                        <w14:solidFill>
                          <w14:schemeClr w14:val="tx1"/>
                        </w14:solidFill>
                      </w14:textFill>
                    </w:rPr>
                    <w:t>73</w:t>
                  </w:r>
                </w:p>
              </w:tc>
              <w:tc>
                <w:tcPr>
                  <w:tcW w:w="784" w:type="dxa"/>
                  <w:vAlign w:val="center"/>
                </w:tcPr>
                <w:p w14:paraId="57FB30A9">
                  <w:pPr>
                    <w:pStyle w:val="90"/>
                    <w:rPr>
                      <w:color w:val="000000" w:themeColor="text1"/>
                      <w14:textFill>
                        <w14:solidFill>
                          <w14:schemeClr w14:val="tx1"/>
                        </w14:solidFill>
                      </w14:textFill>
                    </w:rPr>
                  </w:pPr>
                  <w:r>
                    <w:rPr>
                      <w:color w:val="000000" w:themeColor="text1"/>
                      <w14:textFill>
                        <w14:solidFill>
                          <w14:schemeClr w14:val="tx1"/>
                        </w14:solidFill>
                      </w14:textFill>
                    </w:rPr>
                    <w:t>68</w:t>
                  </w:r>
                </w:p>
              </w:tc>
              <w:tc>
                <w:tcPr>
                  <w:tcW w:w="784" w:type="dxa"/>
                  <w:vAlign w:val="center"/>
                </w:tcPr>
                <w:p w14:paraId="7BFFFDE5">
                  <w:pPr>
                    <w:pStyle w:val="90"/>
                    <w:rPr>
                      <w:color w:val="000000" w:themeColor="text1"/>
                      <w14:textFill>
                        <w14:solidFill>
                          <w14:schemeClr w14:val="tx1"/>
                        </w14:solidFill>
                      </w14:textFill>
                    </w:rPr>
                  </w:pPr>
                  <w:r>
                    <w:rPr>
                      <w:color w:val="000000" w:themeColor="text1"/>
                      <w14:textFill>
                        <w14:solidFill>
                          <w14:schemeClr w14:val="tx1"/>
                        </w14:solidFill>
                      </w14:textFill>
                    </w:rPr>
                    <w:t>64</w:t>
                  </w:r>
                </w:p>
              </w:tc>
              <w:tc>
                <w:tcPr>
                  <w:tcW w:w="784" w:type="dxa"/>
                  <w:vAlign w:val="center"/>
                </w:tcPr>
                <w:p w14:paraId="48063C4F">
                  <w:pPr>
                    <w:pStyle w:val="90"/>
                    <w:rPr>
                      <w:color w:val="000000" w:themeColor="text1"/>
                      <w14:textFill>
                        <w14:solidFill>
                          <w14:schemeClr w14:val="tx1"/>
                        </w14:solidFill>
                      </w14:textFill>
                    </w:rPr>
                  </w:pPr>
                  <w:r>
                    <w:rPr>
                      <w:color w:val="000000" w:themeColor="text1"/>
                      <w14:textFill>
                        <w14:solidFill>
                          <w14:schemeClr w14:val="tx1"/>
                        </w14:solidFill>
                      </w14:textFill>
                    </w:rPr>
                    <w:t>61</w:t>
                  </w:r>
                </w:p>
              </w:tc>
              <w:tc>
                <w:tcPr>
                  <w:tcW w:w="927" w:type="dxa"/>
                  <w:vAlign w:val="center"/>
                </w:tcPr>
                <w:p w14:paraId="4337A263">
                  <w:pPr>
                    <w:pStyle w:val="90"/>
                    <w:rPr>
                      <w:color w:val="000000" w:themeColor="text1"/>
                      <w14:textFill>
                        <w14:solidFill>
                          <w14:schemeClr w14:val="tx1"/>
                        </w14:solidFill>
                      </w14:textFill>
                    </w:rPr>
                  </w:pPr>
                  <w:r>
                    <w:rPr>
                      <w:color w:val="000000" w:themeColor="text1"/>
                      <w14:textFill>
                        <w14:solidFill>
                          <w14:schemeClr w14:val="tx1"/>
                        </w14:solidFill>
                      </w14:textFill>
                    </w:rPr>
                    <w:t>56</w:t>
                  </w:r>
                </w:p>
              </w:tc>
            </w:tr>
          </w:tbl>
          <w:p w14:paraId="7B64F4F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从上表可以看出：声源较大的施工机械在相距50m之外，基本均可以达到《建筑施工噪声排放标准》（GB12523-2025）昼间70dB(A)的限值。昼间施工对50m范围内的敏感目标有一定影响，夜间影响更为显著，影响范围达到110m外。因周边环境敏感目标均距离项目所在地较远，最近敏感目标距本项目达1.5 km以上，敏感目标受到的噪声影响较小。因此，经采取以下噪声防治措施后将不会对周边环境产生明显影响。</w:t>
            </w:r>
          </w:p>
          <w:p w14:paraId="617EF76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①加强施工管理，严格遵守建筑施工噪声管理规定，尽可能避免或减轻施工噪声对环境的影响。</w:t>
            </w:r>
          </w:p>
          <w:p w14:paraId="0C283CC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②施工机械尽量选用低噪声型设备，车辆进出施工工地时严禁鸣笛。</w:t>
            </w:r>
          </w:p>
          <w:p w14:paraId="64709DF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③合理安排施工工期，严格控制夜间的高噪声作业。</w:t>
            </w:r>
          </w:p>
          <w:p w14:paraId="7057D89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④施工过程中施工厂界噪声应严格执行《建筑施工噪声排放标准》(GB12523-2025)中的标准限值要求。</w:t>
            </w:r>
          </w:p>
          <w:p w14:paraId="3C5EFAD5">
            <w:pPr>
              <w:pStyle w:val="3"/>
              <w:rPr>
                <w:rFonts w:cs="Times New Roman"/>
                <w:color w:val="000000" w:themeColor="text1"/>
                <w14:textFill>
                  <w14:solidFill>
                    <w14:schemeClr w14:val="tx1"/>
                  </w14:solidFill>
                </w14:textFill>
              </w:rPr>
            </w:pPr>
            <w:bookmarkStart w:id="143" w:name="_Toc1124"/>
            <w:bookmarkStart w:id="144" w:name="_Toc1188217585"/>
            <w:bookmarkStart w:id="145" w:name="_Toc230448050"/>
            <w:r>
              <w:rPr>
                <w:rFonts w:cs="Times New Roman"/>
                <w:color w:val="000000" w:themeColor="text1"/>
                <w14:textFill>
                  <w14:solidFill>
                    <w14:schemeClr w14:val="tx1"/>
                  </w14:solidFill>
                </w14:textFill>
              </w:rPr>
              <w:t>固体废物影响分析</w:t>
            </w:r>
            <w:bookmarkEnd w:id="143"/>
            <w:r>
              <w:rPr>
                <w:rFonts w:cs="Times New Roman"/>
                <w:color w:val="000000" w:themeColor="text1"/>
                <w14:textFill>
                  <w14:solidFill>
                    <w14:schemeClr w14:val="tx1"/>
                  </w14:solidFill>
                </w14:textFill>
              </w:rPr>
              <w:t>及污染防治措施</w:t>
            </w:r>
            <w:bookmarkEnd w:id="144"/>
            <w:bookmarkEnd w:id="145"/>
          </w:p>
          <w:p w14:paraId="1900651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中将产生一些废弃土石方、建筑垃圾以及生活垃圾。建筑垃圾的成分主要为施工过程中产生的建筑模板、建筑材料下脚料、断残钢筋头、破钢管、包装袋、废旧设备零件以及建筑碎片、碎砖头、水泥块、石子、沙子等建筑材料废弃物和少量机械修配擦油布等。拟建项目施工高峰期各类施工人员约40人，按每人每天产生1 kg生活垃圾估算，则项目施工期生活垃圾产生量为40kg/d。施工期生活垃圾主要为施工现场施工人员日常生活过程产生的生活垃圾，以有机物为主，可集中堆存后，由环卫公司统一收集后运往垃圾处理厂处理。</w:t>
            </w:r>
          </w:p>
          <w:p w14:paraId="19A9185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为了确保降低固体废物对周围环境的影响，应采取以下措施：</w:t>
            </w:r>
          </w:p>
          <w:p w14:paraId="6B03A15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①施工产生的表土集中堆存，采取拦挡、覆盖等措施，减少扬尘和水土流失，表土后期用于场地绿化和道路建设。</w:t>
            </w:r>
          </w:p>
          <w:p w14:paraId="76BFAEA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建筑垃圾中的废钢筋、废纸箱、水泥包装袋等为可回收再利用的固废，应定点收集后回收利用，以实现固体废物的资源化、减量化；其他按照一般固体废弃物处置要求处置。施工过程产生的少量不能回收利用的废油漆、含油抹布等应经收集后按危险废物进行处置，不得随意丢弃。</w:t>
            </w:r>
          </w:p>
          <w:p w14:paraId="1E51479F">
            <w:pPr>
              <w:ind w:firstLine="48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③生活垃圾统一收集后由环卫部门及时清运处理。</w:t>
            </w:r>
          </w:p>
          <w:p w14:paraId="573D3A5B">
            <w:pPr>
              <w:pStyle w:val="3"/>
              <w:rPr>
                <w:rFonts w:cs="Times New Roman"/>
                <w:color w:val="000000" w:themeColor="text1"/>
                <w14:textFill>
                  <w14:solidFill>
                    <w14:schemeClr w14:val="tx1"/>
                  </w14:solidFill>
                </w14:textFill>
              </w:rPr>
            </w:pPr>
            <w:bookmarkStart w:id="146" w:name="_Toc20997"/>
            <w:bookmarkStart w:id="147" w:name="_Toc1835020208"/>
            <w:bookmarkStart w:id="148" w:name="_Toc230448051"/>
            <w:r>
              <w:rPr>
                <w:rFonts w:cs="Times New Roman"/>
                <w:color w:val="000000" w:themeColor="text1"/>
                <w14:textFill>
                  <w14:solidFill>
                    <w14:schemeClr w14:val="tx1"/>
                  </w14:solidFill>
                </w14:textFill>
              </w:rPr>
              <w:t>生态环境影响分析</w:t>
            </w:r>
            <w:bookmarkEnd w:id="146"/>
            <w:r>
              <w:rPr>
                <w:rFonts w:cs="Times New Roman"/>
                <w:color w:val="000000" w:themeColor="text1"/>
                <w14:textFill>
                  <w14:solidFill>
                    <w14:schemeClr w14:val="tx1"/>
                  </w14:solidFill>
                </w14:textFill>
              </w:rPr>
              <w:t>及污染防治措施</w:t>
            </w:r>
            <w:bookmarkEnd w:id="147"/>
            <w:bookmarkEnd w:id="148"/>
          </w:p>
          <w:p w14:paraId="1203176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从项目用地现状来看，目前项目用地范围内已经全部平整，项目位于宝钢征地红线范围内，施工期本项目的建设，不存在对地表植被的破坏。项目建设过程中会造成一定的水土流失，项目采取以下防治措施：</w:t>
            </w:r>
          </w:p>
          <w:p w14:paraId="0A3D4BF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⑴ 设置必要的导水沟渠，将施工产生的废水沉淀后回用，不得随意引入地表水。</w:t>
            </w:r>
          </w:p>
          <w:p w14:paraId="5FBFFBE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⑵ 裸土表面覆盖了彩条布，既防止起尘，同时防止下雨引起水土流失。</w:t>
            </w:r>
          </w:p>
          <w:p w14:paraId="77AE9D9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取以上措施后，避免对区域生态环境造成明显影响，无遗留环境问题。项目建成后，厂区地面变成混凝土地面，同时厂区及周围进行绿化、恢复植被，可有效防止水土流失，减小水土流失程度；增加绿化面积，有利于生态保护。</w:t>
            </w:r>
          </w:p>
          <w:p w14:paraId="35266F5B">
            <w:pPr>
              <w:ind w:firstLine="480"/>
              <w:rPr>
                <w:rFonts w:cs="Times New Roman"/>
                <w:bCs/>
                <w:color w:val="000000" w:themeColor="text1"/>
                <w:spacing w:val="-10"/>
                <w:szCs w:val="21"/>
                <w14:textFill>
                  <w14:solidFill>
                    <w14:schemeClr w14:val="tx1"/>
                  </w14:solidFill>
                </w14:textFill>
              </w:rPr>
            </w:pPr>
            <w:r>
              <w:rPr>
                <w:rFonts w:cs="Times New Roman"/>
                <w:color w:val="000000" w:themeColor="text1"/>
                <w14:textFill>
                  <w14:solidFill>
                    <w14:schemeClr w14:val="tx1"/>
                  </w14:solidFill>
                </w14:textFill>
              </w:rPr>
              <w:t>通过上述施工管理措施的落实，可极大地约束和控制施工期的“三废”和噪声产生；同时通过实施相应的工程防范措施，又可将工程施工对扬尘、噪声、废水、弃渣的影响降到最低的程度及很小的范围内。采纳上述的管理措施和工程措施，大大削减了施工“三废”和噪声的排放，同时可节省污染防治费用，治理措施可行。</w:t>
            </w:r>
          </w:p>
        </w:tc>
      </w:tr>
      <w:tr w14:paraId="66C332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3" w:hRule="atLeast"/>
          <w:jc w:val="center"/>
        </w:trPr>
        <w:tc>
          <w:tcPr>
            <w:tcW w:w="242" w:type="dxa"/>
            <w:tcMar>
              <w:left w:w="28" w:type="dxa"/>
              <w:right w:w="28" w:type="dxa"/>
            </w:tcMar>
            <w:vAlign w:val="center"/>
          </w:tcPr>
          <w:p w14:paraId="35FACA46">
            <w:pPr>
              <w:pStyle w:val="90"/>
              <w:rPr>
                <w:color w:val="000000" w:themeColor="text1"/>
                <w14:textFill>
                  <w14:solidFill>
                    <w14:schemeClr w14:val="tx1"/>
                  </w14:solidFill>
                </w14:textFill>
              </w:rPr>
            </w:pPr>
            <w:r>
              <w:rPr>
                <w:color w:val="000000" w:themeColor="text1"/>
                <w14:textFill>
                  <w14:solidFill>
                    <w14:schemeClr w14:val="tx1"/>
                  </w14:solidFill>
                </w14:textFill>
              </w:rPr>
              <w:t>运营</w:t>
            </w:r>
          </w:p>
          <w:p w14:paraId="511933EA">
            <w:pPr>
              <w:pStyle w:val="90"/>
              <w:rPr>
                <w:color w:val="000000" w:themeColor="text1"/>
                <w14:textFill>
                  <w14:solidFill>
                    <w14:schemeClr w14:val="tx1"/>
                  </w14:solidFill>
                </w14:textFill>
              </w:rPr>
            </w:pPr>
            <w:r>
              <w:rPr>
                <w:color w:val="000000" w:themeColor="text1"/>
                <w14:textFill>
                  <w14:solidFill>
                    <w14:schemeClr w14:val="tx1"/>
                  </w14:solidFill>
                </w14:textFill>
              </w:rPr>
              <w:t>期环</w:t>
            </w:r>
          </w:p>
          <w:p w14:paraId="133A26AF">
            <w:pPr>
              <w:pStyle w:val="90"/>
              <w:rPr>
                <w:color w:val="000000" w:themeColor="text1"/>
                <w14:textFill>
                  <w14:solidFill>
                    <w14:schemeClr w14:val="tx1"/>
                  </w14:solidFill>
                </w14:textFill>
              </w:rPr>
            </w:pPr>
            <w:r>
              <w:rPr>
                <w:color w:val="000000" w:themeColor="text1"/>
                <w14:textFill>
                  <w14:solidFill>
                    <w14:schemeClr w14:val="tx1"/>
                  </w14:solidFill>
                </w14:textFill>
              </w:rPr>
              <w:t>境影</w:t>
            </w:r>
          </w:p>
          <w:p w14:paraId="75796668">
            <w:pPr>
              <w:pStyle w:val="90"/>
              <w:rPr>
                <w:color w:val="000000" w:themeColor="text1"/>
                <w14:textFill>
                  <w14:solidFill>
                    <w14:schemeClr w14:val="tx1"/>
                  </w14:solidFill>
                </w14:textFill>
              </w:rPr>
            </w:pPr>
            <w:r>
              <w:rPr>
                <w:color w:val="000000" w:themeColor="text1"/>
                <w14:textFill>
                  <w14:solidFill>
                    <w14:schemeClr w14:val="tx1"/>
                  </w14:solidFill>
                </w14:textFill>
              </w:rPr>
              <w:t>响和</w:t>
            </w:r>
          </w:p>
          <w:p w14:paraId="0174A8CC">
            <w:pPr>
              <w:pStyle w:val="90"/>
              <w:rPr>
                <w:color w:val="000000" w:themeColor="text1"/>
                <w14:textFill>
                  <w14:solidFill>
                    <w14:schemeClr w14:val="tx1"/>
                  </w14:solidFill>
                </w14:textFill>
              </w:rPr>
            </w:pPr>
            <w:r>
              <w:rPr>
                <w:color w:val="000000" w:themeColor="text1"/>
                <w14:textFill>
                  <w14:solidFill>
                    <w14:schemeClr w14:val="tx1"/>
                  </w14:solidFill>
                </w14:textFill>
              </w:rPr>
              <w:t>保护</w:t>
            </w:r>
          </w:p>
          <w:p w14:paraId="5C1BA181">
            <w:pPr>
              <w:pStyle w:val="90"/>
              <w:rPr>
                <w:color w:val="000000" w:themeColor="text1"/>
                <w14:textFill>
                  <w14:solidFill>
                    <w14:schemeClr w14:val="tx1"/>
                  </w14:solidFill>
                </w14:textFill>
              </w:rPr>
            </w:pPr>
            <w:r>
              <w:rPr>
                <w:color w:val="000000" w:themeColor="text1"/>
                <w14:textFill>
                  <w14:solidFill>
                    <w14:schemeClr w14:val="tx1"/>
                  </w14:solidFill>
                </w14:textFill>
              </w:rPr>
              <w:t>措施</w:t>
            </w:r>
          </w:p>
        </w:tc>
        <w:tc>
          <w:tcPr>
            <w:tcW w:w="8739" w:type="dxa"/>
            <w:vAlign w:val="center"/>
          </w:tcPr>
          <w:p w14:paraId="019EBDDB">
            <w:pPr>
              <w:pStyle w:val="3"/>
              <w:rPr>
                <w:rFonts w:cs="Times New Roman"/>
                <w:color w:val="000000" w:themeColor="text1"/>
                <w14:textFill>
                  <w14:solidFill>
                    <w14:schemeClr w14:val="tx1"/>
                  </w14:solidFill>
                </w14:textFill>
              </w:rPr>
            </w:pPr>
            <w:bookmarkStart w:id="149" w:name="_Toc2126997982"/>
            <w:bookmarkStart w:id="150" w:name="_Toc230448052"/>
            <w:bookmarkStart w:id="151" w:name="_Toc32340"/>
            <w:r>
              <w:rPr>
                <w:rFonts w:cs="Times New Roman"/>
                <w:color w:val="000000" w:themeColor="text1"/>
                <w14:textFill>
                  <w14:solidFill>
                    <w14:schemeClr w14:val="tx1"/>
                  </w14:solidFill>
                </w14:textFill>
              </w:rPr>
              <w:t>大气环境影响及保护措施</w:t>
            </w:r>
            <w:bookmarkEnd w:id="149"/>
            <w:bookmarkEnd w:id="150"/>
          </w:p>
          <w:p w14:paraId="6F4515B7">
            <w:pPr>
              <w:ind w:firstLine="488"/>
              <w:rPr>
                <w:rFonts w:cs="Times New Roman"/>
                <w:color w:val="000000" w:themeColor="text1"/>
                <w14:textFill>
                  <w14:solidFill>
                    <w14:schemeClr w14:val="tx1"/>
                  </w14:solidFill>
                </w14:textFill>
              </w:rPr>
            </w:pPr>
            <w:r>
              <w:rPr>
                <w:rFonts w:cs="Times New Roman"/>
                <w:color w:val="000000" w:themeColor="text1"/>
                <w:spacing w:val="2"/>
                <w14:textFill>
                  <w14:solidFill>
                    <w14:schemeClr w14:val="tx1"/>
                  </w14:solidFill>
                </w14:textFill>
              </w:rPr>
              <w:t>拟建项目废气污染源为</w:t>
            </w:r>
            <w:r>
              <w:rPr>
                <w:rFonts w:cs="Times New Roman"/>
                <w:color w:val="000000" w:themeColor="text1"/>
                <w14:textFill>
                  <w14:solidFill>
                    <w14:schemeClr w14:val="tx1"/>
                  </w14:solidFill>
                </w14:textFill>
              </w:rPr>
              <w:t>超高温超高压燃气锅炉燃烧过程中产生的废气，其污染物为烟尘、二氧化硫、氮氧化物、氨；废气全部收集经炉后经干法脱硫装置、SCR脱硝和布袋除尘器脱硫、脱硝、除尘净化达标处理后，通过60m排气筒排放。</w:t>
            </w:r>
          </w:p>
          <w:p w14:paraId="618FA310">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w:t>
            </w:r>
            <w:bookmarkStart w:id="152" w:name="_Toc529200399"/>
            <w:r>
              <w:rPr>
                <w:rFonts w:cs="Times New Roman"/>
                <w:color w:val="000000" w:themeColor="text1"/>
                <w14:textFill>
                  <w14:solidFill>
                    <w14:schemeClr w14:val="tx1"/>
                  </w14:solidFill>
                </w14:textFill>
              </w:rPr>
              <w:t>气污染源</w:t>
            </w:r>
            <w:bookmarkEnd w:id="151"/>
          </w:p>
          <w:bookmarkEnd w:id="152"/>
          <w:p w14:paraId="081858F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根据《污染源源强核算技术指南 火电》（HJ888-2018），本次评价采用物料衡算法核算烟尘、二氧化硫、氮氧化物，根据燃料消耗量、灰</w:t>
            </w:r>
            <w:r>
              <w:rPr>
                <w:rFonts w:hint="eastAsia" w:cs="Times New Roman"/>
                <w:color w:val="000000" w:themeColor="text1"/>
                <w:lang w:eastAsia="zh-CN"/>
                <w14:textFill>
                  <w14:solidFill>
                    <w14:schemeClr w14:val="tx1"/>
                  </w14:solidFill>
                </w14:textFill>
              </w:rPr>
              <w:t>分</w:t>
            </w:r>
            <w:r>
              <w:rPr>
                <w:rFonts w:cs="Times New Roman"/>
                <w:color w:val="000000" w:themeColor="text1"/>
                <w14:textFill>
                  <w14:solidFill>
                    <w14:schemeClr w14:val="tx1"/>
                  </w14:solidFill>
                </w14:textFill>
              </w:rPr>
              <w:t>含量、含硫率等进行核算；根据《火电厂烟气脱硝工程技术规范 选择性催化还原法》（HJ562-2010），核算本项目氨逃逸源强。</w:t>
            </w:r>
            <w:bookmarkStart w:id="187" w:name="_GoBack"/>
            <w:bookmarkEnd w:id="187"/>
          </w:p>
          <w:p w14:paraId="1F3C4FF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（1）锅炉烟气量</w:t>
            </w:r>
          </w:p>
          <w:p w14:paraId="291B644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本项目锅炉燃料为混合煤气，供气量为11.3万m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 xml:space="preserve">/h，锅炉烟气排放量按下列公式计算： </w:t>
            </w:r>
          </w:p>
          <w:p w14:paraId="1E41C8C0">
            <w:pPr>
              <w:ind w:firstLine="48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5287010" cy="483235"/>
                  <wp:effectExtent l="0" t="0" r="0" b="0"/>
                  <wp:docPr id="22" name="图片 84"/>
                  <wp:cNvGraphicFramePr/>
                  <a:graphic xmlns:a="http://schemas.openxmlformats.org/drawingml/2006/main">
                    <a:graphicData uri="http://schemas.openxmlformats.org/drawingml/2006/picture">
                      <pic:pic xmlns:pic="http://schemas.openxmlformats.org/drawingml/2006/picture">
                        <pic:nvPicPr>
                          <pic:cNvPr id="22" name="图片 84"/>
                          <pic:cNvPicPr/>
                        </pic:nvPicPr>
                        <pic:blipFill>
                          <a:blip r:embed="rId35">
                            <a:extLst>
                              <a:ext uri="{28A0092B-C50C-407E-A947-70E740481C1C}">
                                <a14:useLocalDpi xmlns:a14="http://schemas.microsoft.com/office/drawing/2010/main" val="0"/>
                              </a:ext>
                            </a:extLst>
                          </a:blip>
                          <a:srcRect t="11438" b="6535"/>
                          <a:stretch>
                            <a:fillRect/>
                          </a:stretch>
                        </pic:blipFill>
                        <pic:spPr>
                          <a:xfrm>
                            <a:off x="0" y="0"/>
                            <a:ext cx="5287010" cy="483235"/>
                          </a:xfrm>
                          <a:prstGeom prst="rect">
                            <a:avLst/>
                          </a:prstGeom>
                          <a:noFill/>
                          <a:ln>
                            <a:noFill/>
                          </a:ln>
                          <a:effectLst/>
                        </pic:spPr>
                      </pic:pic>
                    </a:graphicData>
                  </a:graphic>
                </wp:inline>
              </w:drawing>
            </w:r>
          </w:p>
          <w:p w14:paraId="6DC0E8F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式中：V</w:t>
            </w:r>
            <w:r>
              <w:rPr>
                <w:rFonts w:cs="Times New Roman"/>
                <w:i/>
                <w:color w:val="000000" w:themeColor="text1"/>
                <w:vertAlign w:val="subscript"/>
                <w14:textFill>
                  <w14:solidFill>
                    <w14:schemeClr w14:val="tx1"/>
                  </w14:solidFill>
                </w14:textFill>
              </w:rPr>
              <w:t>0</w:t>
            </w:r>
            <w:r>
              <w:rPr>
                <w:rFonts w:cs="Times New Roman"/>
                <w:color w:val="000000" w:themeColor="text1"/>
                <w14:textFill>
                  <w14:solidFill>
                    <w14:schemeClr w14:val="tx1"/>
                  </w14:solidFill>
                </w14:textFill>
              </w:rPr>
              <w:t>——理论空气量，m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11B6F41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φ(CO)——一氧化碳体积分数，%；</w:t>
            </w:r>
          </w:p>
          <w:p w14:paraId="4473E9C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)——氢体积分数，%；</w:t>
            </w:r>
          </w:p>
          <w:p w14:paraId="35F8BE5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S)——硫化氢体积分数，%；</w:t>
            </w:r>
          </w:p>
          <w:p w14:paraId="7246B4E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φ(CmHn)——烃类体积分数，%，m为碳原子数，n为氢原子数；</w:t>
            </w:r>
          </w:p>
          <w:p w14:paraId="2156C51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)——氧体积分数，%。</w:t>
            </w:r>
          </w:p>
          <w:p w14:paraId="5EB1CF01">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1818005" cy="294005"/>
                  <wp:effectExtent l="0" t="0" r="0" b="0"/>
                  <wp:docPr id="23" name="图片 85"/>
                  <wp:cNvGraphicFramePr/>
                  <a:graphic xmlns:a="http://schemas.openxmlformats.org/drawingml/2006/main">
                    <a:graphicData uri="http://schemas.openxmlformats.org/drawingml/2006/picture">
                      <pic:pic xmlns:pic="http://schemas.openxmlformats.org/drawingml/2006/picture">
                        <pic:nvPicPr>
                          <pic:cNvPr id="23" name="图片 85"/>
                          <pic:cNvPicPr/>
                        </pic:nvPicPr>
                        <pic:blipFill>
                          <a:blip r:embed="rId36">
                            <a:extLst>
                              <a:ext uri="{28A0092B-C50C-407E-A947-70E740481C1C}">
                                <a14:useLocalDpi xmlns:a14="http://schemas.microsoft.com/office/drawing/2010/main" val="0"/>
                              </a:ext>
                            </a:extLst>
                          </a:blip>
                          <a:srcRect l="4718"/>
                          <a:stretch>
                            <a:fillRect/>
                          </a:stretch>
                        </pic:blipFill>
                        <pic:spPr>
                          <a:xfrm>
                            <a:off x="0" y="0"/>
                            <a:ext cx="1818005" cy="294005"/>
                          </a:xfrm>
                          <a:prstGeom prst="rect">
                            <a:avLst/>
                          </a:prstGeom>
                          <a:noFill/>
                          <a:ln>
                            <a:noFill/>
                          </a:ln>
                          <a:effectLst/>
                        </pic:spPr>
                      </pic:pic>
                    </a:graphicData>
                  </a:graphic>
                </wp:inline>
              </w:drawing>
            </w:r>
          </w:p>
          <w:p w14:paraId="54E97C68">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449195" cy="304800"/>
                  <wp:effectExtent l="0" t="0" r="0" b="0"/>
                  <wp:docPr id="24" name="图片 88"/>
                  <wp:cNvGraphicFramePr/>
                  <a:graphic xmlns:a="http://schemas.openxmlformats.org/drawingml/2006/main">
                    <a:graphicData uri="http://schemas.openxmlformats.org/drawingml/2006/picture">
                      <pic:pic xmlns:pic="http://schemas.openxmlformats.org/drawingml/2006/picture">
                        <pic:nvPicPr>
                          <pic:cNvPr id="24" name="图片 88"/>
                          <pic:cNvPicPr/>
                        </pic:nvPicPr>
                        <pic:blipFill>
                          <a:blip r:embed="rId37">
                            <a:extLst>
                              <a:ext uri="{28A0092B-C50C-407E-A947-70E740481C1C}">
                                <a14:useLocalDpi xmlns:a14="http://schemas.microsoft.com/office/drawing/2010/main" val="0"/>
                              </a:ext>
                            </a:extLst>
                          </a:blip>
                          <a:srcRect/>
                          <a:stretch>
                            <a:fillRect/>
                          </a:stretch>
                        </pic:blipFill>
                        <pic:spPr>
                          <a:xfrm>
                            <a:off x="0" y="0"/>
                            <a:ext cx="2449195" cy="304800"/>
                          </a:xfrm>
                          <a:prstGeom prst="rect">
                            <a:avLst/>
                          </a:prstGeom>
                          <a:noFill/>
                          <a:ln>
                            <a:noFill/>
                          </a:ln>
                          <a:effectLst/>
                        </pic:spPr>
                      </pic:pic>
                    </a:graphicData>
                  </a:graphic>
                </wp:inline>
              </w:drawing>
            </w:r>
          </w:p>
          <w:p w14:paraId="13E38FC7">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3258185" cy="725170"/>
                  <wp:effectExtent l="0" t="0" r="3175" b="6350"/>
                  <wp:docPr id="25" name="图片 86"/>
                  <wp:cNvGraphicFramePr/>
                  <a:graphic xmlns:a="http://schemas.openxmlformats.org/drawingml/2006/main">
                    <a:graphicData uri="http://schemas.openxmlformats.org/drawingml/2006/picture">
                      <pic:pic xmlns:pic="http://schemas.openxmlformats.org/drawingml/2006/picture">
                        <pic:nvPicPr>
                          <pic:cNvPr id="25" name="图片 86"/>
                          <pic:cNvPicPr/>
                        </pic:nvPicPr>
                        <pic:blipFill>
                          <a:blip r:embed="rId38">
                            <a:extLst>
                              <a:ext uri="{28A0092B-C50C-407E-A947-70E740481C1C}">
                                <a14:useLocalDpi xmlns:a14="http://schemas.microsoft.com/office/drawing/2010/main" val="0"/>
                              </a:ext>
                            </a:extLst>
                          </a:blip>
                          <a:srcRect/>
                          <a:stretch>
                            <a:fillRect/>
                          </a:stretch>
                        </pic:blipFill>
                        <pic:spPr>
                          <a:xfrm>
                            <a:off x="0" y="0"/>
                            <a:ext cx="3258185" cy="725170"/>
                          </a:xfrm>
                          <a:prstGeom prst="rect">
                            <a:avLst/>
                          </a:prstGeom>
                          <a:noFill/>
                          <a:ln>
                            <a:noFill/>
                          </a:ln>
                          <a:effectLst/>
                        </pic:spPr>
                      </pic:pic>
                    </a:graphicData>
                  </a:graphic>
                </wp:inline>
              </w:drawing>
            </w:r>
          </w:p>
          <w:p w14:paraId="3B30BF44">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4319905" cy="431165"/>
                  <wp:effectExtent l="0" t="0" r="0" b="0"/>
                  <wp:docPr id="26" name="图片 87"/>
                  <wp:cNvGraphicFramePr/>
                  <a:graphic xmlns:a="http://schemas.openxmlformats.org/drawingml/2006/main">
                    <a:graphicData uri="http://schemas.openxmlformats.org/drawingml/2006/picture">
                      <pic:pic xmlns:pic="http://schemas.openxmlformats.org/drawingml/2006/picture">
                        <pic:nvPicPr>
                          <pic:cNvPr id="26" name="图片 87"/>
                          <pic:cNvPicPr/>
                        </pic:nvPicPr>
                        <pic:blipFill>
                          <a:blip r:embed="rId39">
                            <a:extLst>
                              <a:ext uri="{28A0092B-C50C-407E-A947-70E740481C1C}">
                                <a14:useLocalDpi xmlns:a14="http://schemas.microsoft.com/office/drawing/2010/main" val="0"/>
                              </a:ext>
                            </a:extLst>
                          </a:blip>
                          <a:srcRect t="5717"/>
                          <a:stretch>
                            <a:fillRect/>
                          </a:stretch>
                        </pic:blipFill>
                        <pic:spPr>
                          <a:xfrm>
                            <a:off x="0" y="0"/>
                            <a:ext cx="4319905" cy="431165"/>
                          </a:xfrm>
                          <a:prstGeom prst="rect">
                            <a:avLst/>
                          </a:prstGeom>
                          <a:noFill/>
                          <a:ln>
                            <a:noFill/>
                          </a:ln>
                          <a:effectLst/>
                        </pic:spPr>
                      </pic:pic>
                    </a:graphicData>
                  </a:graphic>
                </wp:inline>
              </w:drawing>
            </w:r>
          </w:p>
          <w:p w14:paraId="02E339E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式中：Vg——干烟气排放量，m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554B92CD">
            <w:pPr>
              <w:ind w:firstLine="1068" w:firstLineChars="44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VRO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——烟气中二氧化碳和二氧化硫容积之和，m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3D9EF978">
            <w:pPr>
              <w:ind w:firstLine="1080" w:firstLineChars="4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VN</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——烟气中氮气，m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6A802C34">
            <w:pPr>
              <w:ind w:firstLine="1080" w:firstLineChars="4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α——过量空气系数，燃料燃烧时实际空气供给量与理论空气需要量之比值，燃气锅炉的规定过量空气系数为1.2，对应基准氧含量为3%；</w:t>
            </w:r>
          </w:p>
          <w:p w14:paraId="5B551AA0">
            <w:pPr>
              <w:ind w:firstLine="96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V</w:t>
            </w:r>
            <w:r>
              <w:rPr>
                <w:rFonts w:cs="Times New Roman"/>
                <w:i/>
                <w:color w:val="000000" w:themeColor="text1"/>
                <w:vertAlign w:val="subscript"/>
                <w14:textFill>
                  <w14:solidFill>
                    <w14:schemeClr w14:val="tx1"/>
                  </w14:solidFill>
                </w14:textFill>
              </w:rPr>
              <w:t>s</w:t>
            </w:r>
            <w:r>
              <w:rPr>
                <w:rFonts w:cs="Times New Roman"/>
                <w:color w:val="000000" w:themeColor="text1"/>
                <w14:textFill>
                  <w14:solidFill>
                    <w14:schemeClr w14:val="tx1"/>
                  </w14:solidFill>
                </w14:textFill>
              </w:rPr>
              <w:t>——湿烟气排放量，m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3B3CF40C">
            <w:pPr>
              <w:ind w:firstLine="96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VH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O——烟气中水蒸气量，m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7E595ED9">
            <w:pPr>
              <w:ind w:firstLine="96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)——二氧化碳体积分数，%；</w:t>
            </w:r>
          </w:p>
          <w:p w14:paraId="08253B7D">
            <w:pPr>
              <w:ind w:firstLine="96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φ(CO)——一氧化碳体积分数，%；</w:t>
            </w:r>
          </w:p>
          <w:p w14:paraId="02D0E7E3">
            <w:pPr>
              <w:ind w:firstLine="96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S)——硫化氢体积分数，%；</w:t>
            </w:r>
          </w:p>
          <w:p w14:paraId="491702C0">
            <w:pPr>
              <w:ind w:firstLine="96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φ(CmHn)——烃类体积分数，%，m为碳原子数，n为氢原子数；</w:t>
            </w:r>
          </w:p>
          <w:p w14:paraId="0989B111">
            <w:pPr>
              <w:ind w:firstLine="96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V0——理论空气量，m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10E13783">
            <w:pPr>
              <w:ind w:firstLine="96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φ(N</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)——氮体积分数，%；</w:t>
            </w:r>
          </w:p>
          <w:p w14:paraId="1D44A8E5">
            <w:pPr>
              <w:ind w:firstLine="96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φ(H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)——氢体积分数，%；</w:t>
            </w:r>
          </w:p>
          <w:p w14:paraId="430D13E1">
            <w:pPr>
              <w:ind w:firstLine="96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d——气体燃料中含有的水分，一般取10g/kg（干空气）。</w:t>
            </w:r>
          </w:p>
          <w:p w14:paraId="7CB30AD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（2）烟尘排放</w:t>
            </w:r>
          </w:p>
          <w:p w14:paraId="7F09346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烟尘的排放量MA（t/h）的计算式为：</w:t>
            </w:r>
          </w:p>
          <w:p w14:paraId="6A93B65D">
            <w:pPr>
              <w:ind w:firstLine="0" w:firstLineChars="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3110865" cy="556895"/>
                  <wp:effectExtent l="0" t="0" r="0" b="0"/>
                  <wp:docPr id="27" name="图片 89"/>
                  <wp:cNvGraphicFramePr/>
                  <a:graphic xmlns:a="http://schemas.openxmlformats.org/drawingml/2006/main">
                    <a:graphicData uri="http://schemas.openxmlformats.org/drawingml/2006/picture">
                      <pic:pic xmlns:pic="http://schemas.openxmlformats.org/drawingml/2006/picture">
                        <pic:nvPicPr>
                          <pic:cNvPr id="27" name="图片 89"/>
                          <pic:cNvPicPr/>
                        </pic:nvPicPr>
                        <pic:blipFill>
                          <a:blip r:embed="rId40">
                            <a:extLst>
                              <a:ext uri="{28A0092B-C50C-407E-A947-70E740481C1C}">
                                <a14:useLocalDpi xmlns:a14="http://schemas.microsoft.com/office/drawing/2010/main" val="0"/>
                              </a:ext>
                            </a:extLst>
                          </a:blip>
                          <a:srcRect/>
                          <a:stretch>
                            <a:fillRect/>
                          </a:stretch>
                        </pic:blipFill>
                        <pic:spPr>
                          <a:xfrm>
                            <a:off x="0" y="0"/>
                            <a:ext cx="3110865" cy="556895"/>
                          </a:xfrm>
                          <a:prstGeom prst="rect">
                            <a:avLst/>
                          </a:prstGeom>
                          <a:noFill/>
                          <a:ln>
                            <a:noFill/>
                          </a:ln>
                          <a:effectLst/>
                        </pic:spPr>
                      </pic:pic>
                    </a:graphicData>
                  </a:graphic>
                </wp:inline>
              </w:drawing>
            </w:r>
          </w:p>
          <w:p w14:paraId="5FBA695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式中，MA——烟尘排放量，t/h；</w:t>
            </w:r>
          </w:p>
          <w:p w14:paraId="6B7AB18E">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ηc——除尘效率，本项目采用布袋除尘器，除尘效率最低为99.50%；</w:t>
            </w:r>
          </w:p>
          <w:p w14:paraId="4843B55E">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Aar——收到基灰分的质量分数，%；</w:t>
            </w:r>
          </w:p>
          <w:p w14:paraId="22E086D6">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q4——锅炉机械不完全燃烧热损失，本项目为燃气锅炉。取值为0；</w:t>
            </w:r>
          </w:p>
          <w:p w14:paraId="17BAFDA3">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Qnet,ar——收到基低位发热量，kJ/kg； </w:t>
            </w:r>
          </w:p>
          <w:p w14:paraId="73AFE35F">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w:t>
            </w:r>
            <w:r>
              <w:rPr>
                <w:rFonts w:cs="Times New Roman"/>
                <w:color w:val="000000" w:themeColor="text1"/>
                <w:vertAlign w:val="subscript"/>
                <w14:textFill>
                  <w14:solidFill>
                    <w14:schemeClr w14:val="tx1"/>
                  </w14:solidFill>
                </w14:textFill>
              </w:rPr>
              <w:t>fh</w:t>
            </w:r>
            <w:r>
              <w:rPr>
                <w:rFonts w:cs="Times New Roman"/>
                <w:color w:val="000000" w:themeColor="text1"/>
                <w14:textFill>
                  <w14:solidFill>
                    <w14:schemeClr w14:val="tx1"/>
                  </w14:solidFill>
                </w14:textFill>
              </w:rPr>
              <w:t>——锅炉烟气带出的飞灰份额，循环流化床锅炉取值0.6。</w:t>
            </w:r>
          </w:p>
          <w:p w14:paraId="0C50831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每台锅炉烟尘实际排放浓度（除尘器出口处）按下式计算：</w:t>
            </w:r>
          </w:p>
          <w:p w14:paraId="4FFE5FFF">
            <w:pPr>
              <w:ind w:firstLine="0" w:firstLineChars="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pict>
                <v:shape id="_x0000_i1031" o:spt="75" type="#_x0000_t75" style="height:32pt;width:81.8pt;" filled="f" o:preferrelative="t" stroked="f" coordsize="21600,21600" equationxml="&lt;?xml version=&quot;1.0&quot; encoding=&quot;UTF-8&quot; standalone=&quot;yes&quot;?&gt;&#13;&#13;&#13;&#13;&#13;&#13;&#13;&#13;&#13;&#13;&#10;&lt;?mso-application progid=&quot;Word.Document&quot;?&gt;&#13;&#13;&#13;&#13;&#13;&#13;&#13;&#13;&#13;&#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hint=&quot;default&quot;/&gt;&lt;/w:rPr&gt;&lt;/m:ctrlPr&gt;&lt;/m:sSubPr&gt;&lt;m:e&gt;&lt;m:r&gt;&lt;w:rPr&gt;&lt;w:rFonts w:ascii=&quot;Cambria Math&quot; w:h-ansi=&quot;Cambria Math&quot; w:hint=&quot;default&quot;/&gt;&lt;/w:rPr&gt;&lt;m:t&gt;C&lt;/m:t&gt;&lt;/m:r&gt;&lt;m:ctrlPr&gt;&lt;w:rPr&gt;&lt;w:rFonts w:ascii=&quot;Cambria Math&quot; w:h-ansi=&quot;Cambria Math&quot; w:hint=&quot;default&quot;/&gt;&lt;/w:rPr&gt;&lt;/m:ctrlPr&gt;&lt;/m:e&gt;&lt;m:sub&gt;&lt;m:r&gt;&lt;w:rPr&gt;&lt;w:rFonts w:ascii=&quot;Cambria Math&quot; w:h-ansi=&quot;Cambria Math&quot; w:hint=&quot;default&quot;/&gt;&lt;/w:rPr&gt;&lt;m:t&gt;A&lt;/m:t&gt;&lt;/m:r&gt;&lt;m:ctrlPr&gt;&lt;w:rPr&gt;&lt;w:rFonts w:ascii=&quot;Cambria Math&quot; w:h-ansi=&quot;Cambria Math&quot; w:hint=&quot;default&quot;/&gt;&lt;/w:rPr&gt;&lt;/m:ctrlPr&gt;&lt;/m:sub&gt;&lt;/m:sSub&gt;&lt;m:r&gt;&lt;w:rPr&gt;&lt;w:rFonts w:ascii=&quot;Cambria Math&quot; w:h-ansi=&quot;Cambria Math&quot; w:hint=&quot;default&quot;/&gt;&lt;/w:rPr&gt;&lt;m:t&gt;=&lt;/m:t&gt;&lt;/m:r&gt;&lt;m:f&gt;&lt;m:fPr&gt;&lt;m:ctrlPr&gt;&lt;w:rPr&gt;&lt;w:rFonts w:ascii=&quot;Cambria Math&quot; w:h-ansi=&quot;Cambria Math&quot; w:hint=&quot;default&quot;/&gt;&lt;w:i/&gt;&lt;/w:rPr&gt;&lt;/m:ctrlPr&gt;&lt;/m:fPr&gt;&lt;m:num&gt;&lt;m:sSub&gt;&lt;m:sSubPr&gt;&lt;m:ctrlPr&gt;&lt;w:rPr&gt;&lt;w:rFonts w:ascii=&quot;Cambria Math&quot; w:h-ansi=&quot;Cambria Math&quot; w:hint=&quot;default&quot;/&gt;&lt;w:i/&gt;&lt;/w:rPr&gt;&lt;/m:ctrlPr&gt;&lt;/m:sSubPr&gt;&lt;m:e&gt;&lt;m:r&gt;&lt;w:rPr&gt;&lt;w:rFonts w:ascii=&quot;Cambria Math&quot; w:h-ansi=&quot;Cambria Math&quot; w:hint=&quot;default&quot;/&gt;&lt;/w:rPr&gt;&lt;m:t&gt;M&lt;/m:t&gt;&lt;/m:r&gt;&lt;m:ctrlPr&gt;&lt;w:rPr&gt;&lt;w:rFonts w:ascii=&quot;Cambria Math&quot; w:h-ansi=&quot;Cambria Math&quot; w:hint=&quot;default&quot;/&gt;&lt;w:i/&gt;&lt;/w:rPr&gt;&lt;/m:ctrlPr&gt;&lt;/m:e&gt;&lt;m:sub&gt;&lt;m:r&gt;&lt;w:rPr&gt;&lt;w:rFonts w:ascii=&quot;Cambria Math&quot; w:h-ansi=&quot;Cambria Math&quot; w:hint=&quot;default&quot;/&gt;&lt;/w:rPr&gt;&lt;m:t&gt;A&lt;/m:t&gt;&lt;/m:r&gt;&lt;m:ctrlPr&gt;&lt;w:rPr&gt;&lt;w:rFonts w:ascii=&quot;Cambria Math&quot; w:h-ansi=&quot;Cambria Math&quot; w:hint=&quot;default&quot;/&gt;&lt;w:i/&gt;&lt;/w:rPr&gt;&lt;/m:ctrlPr&gt;&lt;/m:sub&gt;&lt;/m:sSub&gt;&lt;m:r&gt;&lt;w:rPr&gt;&lt;w:rFonts w:ascii=&quot;Cambria Math&quot; w:h-ansi=&quot;Cambria Math&quot; w:hint=&quot;default&quot;/&gt;&lt;/w:rPr&gt;&lt;m:t&gt;&lt;/m:t&gt;&lt;/m:r&gt;&lt;m:sSup&gt;&lt;m:sSupPr&gt;&lt;m:ctrlPr&gt;&lt;w:rPr&gt;&lt;w:rFonts wam:ascii=&quot;Cambria Math&quot; w:h-ansi=&quot;Cambria Math&quot; w:hint=&quot;default&quot;/&gt;&lt;w:i/&gt;&lt;/w:rPr&gt;&lt;/m:ctrlPr&gt;&lt;/m:sSupPr&gt;&lt;m:e&gt;&lt;m:r&gt;&lt;w:rPr&gt;&lt;w:rFonts w:ascii=&quot;Cambria Math&quot; w:h-ansi=&quot;Cambria Math&quot; w:hint=&quot;default&quot;/&gt;&lt;/w:rPr&gt;&lt;m:t&gt;10&lt;/m:t&gt;&lt;/m:r&gt;&lt;m:ctrlPr&gt;&lt;w:rPr&gt;&lt;w:rFonts w:ascii=&quot;Cambria Math&quot; w:h-ansi=&quot;Cambria Math&quot; w:hint=&quot;default&quot;/&gt;&lt;w:i/&gt;&lt;/w:rPr&gt;&lt;/m:ctrlPr&gt;&lt;/m:e&gt;&lt;m:sup&gt;&lt;m:r&gt;&lt;w:rPr&gt;&lt;w:rFonts w:ascii=&quot;Cambria Math&quot; w:h-ansi=&quot;Cambria Math&quot; w:hint=&quot;default&quot;/&gt;&lt;/w:rPr&gt;&lt;m:t&gt;9&lt;/m:t&gt;&lt;/m:r&gt;&lt;m:ctrlPr&gt;&lt;w:rPr&gt;&lt;w:rFonts w:ascii=&quot;Cambria Math&quot; w:h-ansi=&quot;Cambria Math&quot; w:hint=&quot;default&quot;/&gt;&lt;w:i/&gt;&lt;/w:rPr&gt;&lt;/m:ctrlPr&gt;&lt;/m:sup&gt;&lt;/m:sSup&gt;&lt;m:ctrlPr&gt;&lt;w:rPr&gt;&lt;w:rFonts w:ascii=&quot;Cambria Math&quot; w:h-ansi=&quot;Cambria Math&quot; w:hint=&quot;default&quot;/&gt;&lt;w:i/&gt;&lt;/w:rPr&gt;&lt;/m:ctrlPr&gt;&lt;/m:num&gt;&lt;m:den&gt;&lt;m:r&gt;&lt;w:rPr&gt;&lt;w:rFonts w:ascii=&quot;Cambria Math&quot; w:h-ansi=&quot;Cambria Math&quot; w:hint=&quot;default&quot;/&gt;&lt;/w:rPr&gt;&lt;m:t&gt;Vg3600&lt;/m:t&gt;&lt;/m:r&gt;&lt;m:ctrlPr&gt;&lt;w:rPr&gt;&lt;w:rFonts w:ascii=&quot;Cambria Math&quot; w:h-ansi=&quot;Cambria Math&quot; w:hint=&quot;default&quot;/&gt;&lt;w:i/&gt;&lt;/w:rPr&gt;&lt;/m:ctrlPr&gt;&lt;/m:den&gt;&lt;/m:f&gt;&lt;/m:oMath&gt;&lt;/m:oMathPara&gt;&lt;/w:p&gt;&lt;/wx:sect&gt;&lt;ri/w:body&gt;&lt;/w:wordDocument&gt;">
                  <v:path/>
                  <v:fill on="f" focussize="0,0"/>
                  <v:stroke on="f" joinstyle="miter"/>
                  <v:imagedata r:id="rId41" o:title=""/>
                  <o:lock v:ext="edit" aspectratio="f"/>
                  <w10:wrap type="none"/>
                  <w10:anchorlock/>
                </v:shape>
              </w:pict>
            </w:r>
          </w:p>
          <w:p w14:paraId="0FAA6D8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式中，CA——烟尘排放浓度，mg/m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04067FE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MA——锅炉的烟尘排放量，t/h；其他符号意义见上文公式。</w:t>
            </w:r>
          </w:p>
          <w:p w14:paraId="12F6230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（3）二氧化硫排放</w:t>
            </w:r>
          </w:p>
          <w:p w14:paraId="22E099C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二氧化硫排放量（t/h）按下式计算：</w:t>
            </w:r>
          </w:p>
          <w:p w14:paraId="49953952">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3594735" cy="504190"/>
                  <wp:effectExtent l="0" t="0" r="0" b="0"/>
                  <wp:docPr id="29" name="图片 90"/>
                  <wp:cNvGraphicFramePr/>
                  <a:graphic xmlns:a="http://schemas.openxmlformats.org/drawingml/2006/main">
                    <a:graphicData uri="http://schemas.openxmlformats.org/drawingml/2006/picture">
                      <pic:pic xmlns:pic="http://schemas.openxmlformats.org/drawingml/2006/picture">
                        <pic:nvPicPr>
                          <pic:cNvPr id="29" name="图片 90"/>
                          <pic:cNvPicPr/>
                        </pic:nvPicPr>
                        <pic:blipFill>
                          <a:blip r:embed="rId42">
                            <a:extLst>
                              <a:ext uri="{28A0092B-C50C-407E-A947-70E740481C1C}">
                                <a14:useLocalDpi xmlns:a14="http://schemas.microsoft.com/office/drawing/2010/main" val="0"/>
                              </a:ext>
                            </a:extLst>
                          </a:blip>
                          <a:srcRect l="2562"/>
                          <a:stretch>
                            <a:fillRect/>
                          </a:stretch>
                        </pic:blipFill>
                        <pic:spPr>
                          <a:xfrm>
                            <a:off x="0" y="0"/>
                            <a:ext cx="3594735" cy="504190"/>
                          </a:xfrm>
                          <a:prstGeom prst="rect">
                            <a:avLst/>
                          </a:prstGeom>
                          <a:noFill/>
                          <a:ln>
                            <a:noFill/>
                          </a:ln>
                          <a:effectLst/>
                        </pic:spPr>
                      </pic:pic>
                    </a:graphicData>
                  </a:graphic>
                </wp:inline>
              </w:drawing>
            </w:r>
          </w:p>
          <w:p w14:paraId="26A7086D">
            <w:pPr>
              <w:ind w:firstLine="48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式中，M</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2</w:t>
            </w:r>
            <w:r>
              <w:rPr>
                <w:rFonts w:cs="Times New Roman"/>
                <w:color w:val="000000" w:themeColor="text1"/>
                <w:lang w:val="zh-CN"/>
                <w14:textFill>
                  <w14:solidFill>
                    <w14:schemeClr w14:val="tx1"/>
                  </w14:solidFill>
                </w14:textFill>
              </w:rPr>
              <w:t>——核算时段内二氧化硫排放量，t；</w:t>
            </w:r>
          </w:p>
          <w:p w14:paraId="167CF9EC">
            <w:pPr>
              <w:ind w:firstLine="1200" w:firstLineChars="50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Bg——核算时段内锅炉燃料耗量，t；</w:t>
            </w:r>
          </w:p>
          <w:p w14:paraId="52828579">
            <w:pPr>
              <w:ind w:firstLine="1200" w:firstLineChars="50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ηs</w:t>
            </w:r>
            <w:r>
              <w:rPr>
                <w:rFonts w:cs="Times New Roman"/>
                <w:color w:val="000000" w:themeColor="text1"/>
                <w:vertAlign w:val="subscript"/>
                <w:lang w:val="zh-CN"/>
                <w14:textFill>
                  <w14:solidFill>
                    <w14:schemeClr w14:val="tx1"/>
                  </w14:solidFill>
                </w14:textFill>
              </w:rPr>
              <w:t>1</w:t>
            </w:r>
            <w:r>
              <w:rPr>
                <w:rFonts w:cs="Times New Roman"/>
                <w:color w:val="000000" w:themeColor="text1"/>
                <w:lang w:val="zh-CN"/>
                <w14:textFill>
                  <w14:solidFill>
                    <w14:schemeClr w14:val="tx1"/>
                  </w14:solidFill>
                </w14:textFill>
              </w:rPr>
              <w:t>——除尘器的脱硫率，采用布袋除尘，取值为0；</w:t>
            </w:r>
          </w:p>
          <w:p w14:paraId="0CB51C82">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q4——锅炉机械不完全燃烧热损失，本项目为燃气锅炉。取值为0；</w:t>
            </w:r>
          </w:p>
          <w:p w14:paraId="7363BF34">
            <w:pPr>
              <w:ind w:firstLine="1200" w:firstLineChars="500"/>
              <w:rPr>
                <w:rFonts w:cs="Times New Roman"/>
                <w:color w:val="000000" w:themeColor="text1"/>
                <w14:textFill>
                  <w14:solidFill>
                    <w14:schemeClr w14:val="tx1"/>
                  </w14:solidFill>
                </w14:textFill>
              </w:rPr>
            </w:pPr>
            <w:r>
              <w:rPr>
                <w:rFonts w:cs="Times New Roman"/>
                <w:color w:val="000000" w:themeColor="text1"/>
                <w:lang w:val="zh-CN"/>
                <w14:textFill>
                  <w14:solidFill>
                    <w14:schemeClr w14:val="tx1"/>
                  </w14:solidFill>
                </w14:textFill>
              </w:rPr>
              <w:t>ηs</w:t>
            </w:r>
            <w:r>
              <w:rPr>
                <w:rFonts w:cs="Times New Roman"/>
                <w:color w:val="000000" w:themeColor="text1"/>
                <w:vertAlign w:val="subscript"/>
                <w:lang w:val="zh-CN"/>
                <w14:textFill>
                  <w14:solidFill>
                    <w14:schemeClr w14:val="tx1"/>
                  </w14:solidFill>
                </w14:textFill>
              </w:rPr>
              <w:t>2</w:t>
            </w:r>
            <w:r>
              <w:rPr>
                <w:rFonts w:cs="Times New Roman"/>
                <w:color w:val="000000" w:themeColor="text1"/>
                <w:lang w:val="zh-CN"/>
                <w14:textFill>
                  <w14:solidFill>
                    <w14:schemeClr w14:val="tx1"/>
                  </w14:solidFill>
                </w14:textFill>
              </w:rPr>
              <w:t>——脱硫系统的脱硫效率，%，采用干法脱硫，设计脱硫效率≥</w:t>
            </w:r>
            <w:r>
              <w:rPr>
                <w:rFonts w:cs="Times New Roman"/>
                <w:color w:val="000000" w:themeColor="text1"/>
                <w14:textFill>
                  <w14:solidFill>
                    <w14:schemeClr w14:val="tx1"/>
                  </w14:solidFill>
                </w14:textFill>
              </w:rPr>
              <w:t>90</w:t>
            </w:r>
            <w:r>
              <w:rPr>
                <w:rFonts w:cs="Times New Roman"/>
                <w:color w:val="000000" w:themeColor="text1"/>
                <w:lang w:val="zh-CN"/>
                <w14:textFill>
                  <w14:solidFill>
                    <w14:schemeClr w14:val="tx1"/>
                  </w14:solidFill>
                </w14:textFill>
              </w:rPr>
              <w:t>%；</w:t>
            </w:r>
          </w:p>
          <w:p w14:paraId="0D8F7162">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Sar——收到基硫</w:t>
            </w:r>
            <w:r>
              <w:rPr>
                <w:rFonts w:cs="Times New Roman"/>
                <w:color w:val="000000" w:themeColor="text1"/>
                <w:lang w:val="zh-CN"/>
                <w14:textFill>
                  <w14:solidFill>
                    <w14:schemeClr w14:val="tx1"/>
                  </w14:solidFill>
                </w14:textFill>
              </w:rPr>
              <w:t>的质量分数，</w:t>
            </w:r>
            <w:r>
              <w:rPr>
                <w:rFonts w:cs="Times New Roman"/>
                <w:color w:val="000000" w:themeColor="text1"/>
                <w14:textFill>
                  <w14:solidFill>
                    <w14:schemeClr w14:val="tx1"/>
                  </w14:solidFill>
                </w14:textFill>
              </w:rPr>
              <w:t>%；</w:t>
            </w:r>
          </w:p>
          <w:p w14:paraId="57D1F4E6">
            <w:pPr>
              <w:ind w:firstLine="1200" w:firstLineChars="50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K——燃料中的硫燃烧后氧化成二氧化硫的份额，燃气锅炉取</w:t>
            </w:r>
            <w:r>
              <w:rPr>
                <w:rFonts w:cs="Times New Roman"/>
                <w:color w:val="000000" w:themeColor="text1"/>
                <w14:textFill>
                  <w14:solidFill>
                    <w14:schemeClr w14:val="tx1"/>
                  </w14:solidFill>
                </w14:textFill>
              </w:rPr>
              <w:t>1</w:t>
            </w:r>
            <w:r>
              <w:rPr>
                <w:rFonts w:cs="Times New Roman"/>
                <w:color w:val="000000" w:themeColor="text1"/>
                <w:lang w:val="zh-CN"/>
                <w14:textFill>
                  <w14:solidFill>
                    <w14:schemeClr w14:val="tx1"/>
                  </w14:solidFill>
                </w14:textFill>
              </w:rPr>
              <w:t>。</w:t>
            </w:r>
          </w:p>
          <w:p w14:paraId="5F96CDAA">
            <w:pPr>
              <w:ind w:firstLine="480"/>
              <w:rPr>
                <w:rFonts w:cs="Times New Roman"/>
                <w:color w:val="000000" w:themeColor="text1"/>
                <w14:textFill>
                  <w14:solidFill>
                    <w14:schemeClr w14:val="tx1"/>
                  </w14:solidFill>
                </w14:textFill>
              </w:rPr>
            </w:pPr>
            <w:r>
              <w:rPr>
                <w:rFonts w:cs="Times New Roman"/>
                <w:color w:val="000000" w:themeColor="text1"/>
                <w:lang w:val="zh-CN"/>
                <w14:textFill>
                  <w14:solidFill>
                    <w14:schemeClr w14:val="tx1"/>
                  </w14:solidFill>
                </w14:textFill>
              </w:rPr>
              <w:t>每座烟囱出口处的二氧化硫排放浓度（mg/m</w:t>
            </w:r>
            <w:r>
              <w:rPr>
                <w:rFonts w:cs="Times New Roman"/>
                <w:color w:val="000000" w:themeColor="text1"/>
                <w:vertAlign w:val="superscript"/>
                <w14:textFill>
                  <w14:solidFill>
                    <w14:schemeClr w14:val="tx1"/>
                  </w14:solidFill>
                </w14:textFill>
              </w:rPr>
              <w:t>3</w:t>
            </w:r>
            <w:r>
              <w:rPr>
                <w:rFonts w:cs="Times New Roman"/>
                <w:color w:val="000000" w:themeColor="text1"/>
                <w:lang w:val="zh-CN"/>
                <w14:textFill>
                  <w14:solidFill>
                    <w14:schemeClr w14:val="tx1"/>
                  </w14:solidFill>
                </w14:textFill>
              </w:rPr>
              <w:t>）按下式计算：</w:t>
            </w:r>
          </w:p>
          <w:p w14:paraId="05E25E94">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pict>
                <v:shape id="_x0000_i1032" o:spt="75" type="#_x0000_t75" style="height:48pt;width:120pt;" filled="f" o:preferrelative="t" stroked="f" coordsize="21600,21600" equationxml="&lt;?xml version=&quot;1.0&quot; encoding=&quot;UTF-8&quot; standalone=&quot;yes&quot;?&gt;&#13;&#13;&#13;&#13;&#13;&#13;&#13;&#13;&#13;&#13;&#10;&lt;?mso-application progid=&quot;Word.Document&quot;?&gt;&#13;&#13;&#13;&#13;&#13;&#13;&#13;&#13;&#13;&#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hint=&quot;default&quot;/&gt;&lt;/w:rPr&gt;&lt;/m:ctrlPr&gt;&lt;/m:sSubPr&gt;&lt;m:e&gt;&lt;m:r&gt;&lt;w:rPr&gt;&lt;w:rFonts w:ascii=&quot;Cambria Math&quot; w:h-ansi=&quot;Cambria Math&quot; w:hint=&quot;default&quot;/&gt;&lt;/w:rPr&gt;&lt;m:t&gt;C&lt;/m:t&gt;&lt;/m:r&gt;&lt;m:ctrlPr&gt;&lt;w:rPr&gt;&lt;w:rFonts w:ascii=&quot;Cambria Math&quot; w:h-ansi=&quot;Cambria Math&quot; w:hint=&quot;default&quot;/&gt;&lt;/w:rPr&gt;&lt;/m:ctrlPr&gt;&lt;/m:e&gt;&lt;m:sub&gt;&lt;m:r&gt;&lt;w:rPr&gt;&lt;w:rFonts w:ascii=&quot;Cambria Math&quot; w:h-ansi=&quot;Cambria Math&quot; w:hint=&quot;default&quot;/&gt;&lt;/w:rPr&gt;&lt;m:t&gt;SO2&lt;/m:t&gt;&lt;/m:r&gt;&lt;m:ctrlPr&gt;&lt;w:rPr&gt;&lt;w:rFonts w:ascii=&quot;Cambria Math&quot; w:h-ansi=&quot;Cambria Math&quot; w:hint=&quot;default&quot;/&gt;&lt;/w:rPr&gt;&lt;/m:ctrlPr&gt;&lt;/m:sub&gt;&lt;/m:sSub&gt;&lt;m:r&gt;&lt;w:rPr&gt;&lt;w:rFonts w:ascii=&quot;Cambria Math&quot; w:h-ansi=&quot;Cambria Math&quot; w:hint=&quot;default&quot;/&gt;&lt;/w:rPr&gt;&lt;m:t&gt;=&lt;/m:t&gt;&lt;/m:r&gt;&lt;m:f&gt;&lt;m:fPr&gt;&lt;m:ctrlPr&gt;&lt;w:rPr&gt;&lt;w:rFonts w:ascii=&quot;Cambria Math&quot; w:h-ansi=&quot;Cambria Math&quot; w:hint=&quot;default&quot;/&gt;&lt;w:i/&gt;&lt;/w:rPr&gt;&lt;/m:ctrlPr&gt;&lt;/m:fPr&gt;&lt;m:num&gt;&lt;m:sSub&gt;&lt;m:sSubPr&gt;&lt;m:ctrlPr&gt;&lt;w:rPr&gt;&lt;w:rFonts w:ascii=&quot;Cambria Math&quot; w:h-ansi=&quot;Cambria Math&quot; w:hint=&quot;default&quot;/&gt;&lt;w:i/&gt;&lt;/w:rPr&gt;&lt;/m:ctrlPr&gt;&lt;/m:sSubPr&gt;&lt;m:e&gt;&lt;m:nary&gt;&lt;m:naryPr&gt;&lt;m:chr m:val=&quot;&quot;/&gt;&lt;m:limLoc m:val=&quot;undOvr&quot;/&gt;&lt;m:subHide m:val=&quot;1&quot;/&gt;&lt;m:supHide m:val=&quot;1&quot;/&gt;&lt;m:ctrlPr&gt;&lt;w:rPr&gt;&lt;w:rFonts w:arPrscii=&quot;Cambria Math&quot; w:h-ansi=&quot;Cambria Math&quot; w:hint=&quot;default&quot;/&gt;&lt;w:i/&gt;&lt;/w:rPr&gt;&lt;/m:ctrlPr&gt;&lt;/m:naryPr&gt;&lt;m:sub&gt;&lt;m:ctrlPr&gt;&lt;w:rPr&gt;&lt;w:rFonts w:ascii=&quot;Cambria Math&quot; w:h-ansi=&quot;Cambria Math&quot; w:hint=&quot;default&quot;/&gt;&lt;w:i/&gt;&lt;/w:rPr&gt;&lt;/m:ctrlPr&gt;&lt;/m:sub&gt;&lt;m:sup&gt;&lt;m:ctrlPr&gt;&lt;w:rPr&gt;&lt;w:rFonts w:ascii=&quot;Cambria Math&quot; w:h-ansi=&quot;Cambria Math&quot; w:hint=&quot;default&quot;/&gt;&lt;w:i/&gt;&lt;/w:rPr&gt;&lt;/m:ctrlPr&gt;&lt;/m:sup&gt;&lt;m:e&gt;&lt;m:sSub&gt;&lt;m:sSubPr&gt;&lt;m:ctrlPr&gt;&lt;w:rPr&gt;&lt;w:rFonts w:ascii=&quot;Cambria Math&quot; w:h-ansi=&quot;Cambria Math&quot; w:hint=&quot;default&quot;/&gt;&lt;w:i/&gt;&lt;/w:rPr&gt;&lt;/m:ctrlPr&gt;&lt;/m:sSubPr&gt;&lt;m:e&gt;&lt;m:r&gt;&lt;w:rPr&gt;&lt;w:rFonts w:ascii=&quot;Cambria Math&quot; w:h-ansi=&quot;Cambria Math&quot; w:hint=&quot;default&quot;/&gt;&lt;/w:rPr&gt;&lt;m:t&gt;M&lt;/m:t&gt;&lt;/m:r&gt;&lt;m:ctrlPr&gt;&lt;w:rPr&gt;&lt;w:rFonts w:ascii=&quot;Cambria Math&quot; w:h-ansi=&quot;Cambria Math&quot; w:hint=&quot;default&quot;/&gt;&lt;w:i/&gt;&lt;/w:rPr&gt;&lt;/m:ctrlPr&gt;&lt;/m:e&gt;&lt;m:sub&gt;&lt;m:r&gt;&lt;w:rPr&gt;&lt;w:rFonts w:ascii=&quot;Cambria Math&quot; w:h-ansi=&quot;Cambria Math&quot; w:hint=&quot;default&quot;/&gt;&lt;/w:rPr&gt;&lt;m:t&gt;SO&lt;/m:t&gt;&lt;/m:r&gt;&lt;m:ctrlPr&gt;&lt;w:rPr&gt;&lt;w:rFonts w:ascii=&quot;Cambria Math&quot; w:h-ansi=&quot;Cambria Math&quot; w:hint=&quot;default&quot;/&gt;&lt;w:i/&gt;&lt;/w:rPr&gt;&lt;/m:ctrlPr&gt;&lt;/m:sub&gt;&lt;/m:sSub&gt;&lt;m:ctrlPr&gt;&lt;w:rPr&gt;&lt;w:rFonts w:ascii=&quot;Cambria Math&quot; w:h-ansi=&quot;Cambria Math&quot; w:hint=&quot;default&quot;/&gt;&lt;w:i/&gt;&lt;/w:rPr&gt;&lt;/m:ctrlPr&gt;&lt;/m:e&gt;&lt;/m:nary&gt;&lt;m:ctrlPr&gt;&lt;w:rPr&gt;&lt;w:rFonts w:ascii=&quot;Cambria Math&quot; w:h-ansi=&quot;Cambria Math&quot; w:hint=&quot;default&quot;/&gt;&lt;w:i/&gt;&lt;/w:rPr&gt;&lt;/m:ctrlPr&gt;&lt;/m:e&gt;&lt;m:sub&gt;&lt;m:r&gt;&lt;w:rPr&gt;&lt;w:rFonts w:ascii=&quot;Cambria Math&quot; w:h-ansi=&quot;Cambria Math&quot; w:hint=&quot;default&quot;/&gt;&lt;/w:rPr&gt;&lt;m:t&gt;2&lt;/m:t&gt;&lt;/m:r&gt;&lt;m:r&gt;&lt;m:rPr&gt;&lt;m:sty m:val=&quot;p&quot;/&gt;&lt;/m:rPr&gt;&lt;w:rPr&gt;&lt;w:rFonts w:ascii=&quot;Cambria Math&quot; w:h-ansi=&quot;Cambria Math&quot; w:hint=&quot;fareast&quot;/&gt;&lt;/w:rPr&gt;&lt;m:t&gt;e技&lt;/m::tu&gt;&lt;&gt;/mm::rr&gt;&lt;m:r&gt;&lt;m:rPr&gt;&lt;m:sty m:val=&quot;p&quot;/&gt;&lt;/m:rPr&gt;&lt;w:rPr&gt;&lt;w:rFonts w:ascii=&quot;Cambria Math&quot; w:h-ansi=&quot;Cambria Math&quot; w:hint=&quot;default&quot;/&gt;&lt;/w:rPr&gt;&lt;m:t&gt;i&lt;/m:t&gt;&lt;/m:r&gt;&lt;m:ctrlPr&gt;&lt;w:rPr&gt;&lt;w:rFonts w:ascii=&quot;Cambria Math&quot; w:h-ansi=&quot;Cambria Math&quot; w:hint=&quot;d&gt;efmautlte&quot;/&gt;&lt;w:i/&gt;&lt;/w:rPr&gt;&lt;/m:ctrlPr&gt;&lt;/m:sub&gt;&lt;/m:sSub&gt;&lt;m:r&gt;&lt;w:rPr&gt;&lt;w:rFonts w:ascii=&quot;Cambria Math&quot; w:h-ansi=&quot;Cambria Math&quot; w:hint=&quot;default&quot;/&gt;&lt;/w:rPr&gt;&lt;m:t&gt;&lt;/m:t&gt;&lt;/m:r&gt;&lt;m:sSup&gt;&lt;m:sSupPr&gt;&lt;m:ctrlPr&gt;&lt;w:rPr&gt;&lt;w:rFonts w:ascii=&quot;Cambria Math&quot; w:h-ansi=&quot;Cambria Math&quot; w:hint=&quot;default&quot;/&gt;&lt;w:i&gt;&lt;/&gt;&lt;/w:rPr&gt;&lt;/m:ctrlPr&gt;&lt;/m:sSupPr&gt;&lt;m:e&gt;&lt;m:r&gt;&lt;w:rPr&gt;&lt;w:rFonts w:ascii=&quot;Cambria Math&quot; w:h-ansi=&quot;Cambria Math&quot; w:hint=&quot;default&quot;/&gt;&lt;/w:rPr&gt;&lt;m:t&gt;10&lt;/m:t&gt;&lt;/m:r&gt;&lt;m:ctrlPr&gt;&lt;w:rPr&gt;&lt;w:rFonts w:ascii=&quot;Cambria Math&quot; w:h-ansi=&quot;Cambria Math&quot; w:hint=&quot;default&quot;/&gt;&lt;w:i/&gt;&lt;/w:rPr&gt;&lt;/m:ctrlPr&gt;&lt;/m:e&gt;&lt;m:sup&gt;&lt;m:r&gt;&lt;w:rPr&gt;&lt;w:rFonts w:ascii=&quot;Cambria Math&quot; w:h-ansi=&quot;Cambria Math&quot; w:hint=&quot;default&quot;/&gt;&lt;/w:rPr&gt;&lt;m:t&gt;9&lt;/m:t&gt;&lt;/m:r&gt;&lt;m:ctrlPr&gt;&lt;w:rPr&gt;&lt;w:rFonts w:ascii=&quot;Cambria Math&quot; w:h-ansi=&quot;Cambria Math&quot; w:hint=&quot;default&quot;/&gt;&lt;w:i/&gt;&lt;/w:rPr&gt;&lt;/m:ctrlPr&gt;&lt;/m:sup&gt;&lt;/m:sSup&gt;&lt;m:ctrlPr&gt;&lt;w:rPr&gt;&lt;w:rFonts w:ascii=&quot;Cambria Math&quot; w:h-ansi=&quot;Cambria Math&quot; w:hint=&quot;default&quot;/&gt;&lt;w:i/&gt;&lt;/w:rPr&gt;&lt;/m:ctrlPr&gt;&lt;/m:num&gt;&lt;m:den&gt;&lt;m:sSub&gt;&lt;m:sSubPr&gt;&lt;m:ctrlPr&gt;&lt;w:rPr&gt;&lt;w:rFonts w:ascii=&quot;Cambria Math&quot; w:h-ansi=&quot;Cambria Math&quot; w:hint=&quot;default&quot;/&gt;&lt;w:i/&gt;&lt;/w:rPr&gt;&lt;/m:ctrlPr&gt;&lt;/m:sSubPr&gt;&lt;m:e&gt;&lt;m:nary&gt;&lt;m:naryPr&gt;&lt;m:chr m:val=&quot;&quot;/&gt;&lt;m:limLoc m:val=&quot;undOvr&quot;/&gt;&lt;m:subHide m:val=&quot;1&quot;/&gt;&lt;m:supHide m:val=&quot;1&quot;/&gt;&lt;m:ctrlPr&gt;&lt;w:rPr&gt;&lt;w:rFonts w:ascii=&quot;Cambria Math&quot; w:h-ansi=&quot;Cambria Math&quot; w:hint=&quot;default&quot;/&gt;&lt;w:i/&gt;&lt;/wfau:rPr&gt;&lt;/m:ctrlPr&gt;&lt;/m:naryPr&gt;&lt;m:sub&gt;&lt;m:ctrlPr&gt;&lt;w:rPr&gt;&lt;w:rFonts w:ascii=&quot;Cambria Math&quot; w:h-ansi=&quot;Cambria Math&quot; w:hint=&quot;default&quot;/&gt;&lt;w:i/&gt;&lt;/w:rPr&gt;&lt;/m:ctrlPr&gt;&lt;/m:sub&gt;&lt;m:sup&gt;&lt;m:ctrlPr&gt;&lt;w:rPr&gt;&lt;w:rFonts w:ascii=&quot;Cambria Math&quot; w:h-ansi=&quot;Cambria Math&quot; w:hint=&quot;default&quot;/&gt;&lt;w:i/&gt;&lt;/w:rPr&gt;&lt;/m:ctrlPr&gt;&lt;/m:sup&gt;&lt;m:e&gt;&lt;m:sSub&gt;&lt;m:sSubPr&gt;&lt;m:ctrlPr&gt;&lt;w:rPr&gt;&lt;w:rFonts w:ascii=&quot;Cambria Math&quot; w:h-ansi=&quot;Cambria Math&quot; w:hint=&quot;default&quot;/&gt;&lt;w:i/&gt;&lt;/w:rPr&gt;&lt;/m:ctrlPr&gt;&lt;/m:sSubPr&gt;&lt;m:e&gt;&lt;m:r&gt;&lt;w:rPr&gt;&lt;w:rFonts w:ascii=&quot;Cambria Math&quot; w:h-ansi=&quot;Cambria Math&quot; w:hint=&quot;default&quot;/&gt;&lt;/w:rPr&gt;&lt;m:t&gt;V&lt;/m:t&gt;&lt;/m:r&gt;&lt;m:ctrlPr&gt;&lt;w:rPr&gt;&lt;w:rFonts w:ascii=&quot;Cambria Math&quot; w:h-ansi=&quot;Cambria Math&quot; w:hint=&quot;default&quot;/&gt;&lt;w:i/&gt;&lt;/w:rPr&gt;&lt;/m:ctrlPr&gt;&lt;/m:e&gt;&lt;m:sub&gt;&lt;m:r&gt;&lt;w:rPr&gt;&lt;w:rFonts w:ascii=&quot;Cambria Math&quot; w:h-ansi=&quot;Cambria Math&quot; w:hint=&quot;default&quot;/&gt;&lt;/w:rPr&gt;&lt;m:t&gt;S&lt;/m:t&gt;&lt;/m:r&gt;&lt;m:r&gt;&lt;m:rPr&gt;&lt;m:sty m:val=&quot;p&quot;/&gt;&lt;/m:rPr&gt;&lt;w:rPr&gt;&lt;w:rFonts w:ascii=&quot;Cambria Math&quot; w:h-ansi=&quot;Cambria Math&quot; w:hint=&quot;fareast&quot;/&gt;&lt;/w:rPr&gt;&lt;m:t&gt;锛&lt;/m:t&gt;&lt;/m:r&gt;&lt;m:r&gt;&lt;m:rPr&gt;&lt;m:sty m:val=&quot;p&quot;/&gt;&lt;/m:rPr&gt;&lt;w:rPhr&gt;&lt;nw:r=Fonats rw:a sciti=&quot; Camhbrntia Math&quot; w:h-ansi=&quot;Cambria Math&quot; w:hint=&quot;default&quot;/&gt;&lt;/w:rPr&gt;&lt;m:t&gt;i&lt;/m:t&gt;&lt;/m:r&gt;&lt;m:ctrlPr&gt;&lt;w:rPr&gt;&lt;w:rFonts w:ascii=&quot;Cambria Math&quot; w:h-ansi=&quot;Cambria Math&quot; w:hint=&quot;default&quot;/&gt;&lt;w:i/&gt;&lt;/w:rPr&gt;&lt;/m:ctrlPr&gt;&lt;/m:sub&gt;&lt;/m:sSub&gt;&lt;m:ctrlPr&gt;&lt;w:rPr&gt;&lt;w:rFonts w:ascii=&quot;Cambria Math&quot; w:h-ansi=&quot;Cambria Math&quot; w:hint=&quot;default&quot;/&gt;&lt;w:i/&gt;&lt;/w:rPr&gt;&lt;/m:ctrlPr&gt;&lt;/m:e&gt;&lt;/m:nary&gt;&lt;m:ctrlPr&gt;&lt;w:rPr&gt;&lt;w:rFonts w:ascii=&quot;Cambria Math&quot; w:h-ansi=&quot;Cambria Math&quot; w:hint=&quot;default&quot;/&gt;&lt;w:i/&gt;&lt;/w:rPr&gt;&lt;/m:ctrlPr&gt;&lt;/m:e&gt;&lt;m:sub&gt;&lt;m:ctrlPr&gt;&lt;w:rPr&gt;&lt;w:rFonts w:ascii=&quot;Cambria Math&quot; w:h-ansi=&quot;Cambria Math&quot; w:hint=&quot;default&quot;/&gt;&lt;w:i/&gt;&lt;/w:rPr&gt;&lt;/m:ctrlPr&gt;&lt;/m:sub&gt;&lt;/m:sSub&gt;&lt;m:r&gt;&lt;w:rPr&gt;&lt;w:rFonts w:ascii=&quot;Cambria Math&quot; w:h-ansi=&quot;Cambria Math&quot; w:hint=&quot;default&quot;/&gt;&lt;/w:rPr&gt;&lt;m:t&gt;3600&lt;/m:t&gt;&lt;/m:r&gt;&lt;m:ctrlPr&gt;&lt;w:rPr&gt;&lt;w:rFonts w:ascii=&quot;Camb&quot;Cria Math&quot; w:h-ansi=&quot;Cambria Math&quot; w:hint=&quot;default&quot;/&gt;&lt;w:i/&gt;&lt;/w:rPr&gt;&lt;/m:ctrlPr&gt;&lt;/m:den&gt;&lt;/m:f&gt;&lt;/m:oMath&gt;&lt;/m:oMathPara&gt;&lt;/w:p&gt;&lt;/wx:sect&gt;&lt;/w:body&gt;&lt;/w:wordDocument&gt;">
                  <v:path/>
                  <v:fill on="f" focussize="0,0"/>
                  <v:stroke on="f" joinstyle="miter"/>
                  <v:imagedata r:id="rId43" o:title=""/>
                  <o:lock v:ext="edit" aspectratio="f"/>
                  <w10:wrap type="none"/>
                  <w10:anchorlock/>
                </v:shape>
              </w:pict>
            </w:r>
          </w:p>
          <w:p w14:paraId="136A406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式中，Mso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——接入该烟囱的第j台锅炉的二氧化硫排放量，t/h；</w:t>
            </w:r>
          </w:p>
          <w:p w14:paraId="74715A2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Vs,i——接入该烟囱的第j台锅炉在烟卤出口处标准状态下的干烟气量。</w:t>
            </w:r>
          </w:p>
          <w:p w14:paraId="797F022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（4）氮氧化物排放</w:t>
            </w:r>
          </w:p>
          <w:p w14:paraId="6796DB1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氮氧化物排放量（t/h）按下式计算：</w:t>
            </w:r>
          </w:p>
          <w:p w14:paraId="6D7A6D1D">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pict>
                <v:shape id="_x0000_i1033" o:spt="75" type="#_x0000_t75" style="height:32pt;width:153.8pt;" filled="f" o:preferrelative="t" stroked="f" coordsize="21600,21600" equationxml="&lt;?xml version=&quot;1.0&quot; encoding=&quot;UTF-8&quot; standalone=&quot;yes&quot;?&gt;&#13;&#13;&#13;&#13;&#13;&#13;&#13;&#13;&#13;&#13;&#10;&lt;?mso-application progid=&quot;Word.Document&quot;?&gt;&#13;&#13;&#13;&#13;&#13;&#13;&#13;&#13;&#13;&#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hint=&quot;default&quot;/&gt;&lt;w:i/&gt;&lt;/w:rPr&gt;&lt;/m:ctrlPr&gt;&lt;/m:sSubPr&gt;&lt;m:e&gt;&lt;m:r&gt;&lt;w:rPr&gt;&lt;w:rFonts w:ascii=&quot;Cambria Math&quot; w:h-ansi=&quot;Cambria Math&quot; w:hint=&quot;default&quot;/&gt;&lt;/w:rPr&gt;&lt;m:t&gt;M&lt;/m:t&gt;&lt;/m:r&gt;&lt;m:ctrlPr&gt;&lt;w:rPr&gt;&lt;w:rFonts w:ascii=&quot;Cambria Math&quot; w:h-ansi=&quot;Cambria Math&quot; w:hint=&quot;default&quot;/&gt;&lt;w:i/&gt;&lt;/w:rPr&gt;&lt;/m:ctrlPr&gt;&lt;/m:e&gt;&lt;m:sub&gt;&lt;m:r&gt;&lt;w:rPr&gt;&lt;w:rFonts w:ascii=&quot;Cambria Math&quot; w:h-ansi=&quot;Cambria Math&quot; w:hint=&quot;default&quot;/&gt;&lt;/w:rPr&gt;&lt;m:t&gt;NOx&lt;/m:t&gt;&lt;/m:r&gt;&lt;m:ctrlPr&gt;&lt;w:rPr&gt;&lt;w:rFonts w:ascii=&quot;Cambria Math&quot; w:h-ansi=&quot;Cambria Math&quot; w:hint=&quot;default&quot;/&gt;&lt;w:i/&gt;&lt;/w:rPr&gt;&lt;/m:ctrlPr&gt;&lt;/m:sub&gt;&lt;/m:sSub&gt;&lt;m:r&gt;&lt;w:rPr&gt;&lt;w:rFonts w:ascii=&quot;Cambria Math&quot; w:h-ansi=&quot;Cambria Math&quot; w:hint=&quot;default&quot;/&gt;&lt;/w:rPr&gt;&lt;m:t&gt;=&lt;/m:t&gt;&lt;/m:r&gt;&lt;m:f&gt;&lt;m:fPr&gt;&lt;m:ctrlPr&gt;&lt;w:rPr&gt;&lt;w:rFonts w:ascii=&quot;Cambria Math&quot; w:h-ansi=&quot;Cambria Math&quot; w:hint=&quot;default&quot;/&gt;&lt;w:i/&gt;&lt;/w:rPr&gt;&lt;/m:ctrlPr&gt;&lt;/m:fPr&gt;&lt;m:num&gt;&lt;m:sSub&gt;&lt;m:sSubPr&gt;&lt;m:ctrlPr&gt;&lt;w:rPr&gt;&lt;w:rFonts w:ascii=&quot;Cambria Math&quot; w:h-ansi=&quot;Cambria Math&quot; w:hint=&quot;default&quot;/&gt;&lt;w:i/&gt;&lt;/w:rPr&gt;&lt;/m:ctrlPr&gt;&lt;/m:sSubPr&gt;&lt;m:e&gt;&lt;m:r&gt;&lt;w:rPr&gt;&lt;w:rFonts w:ascii=&quot;Cambria Math&quot; w:h-ansi=&quot;Cambria Math&quot; w:hint=&quot;default&quot;/&gt;&lt;/w:rPr&gt;&lt;m:t&gt;&lt;/m:t&gt;&lt;/m:r&gt;&lt;m:ctrPlPr&gt;&lt;w:rPr&gt;&lt;w:rFonts w:ascii=&quot;Cambria Math&quot; w:h-ansi=&quot;Cambria Math&quot; w:hint=&quot;default&quot;/&gt;&lt;w:i/&gt;&lt;/w:rPr&gt;&lt;/m:ctrlPr&gt;&lt;/m:e&gt;&lt;m:sub&gt;&lt;m:r&gt;&lt;w:rPr&gt;&lt;w:rFonts w:ascii=&quot;Cambria Math&quot; w:h-ansi=&quot;Cambria Math&quot; w:hint=&quot;default&quot;/&gt;&lt;/w:rPr&gt;&lt;m:t&gt;NOx&lt;/m:t&gt;&lt;/m:r&gt;&lt;m:ctrlPr&gt;&lt;w:rPr&gt;&lt;w:rFonts w:ascii=&quot;Cambria Math&quot; w:h-ansi=&quot;Cambria Math&quot; w:hint=&quot;default&quot;/&gt;&lt;w:i/&gt;&lt;/w:rPr&gt;&lt;/m:ctrlPr&gt;&lt;/m:sub&gt;&lt;/m:sSub&gt;&lt;m:r&gt;&lt;w:rPr&gt;&lt;w:rFonts w:ascii=&quot;Cambria Math&quot; w:h-ansi=&quot;Cambria Math&quot; w:hint=&quot;default&quot;/&gt;&lt;/w:rPr&gt;&lt;m:t&gt;&lt;/m:t&gt;&lt;/m:r&gt;&lt;m:sSub&gt;&lt;m:sSubPr&gt;&lt;m:ctPrrlPr&gt;&lt;w:rPr&gt;&lt;w:rFonts w:ascii=&quot;Cambria Math&quot; w:h-ansi=&quot;Cambria Math&quot; w:hint=&quot;default&quot;/&gt;&lt;w:i/&gt;&lt;/w:rPr&gt;&lt;/m:ctrlPr&gt;&lt;/m:sSubPr&gt;&lt;m:e&gt;&lt;m:r&gt;&lt;w:rPr&gt;&lt;w:rFonts w:ascii=&quot;Cambria Math&quot; w:h-ansi=&quot;Cambria Math&quot; w:hint=&quot;default&quot;/&gt;&lt;/w:rPr&gt;&lt;m:t&gt;V&lt;/m:t&gt;&lt;/m:r&gt;&lt;m:ctrlPr&gt;&lt;w:rPr&gt;&lt;w:rFonts w:ascii=&quot;Cambria Math&quot; w:h-ansi=&quot;Cambria Math&quot; w:hint=&quot;default&quot;/&gt;&lt;w:i/&gt;&lt;/w:rPr&gt;&lt;/m:ctrlPr&gt;&lt;/m:e&gt;&lt;m:sub&gt;&lt;m:r&gt;&lt;w:rPr&gt;&lt;w:rFonts w:ascii=&quot;Cambria Math&quot; w:h-ansi=&quot;Cambria Math&quot; w:hint=&quot;default&quot;/&gt;&lt;/w:rPr&gt;&lt;m:t&gt;g&lt;/m:t&gt;&lt;/m:r&gt;&lt;m:ctrlPr&gt;&lt;w:rPr&gt;&lt;w:rFonts w:ascii=&quot;Cambria Math&quot; w:h-ansi=&quot;Cambria Math&quot; w:hint=&quot;default&quot;/&gt;&lt;w:i/&gt;&lt;/w:rPr&gt;&lt;/m:ctrlPr&gt;&lt;/m:sub&gt;&lt;/m:sSub&gt;&lt;m:ctrlPr&gt;&lt;w:rPr&gt;&lt;w:rFonts w:ascii=&quot;Cambria Math&quot; w:h-ansi=&quot;Cambria Math&quot; w:hint=&quot;default&quot;/&gt;&lt;w:i/&gt;&lt;/w:rPr&gt;&lt;/m:ctrlPr&gt;&lt;/m:num&gt;&lt;m:den&gt;&lt;m:sSup&gt;&lt;m:sSupPr&gt;&lt;m:ctrlPr&gt;&lt;w:rPr&gt;&lt;w:rFonts w:ascii=&quot;Cambria Math&quot; w:h-ansi=&quot;Cambria Math&quot; w:hint=&quot;default&quot;/&gt;&lt;w:i/&gt;&lt;/w:rPr&gt;&lt;/m:ctrlPr&gt;&lt;/m:sSupPr&gt;&lt;m:e&gt;&lt;m:r&gt;&lt;w:rPr&gt;&lt;w:rFonts w:ascii=&quot;Cambria Math&quot; w:h-ansi=&quot;Cambria Math&quot; w:hint=&quot;default&quot;/&gt;&lt;/w:rPr&gt;&lt;m:t&gt;10&lt;/m:t&gt;&lt;/m:r&gt;&lt;m:ctrlPr&gt;&lt;w:rPr&gt;&lt;w:rFonts w:ascii=&quot;Cambria Math&quot; w:h-ansi=&quot;Cambria Math&quot; w:hint=&quot;default&quot;/&gt;&lt;w:i/&gt;&lt;/w:rPr&gt;&lt;/m:ctrlPr&gt;&lt;/m:e&gt;&lt;m:sup&gt;&lt;m:r&gt;&lt;w:rPr&gt;&lt;w:rFonts w:ascii=&quot;Cambria Math&quot; w:h-ansi=&quot;Cambria Math&quot; w:hint=&quot;default&quot;/&gt;&lt;/w:rPr&gt;&lt;m:t&gt;9&lt;/m:t&gt;&lt;/m:r&gt;&lt;m:ctrlPr&gt;&lt;w:rPr&gt;&lt;w:rFonts w:ascii=&quot;Cambria Math&quot; w:h-ansi=&quot;Cambria Math&quot; w:hint=&quot;default&quot;/&gt;&lt;w:i/&gt;&lt;/w:rPr&gt;&lt;/m:ctrlPr&gt;&lt;/m:sup&gt;&lt;/m:sSup&gt;&lt;m:ctrlPr&gt;&lt;w:rPr&gt;&lt;w:rFonts w:ascii=&quot;Cambria Math&quot; w:h-ansi=&quot;Cambria Math&quot; w:hint=&quot;default&quot;/&gt;&lt;w:i/&gt;&lt;/w:rPr&gt;&lt;/m:ctrlPr&gt;&lt;/m:den&gt;&lt;/m:f&gt;&lt;m:d&gt;&lt;m:dPr&gt;&lt;m:ctrlPr&gt;&lt;w:rPr&gt;&lt;w:rFonts w:ascii=&quot;Cambria Math&quot; w:h-ansi=&quot;Cambria Math&quot; w:hint=&quot;default&quot;/&gt;&lt;w:i/&gt;&lt;/w:rPr&gt;&lt;/m:ctrlPr&gt;&lt;/m:dPr&gt;&lt;m:e&gt;&lt;m:r&gt;&lt;w:rPr&gt;&lt;w:rFonts w:ascii=&quot;Cambria Math&quot; w:h-ansi=&quot;Cambria Math&quot; w:hint=&quot;default&quot;/&gt;&lt;/w:rPr&gt;&lt;m:t&gt;1-&lt;/m:t&gt;&lt;/m:r&gt;&lt;m:f&gt;&lt;m:fPr&gt;&lt;m:ctrlPr&gt;&lt;w:rPr&gt;&lt;w:rFonts w:ascii=&quot;Cambria Math&quot; w:h-ansi=&quot;Cambria Math&quot; w:hint=&quot;default&quot;/&gt;&lt;w:i/&gt;&lt;/w:rPr&gt;&lt;/m:ctrlPr&gt;&lt;/m:fPr&gt;&lt;m:num&gt;&lt;m:sSub&gt;&lt;m:sSubPr&gt;&lt;m:ctrlPr&gt;&lt;w:rPr&gt;&lt;w:rFonts w:ascii=&quot;Cambria Math&quot; w:h-ansi=&quot;Cambria Math&quot; w:hint=&quot;default&quot;/&gt;&lt;w:i/&gt;&lt;/w:rPr&gt;&lt;/m:ctrlPr&gt;&lt;/m:sSubPr&gt;&lt;m:e&gt;&lt;m:r&gt;&lt;w:rPr&gt;&lt;w:rFonts w:ascii=&quot;Cambria Math&quot; w:h-ansi=&quot;Cambria Math&quot; w:hint=&quot;default&quot;/&gt;&lt;/w:rPr&gt;&lt;m:t&gt;畏&lt;/m:t&gt;&lt;/m:r&gt;&lt;m:ctrlPr&gt;&lt;w:rPr&gt;&lt;w:rFonts w:ascii=&quot;Cambria Math&quot; w:h-ansi=&quot;Cambria Math&quot; w:hint=&quot;default=&quot;/d&gt;&lt;fw:ui/t&gt;&lt;//w&lt;:r:Pr/&gt;&lt;&lt;/m:ctrlPr&gt;&lt;/m:e&gt;&lt;m:sub&gt;&lt;m:r&gt;&lt;w:rPr&gt;&lt;w:rFonts w:ascii=&quot;Cambria Math&quot; w:h-ansi=&quot;Cambria Math&quot; w:hint=&quot;default&quot;/&gt;&lt;/w:rPr&gt;&lt;m:t&gt;NOx&lt;/m:t&gt;&lt;/m:r&gt;&lt;m:ctrlPr&gt;&lt;w:rPr&gt;&lt;w:rFonts w:ascii=&quot;Cambria Math&quot; w:h-ansi=&quot;Cambria Math&quot; w:hint=&quot;default&quot;/&gt;&lt;w:i/&gt;&lt;/w:rPr&gt;&lt;/m:ctrlPr&gt;&lt;/m:sub&gt;&lt;/m:sSub&gt;&lt;m:ctrlPr&gt;&lt;w:rPr&gt;&lt;w:rFonts w:ascii=&quot;Cambria Math&quot; w:h-ansi=&quot;Cambria Math&quot; w:hint=&quot;default&quot;/&gt;&lt;w:i/&gt;&lt;/w:rPr&gt;&lt;/m:ctrlPr&gt;&lt;/m:num&gt;&lt;m:den&gt;&lt;m:r&gt;&lt;w:rPr&gt;&lt;w:rFonts w:ascii=&quot;Cambria Math&quot; w:h-ansi=&quot;Cambria Math&quot; w:hint=&quot;default&quot;/&gt;&lt;/w:rPr&gt;&lt;m:t&gt;100&lt;/m:t&gt;&lt;/m:r&gt;&lt;m:ctrlPr&gt;&lt;w:rPr&gt;&lt;w:rFonts w:ascii=&quot;Cambria Math&quot; w:h-ansi=&quot;Cambria Math&quot; w:hint=&quot;default&quot;/&gt;&lt;w:i/&gt;&lt;/w:rPr&gt;&lt;/m:ctrlPr&gt;&lt;/m:den&gt;&lt;/m:f&gt;&lt;m:ctrlPr&gt;&lt;w:rPr&gt;&lt;w:rFonts w:ascii=&quot;Cambria Math&quot; w:h-ansi=&quot;Cambria Math&quot; w:hint=&quot;default&quot;/&gt;&lt;w:i/&gt;&lt;/w:rPr&gt;&lt;/m:ctrlPr&gt;&lt;/m:e&gt;&lt;/m:d&gt;&lt;/m:oMath&gt;&lt;/m:oMathPara&gt;&lt;/w:p&gt;&lt;/wx:sect&gt;&lt;/w:body&gt;&lt;/w:wordDocument&gt;">
                  <v:path/>
                  <v:fill on="f" focussize="0,0"/>
                  <v:stroke on="f" joinstyle="miter"/>
                  <v:imagedata r:id="rId44" o:title=""/>
                  <o:lock v:ext="edit" aspectratio="f"/>
                  <w10:wrap type="none"/>
                  <w10:anchorlock/>
                </v:shape>
              </w:pict>
            </w:r>
          </w:p>
          <w:p w14:paraId="1A6E02D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式中，M</w:t>
            </w:r>
            <w:r>
              <w:rPr>
                <w:rFonts w:cs="Times New Roman"/>
                <w:color w:val="000000" w:themeColor="text1"/>
                <w:vertAlign w:val="subscript"/>
                <w14:textFill>
                  <w14:solidFill>
                    <w14:schemeClr w14:val="tx1"/>
                  </w14:solidFill>
                </w14:textFill>
              </w:rPr>
              <w:t>NOx</w:t>
            </w:r>
            <w:r>
              <w:rPr>
                <w:rFonts w:cs="Times New Roman"/>
                <w:color w:val="000000" w:themeColor="text1"/>
                <w14:textFill>
                  <w14:solidFill>
                    <w14:schemeClr w14:val="tx1"/>
                  </w14:solidFill>
                </w14:textFill>
              </w:rPr>
              <w:t xml:space="preserve"> ——核算时段内氮氧化物排放量，t；</w:t>
            </w:r>
          </w:p>
          <w:p w14:paraId="36E6A2D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ρNOx ——锅炉炉膛出口氮氧化物排放质量浓度，mg/m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0417211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本项目采用低氮燃烧器，基于燃烧温度和燃料特性控制NOx浓度，其NOx减排率在20~50%之间，因此锅炉烟气NOx产生浓度可控制在在~150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范围。根据《污染源源强核算技术指南火电》（HJ888-2018），NOx排放浓度采用锅炉生产商提供的氮氧化物控制保证浓度值或类比同类锅炉氮氧化物浓度值，本项目锅炉NOx排放浓度类比宝钢德盛现有170t/h超高温超高压燃气锅炉NOx排放浓度，类比锅炉容量、使用燃料和废气治理措施与本项目相似，类比锅炉采用了低氮燃烧器和SNCR脱硝设施，因此具有较好的类比性。根据此锅炉烟气验收监测数据，锅炉出口烟气NOx排放浓度基本控制在</w:t>
            </w:r>
            <w:r>
              <w:rPr>
                <w:rFonts w:cs="Times New Roman"/>
                <w:color w:val="000000" w:themeColor="text1"/>
                <w:spacing w:val="2"/>
                <w14:textFill>
                  <w14:solidFill>
                    <w14:schemeClr w14:val="tx1"/>
                  </w14:solidFill>
                </w14:textFill>
              </w:rPr>
              <w:t>24~28</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之间；拟建项目采用低氮燃烧器，且末端采用更高效（治理效率约80%）的SCR设施脱硝，因此本项目NOx排放浓度的设计值可取类比参数30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，满足《关于推进实施钢铁行业超低排放的意见》（环大气[2019]35号）</w:t>
            </w:r>
            <w:r>
              <w:rPr>
                <w:rFonts w:cs="Times New Roman"/>
                <w:color w:val="000000" w:themeColor="text1"/>
                <w:lang w:val="zh-CN"/>
                <w14:textFill>
                  <w14:solidFill>
                    <w14:schemeClr w14:val="tx1"/>
                  </w14:solidFill>
                </w14:textFill>
              </w:rPr>
              <w:t>中</w:t>
            </w:r>
            <w:r>
              <w:rPr>
                <w:rFonts w:cs="Times New Roman"/>
                <w:color w:val="000000" w:themeColor="text1"/>
                <w14:textFill>
                  <w14:solidFill>
                    <w14:schemeClr w14:val="tx1"/>
                  </w14:solidFill>
                </w14:textFill>
              </w:rPr>
              <w:t>氮氧化物浓度≤50mg/m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的</w:t>
            </w:r>
            <w:r>
              <w:rPr>
                <w:rFonts w:cs="Times New Roman"/>
                <w:color w:val="000000" w:themeColor="text1"/>
                <w:lang w:val="zh-CN"/>
                <w14:textFill>
                  <w14:solidFill>
                    <w14:schemeClr w14:val="tx1"/>
                  </w14:solidFill>
                </w14:textFill>
              </w:rPr>
              <w:t>排放标准要求。</w:t>
            </w:r>
          </w:p>
          <w:p w14:paraId="2BB7F79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ηNOx——脱硝效率%，本项目采用低氮燃烧器，源头NOx控制减排率在20~50%之间；SCR设施NOx治理效率≥80%。</w:t>
            </w:r>
          </w:p>
          <w:p w14:paraId="4276CE5B">
            <w:pPr>
              <w:pStyle w:val="45"/>
              <w:ind w:left="480" w:firstLine="48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（5）氨排放</w:t>
            </w:r>
          </w:p>
          <w:p w14:paraId="133DB89E">
            <w:pPr>
              <w:pStyle w:val="44"/>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氨排放量（t/h）按下式计算：</w:t>
            </w:r>
          </w:p>
          <w:p w14:paraId="58CFF65A">
            <w:pPr>
              <w:pStyle w:val="353"/>
              <w:rPr>
                <w:rFonts w:cs="Times New Roman"/>
                <w:b w:val="0"/>
                <w:color w:val="000000" w:themeColor="text1"/>
                <w:vertAlign w:val="superscript"/>
                <w14:textFill>
                  <w14:solidFill>
                    <w14:schemeClr w14:val="tx1"/>
                  </w14:solidFill>
                </w14:textFill>
              </w:rPr>
            </w:pPr>
            <w:r>
              <w:rPr>
                <w:rFonts w:cs="Times New Roman"/>
                <w:b w:val="0"/>
                <w:color w:val="000000" w:themeColor="text1"/>
                <w14:textFill>
                  <w14:solidFill>
                    <w14:schemeClr w14:val="tx1"/>
                  </w14:solidFill>
                </w14:textFill>
              </w:rPr>
              <w:t>G</w:t>
            </w:r>
            <w:r>
              <w:rPr>
                <w:rFonts w:cs="Times New Roman"/>
                <w:b w:val="0"/>
                <w:color w:val="000000" w:themeColor="text1"/>
                <w:vertAlign w:val="subscript"/>
                <w14:textFill>
                  <w14:solidFill>
                    <w14:schemeClr w14:val="tx1"/>
                  </w14:solidFill>
                </w14:textFill>
              </w:rPr>
              <w:t>NH3</w:t>
            </w:r>
            <w:r>
              <w:rPr>
                <w:rFonts w:cs="Times New Roman"/>
                <w:b w:val="0"/>
                <w:color w:val="000000" w:themeColor="text1"/>
                <w14:textFill>
                  <w14:solidFill>
                    <w14:schemeClr w14:val="tx1"/>
                  </w14:solidFill>
                </w14:textFill>
              </w:rPr>
              <w:t>=C</w:t>
            </w:r>
            <w:r>
              <w:rPr>
                <w:rFonts w:cs="Times New Roman"/>
                <w:b w:val="0"/>
                <w:color w:val="000000" w:themeColor="text1"/>
                <w:vertAlign w:val="subscript"/>
                <w14:textFill>
                  <w14:solidFill>
                    <w14:schemeClr w14:val="tx1"/>
                  </w14:solidFill>
                </w14:textFill>
              </w:rPr>
              <w:t>逃逸</w:t>
            </w:r>
            <w:r>
              <w:rPr>
                <w:rFonts w:cs="Times New Roman"/>
                <w:b w:val="0"/>
                <w:color w:val="000000" w:themeColor="text1"/>
                <w14:textFill>
                  <w14:solidFill>
                    <w14:schemeClr w14:val="tx1"/>
                  </w14:solidFill>
                </w14:textFill>
              </w:rPr>
              <w:t>×Vg×10</w:t>
            </w:r>
            <w:r>
              <w:rPr>
                <w:rFonts w:cs="Times New Roman"/>
                <w:b w:val="0"/>
                <w:color w:val="000000" w:themeColor="text1"/>
                <w:vertAlign w:val="superscript"/>
                <w14:textFill>
                  <w14:solidFill>
                    <w14:schemeClr w14:val="tx1"/>
                  </w14:solidFill>
                </w14:textFill>
              </w:rPr>
              <w:t>−6</w:t>
            </w:r>
          </w:p>
          <w:p w14:paraId="4B0E8CD4">
            <w:pPr>
              <w:pStyle w:val="353"/>
              <w:rPr>
                <w:rFonts w:cs="Times New Roman"/>
                <w:b w:val="0"/>
                <w:color w:val="000000" w:themeColor="text1"/>
                <w14:textFill>
                  <w14:solidFill>
                    <w14:schemeClr w14:val="tx1"/>
                  </w14:solidFill>
                </w14:textFill>
              </w:rPr>
            </w:pPr>
            <w:r>
              <w:rPr>
                <w:rFonts w:cs="Times New Roman"/>
                <w:b w:val="0"/>
                <w:color w:val="000000" w:themeColor="text1"/>
                <w14:textFill>
                  <w14:solidFill>
                    <w14:schemeClr w14:val="tx1"/>
                  </w14:solidFill>
                </w14:textFill>
              </w:rPr>
              <w:t>G</w:t>
            </w:r>
            <w:r>
              <w:rPr>
                <w:rFonts w:cs="Times New Roman"/>
                <w:b w:val="0"/>
                <w:color w:val="000000" w:themeColor="text1"/>
                <w:vertAlign w:val="subscript"/>
                <w14:textFill>
                  <w14:solidFill>
                    <w14:schemeClr w14:val="tx1"/>
                  </w14:solidFill>
                </w14:textFill>
              </w:rPr>
              <w:t>年</w:t>
            </w:r>
            <w:r>
              <w:rPr>
                <w:rFonts w:cs="Times New Roman"/>
                <w:b w:val="0"/>
                <w:color w:val="000000" w:themeColor="text1"/>
                <w14:textFill>
                  <w14:solidFill>
                    <w14:schemeClr w14:val="tx1"/>
                  </w14:solidFill>
                </w14:textFill>
              </w:rPr>
              <w:t>=G</w:t>
            </w:r>
            <w:r>
              <w:rPr>
                <w:rFonts w:cs="Times New Roman"/>
                <w:b w:val="0"/>
                <w:color w:val="000000" w:themeColor="text1"/>
                <w:vertAlign w:val="subscript"/>
                <w14:textFill>
                  <w14:solidFill>
                    <w14:schemeClr w14:val="tx1"/>
                  </w14:solidFill>
                </w14:textFill>
              </w:rPr>
              <w:t>NH3</w:t>
            </w:r>
            <w:r>
              <w:rPr>
                <w:rFonts w:cs="Times New Roman"/>
                <w:b w:val="0"/>
                <w:color w:val="000000" w:themeColor="text1"/>
                <w14:textFill>
                  <w14:solidFill>
                    <w14:schemeClr w14:val="tx1"/>
                  </w14:solidFill>
                </w14:textFill>
              </w:rPr>
              <w:t>×年运行小时数</w:t>
            </w:r>
          </w:p>
          <w:p w14:paraId="0226535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G</w:t>
            </w:r>
            <w:r>
              <w:rPr>
                <w:rFonts w:cs="Times New Roman"/>
                <w:color w:val="000000" w:themeColor="text1"/>
                <w:vertAlign w:val="subscript"/>
                <w14:textFill>
                  <w14:solidFill>
                    <w14:schemeClr w14:val="tx1"/>
                  </w14:solidFill>
                </w14:textFill>
              </w:rPr>
              <w:t>NH3</w:t>
            </w:r>
            <w:r>
              <w:rPr>
                <w:rFonts w:cs="Times New Roman"/>
                <w:color w:val="000000" w:themeColor="text1"/>
                <w14:textFill>
                  <w14:solidFill>
                    <w14:schemeClr w14:val="tx1"/>
                  </w14:solidFill>
                </w14:textFill>
              </w:rPr>
              <w:t>：氨逃逸源强，kg/h；</w:t>
            </w:r>
          </w:p>
          <w:p w14:paraId="573A910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逃逸</w:t>
            </w:r>
            <w:r>
              <w:rPr>
                <w:rFonts w:cs="Times New Roman"/>
                <w:color w:val="000000" w:themeColor="text1"/>
                <w14:textFill>
                  <w14:solidFill>
                    <w14:schemeClr w14:val="tx1"/>
                  </w14:solidFill>
                </w14:textFill>
              </w:rPr>
              <w:t>：氨逃逸浓度，mg/m³（标干），根据HJ 563-2010 推荐值2.5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14:paraId="546DA81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Vg：标准状态干烟气量，m³/h。</w:t>
            </w:r>
          </w:p>
          <w:p w14:paraId="0EB0C6E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本项目采用SCR脱硝工艺，以5%氨水为还原剂，根据 HJ 563-2010要求，氨逃逸设计浓度为2.5 mg/m³，标干烟气量190000 m³/h，年运行8200h，项目氨逃逸小时源强为0.475 kg/h。</w:t>
            </w:r>
          </w:p>
          <w:p w14:paraId="2392F469">
            <w:pPr>
              <w:ind w:firstLine="48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本项目热电厂锅炉烟气排放污染物主要为SO</w:t>
            </w:r>
            <w:r>
              <w:rPr>
                <w:rFonts w:cs="Times New Roman"/>
                <w:color w:val="000000" w:themeColor="text1"/>
                <w:vertAlign w:val="subscript"/>
                <w14:textFill>
                  <w14:solidFill>
                    <w14:schemeClr w14:val="tx1"/>
                  </w14:solidFill>
                </w14:textFill>
              </w:rPr>
              <w:t>2</w:t>
            </w:r>
            <w:r>
              <w:rPr>
                <w:rFonts w:cs="Times New Roman"/>
                <w:color w:val="000000" w:themeColor="text1"/>
                <w:lang w:val="zh-CN"/>
                <w14:textFill>
                  <w14:solidFill>
                    <w14:schemeClr w14:val="tx1"/>
                  </w14:solidFill>
                </w14:textFill>
              </w:rPr>
              <w:t>、NO</w:t>
            </w:r>
            <w:r>
              <w:rPr>
                <w:rFonts w:cs="Times New Roman"/>
                <w:color w:val="000000" w:themeColor="text1"/>
                <w14:textFill>
                  <w14:solidFill>
                    <w14:schemeClr w14:val="tx1"/>
                  </w14:solidFill>
                </w14:textFill>
              </w:rPr>
              <w:t>x</w:t>
            </w:r>
            <w:r>
              <w:rPr>
                <w:rFonts w:cs="Times New Roman"/>
                <w:color w:val="000000" w:themeColor="text1"/>
                <w:lang w:val="zh-CN"/>
                <w14:textFill>
                  <w14:solidFill>
                    <w14:schemeClr w14:val="tx1"/>
                  </w14:solidFill>
                </w14:textFill>
              </w:rPr>
              <w:t>、烟尘。烟气中烟尘、SO</w:t>
            </w:r>
            <w:r>
              <w:rPr>
                <w:rFonts w:cs="Times New Roman"/>
                <w:color w:val="000000" w:themeColor="text1"/>
                <w:vertAlign w:val="subscript"/>
                <w14:textFill>
                  <w14:solidFill>
                    <w14:schemeClr w14:val="tx1"/>
                  </w14:solidFill>
                </w14:textFill>
              </w:rPr>
              <w:t>2</w:t>
            </w:r>
            <w:r>
              <w:rPr>
                <w:rFonts w:cs="Times New Roman"/>
                <w:color w:val="000000" w:themeColor="text1"/>
                <w:lang w:val="zh-CN"/>
                <w14:textFill>
                  <w14:solidFill>
                    <w14:schemeClr w14:val="tx1"/>
                  </w14:solidFill>
                </w14:textFill>
              </w:rPr>
              <w:t>、NO</w:t>
            </w:r>
            <w:r>
              <w:rPr>
                <w:rFonts w:cs="Times New Roman"/>
                <w:color w:val="000000" w:themeColor="text1"/>
                <w14:textFill>
                  <w14:solidFill>
                    <w14:schemeClr w14:val="tx1"/>
                  </w14:solidFill>
                </w14:textFill>
              </w:rPr>
              <w:t>x</w:t>
            </w:r>
            <w:r>
              <w:rPr>
                <w:rFonts w:cs="Times New Roman"/>
                <w:color w:val="000000" w:themeColor="text1"/>
                <w:lang w:val="zh-CN"/>
                <w14:textFill>
                  <w14:solidFill>
                    <w14:schemeClr w14:val="tx1"/>
                  </w14:solidFill>
                </w14:textFill>
              </w:rPr>
              <w:t>等大气污染物产生、治理措施及排放情况见下表。</w:t>
            </w:r>
          </w:p>
          <w:p w14:paraId="2A5F7BC6">
            <w:pPr>
              <w:pStyle w:val="97"/>
              <w:spacing w:before="120" w:after="120"/>
              <w:rPr>
                <w:rFonts w:cs="Times New Roman"/>
                <w:color w:val="000000" w:themeColor="text1"/>
                <w14:textFill>
                  <w14:solidFill>
                    <w14:schemeClr w14:val="tx1"/>
                  </w14:solidFill>
                </w14:textFill>
              </w:rPr>
            </w:pPr>
            <w:bookmarkStart w:id="153" w:name="_Ref24932133"/>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lang w:val="en-US"/>
                <w14:textFill>
                  <w14:solidFill>
                    <w14:schemeClr w14:val="tx1"/>
                  </w14:solidFill>
                </w14:textFill>
              </w:rPr>
              <w:t>4.6</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bookmarkEnd w:id="153"/>
            <w:r>
              <w:rPr>
                <w:rFonts w:cs="Times New Roman"/>
                <w:color w:val="000000" w:themeColor="text1"/>
                <w14:textFill>
                  <w14:solidFill>
                    <w14:schemeClr w14:val="tx1"/>
                  </w14:solidFill>
                </w14:textFill>
              </w:rPr>
              <w:t xml:space="preserve">  有组织废气污染物产生、治理措施及排放情况一览表</w:t>
            </w:r>
          </w:p>
          <w:p w14:paraId="45077C6B">
            <w:pPr>
              <w:pStyle w:val="97"/>
              <w:spacing w:before="120" w:after="120"/>
              <w:rPr>
                <w:rFonts w:cs="Times New Roman"/>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36290376">
            <w:pPr>
              <w:pStyle w:val="97"/>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lang w:val="en-US"/>
                <w14:textFill>
                  <w14:solidFill>
                    <w14:schemeClr w14:val="tx1"/>
                  </w14:solidFill>
                </w14:textFill>
              </w:rPr>
              <w:t>4.6</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排放口基本情况一览表</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1576"/>
              <w:gridCol w:w="806"/>
              <w:gridCol w:w="708"/>
              <w:gridCol w:w="854"/>
              <w:gridCol w:w="772"/>
              <w:gridCol w:w="1285"/>
              <w:gridCol w:w="851"/>
              <w:gridCol w:w="1655"/>
            </w:tblGrid>
            <w:tr w14:paraId="5313A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26" w:hRule="atLeast"/>
                <w:jc w:val="center"/>
              </w:trPr>
              <w:tc>
                <w:tcPr>
                  <w:tcW w:w="926" w:type="pct"/>
                  <w:vMerge w:val="restart"/>
                  <w:vAlign w:val="center"/>
                </w:tcPr>
                <w:p w14:paraId="6B25384C">
                  <w:pPr>
                    <w:pStyle w:val="90"/>
                    <w:rPr>
                      <w:color w:val="000000" w:themeColor="text1"/>
                      <w14:textFill>
                        <w14:solidFill>
                          <w14:schemeClr w14:val="tx1"/>
                        </w14:solidFill>
                      </w14:textFill>
                    </w:rPr>
                  </w:pPr>
                  <w:r>
                    <w:rPr>
                      <w:color w:val="000000" w:themeColor="text1"/>
                      <w14:textFill>
                        <w14:solidFill>
                          <w14:schemeClr w14:val="tx1"/>
                        </w14:solidFill>
                      </w14:textFill>
                    </w:rPr>
                    <w:t>装置</w:t>
                  </w:r>
                </w:p>
              </w:tc>
              <w:tc>
                <w:tcPr>
                  <w:tcW w:w="4074" w:type="pct"/>
                  <w:gridSpan w:val="7"/>
                  <w:vAlign w:val="center"/>
                </w:tcPr>
                <w:p w14:paraId="7A733D64">
                  <w:pPr>
                    <w:pStyle w:val="90"/>
                    <w:rPr>
                      <w:color w:val="000000" w:themeColor="text1"/>
                      <w14:textFill>
                        <w14:solidFill>
                          <w14:schemeClr w14:val="tx1"/>
                        </w14:solidFill>
                      </w14:textFill>
                    </w:rPr>
                  </w:pPr>
                  <w:r>
                    <w:rPr>
                      <w:color w:val="000000" w:themeColor="text1"/>
                      <w14:textFill>
                        <w14:solidFill>
                          <w14:schemeClr w14:val="tx1"/>
                        </w14:solidFill>
                      </w14:textFill>
                    </w:rPr>
                    <w:t>排气筒参数</w:t>
                  </w:r>
                </w:p>
              </w:tc>
            </w:tr>
            <w:tr w14:paraId="650BF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263" w:hRule="atLeast"/>
                <w:jc w:val="center"/>
              </w:trPr>
              <w:tc>
                <w:tcPr>
                  <w:tcW w:w="926" w:type="pct"/>
                  <w:vMerge w:val="continue"/>
                  <w:vAlign w:val="center"/>
                </w:tcPr>
                <w:p w14:paraId="0B858C05">
                  <w:pPr>
                    <w:pStyle w:val="90"/>
                    <w:rPr>
                      <w:color w:val="000000" w:themeColor="text1"/>
                      <w14:textFill>
                        <w14:solidFill>
                          <w14:schemeClr w14:val="tx1"/>
                        </w14:solidFill>
                      </w14:textFill>
                    </w:rPr>
                  </w:pPr>
                </w:p>
              </w:tc>
              <w:tc>
                <w:tcPr>
                  <w:tcW w:w="474" w:type="pct"/>
                  <w:vAlign w:val="center"/>
                </w:tcPr>
                <w:p w14:paraId="72932748">
                  <w:pPr>
                    <w:pStyle w:val="90"/>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416" w:type="pct"/>
                  <w:vAlign w:val="center"/>
                </w:tcPr>
                <w:p w14:paraId="4E052604">
                  <w:pPr>
                    <w:pStyle w:val="90"/>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502" w:type="pct"/>
                  <w:vAlign w:val="center"/>
                </w:tcPr>
                <w:p w14:paraId="6AD2CCC6">
                  <w:pPr>
                    <w:pStyle w:val="90"/>
                    <w:rPr>
                      <w:color w:val="000000" w:themeColor="text1"/>
                      <w14:textFill>
                        <w14:solidFill>
                          <w14:schemeClr w14:val="tx1"/>
                        </w14:solidFill>
                      </w14:textFill>
                    </w:rPr>
                  </w:pPr>
                  <w:r>
                    <w:rPr>
                      <w:color w:val="000000" w:themeColor="text1"/>
                      <w14:textFill>
                        <w14:solidFill>
                          <w14:schemeClr w14:val="tx1"/>
                        </w14:solidFill>
                      </w14:textFill>
                    </w:rPr>
                    <w:t>高度m</w:t>
                  </w:r>
                </w:p>
              </w:tc>
              <w:tc>
                <w:tcPr>
                  <w:tcW w:w="454" w:type="pct"/>
                  <w:vAlign w:val="center"/>
                </w:tcPr>
                <w:p w14:paraId="7E843A56">
                  <w:pPr>
                    <w:pStyle w:val="90"/>
                    <w:rPr>
                      <w:color w:val="000000" w:themeColor="text1"/>
                      <w14:textFill>
                        <w14:solidFill>
                          <w14:schemeClr w14:val="tx1"/>
                        </w14:solidFill>
                      </w14:textFill>
                    </w:rPr>
                  </w:pPr>
                  <w:r>
                    <w:rPr>
                      <w:color w:val="000000" w:themeColor="text1"/>
                      <w14:textFill>
                        <w14:solidFill>
                          <w14:schemeClr w14:val="tx1"/>
                        </w14:solidFill>
                      </w14:textFill>
                    </w:rPr>
                    <w:t>内径m</w:t>
                  </w:r>
                </w:p>
              </w:tc>
              <w:tc>
                <w:tcPr>
                  <w:tcW w:w="755" w:type="pct"/>
                  <w:vAlign w:val="center"/>
                </w:tcPr>
                <w:p w14:paraId="2B833ECF">
                  <w:pPr>
                    <w:pStyle w:val="90"/>
                    <w:rPr>
                      <w:color w:val="000000" w:themeColor="text1"/>
                      <w14:textFill>
                        <w14:solidFill>
                          <w14:schemeClr w14:val="tx1"/>
                        </w14:solidFill>
                      </w14:textFill>
                    </w:rPr>
                  </w:pPr>
                  <w:r>
                    <w:rPr>
                      <w:color w:val="000000" w:themeColor="text1"/>
                      <w14:textFill>
                        <w14:solidFill>
                          <w14:schemeClr w14:val="tx1"/>
                        </w14:solidFill>
                      </w14:textFill>
                    </w:rPr>
                    <w:t>排放温度℃</w:t>
                  </w:r>
                </w:p>
              </w:tc>
              <w:tc>
                <w:tcPr>
                  <w:tcW w:w="500" w:type="pct"/>
                  <w:vAlign w:val="center"/>
                </w:tcPr>
                <w:p w14:paraId="4280B90A">
                  <w:pPr>
                    <w:pStyle w:val="90"/>
                    <w:rPr>
                      <w:color w:val="000000" w:themeColor="text1"/>
                      <w14:textFill>
                        <w14:solidFill>
                          <w14:schemeClr w14:val="tx1"/>
                        </w14:solidFill>
                      </w14:textFill>
                    </w:rPr>
                  </w:pPr>
                  <w:r>
                    <w:rPr>
                      <w:color w:val="000000" w:themeColor="text1"/>
                      <w14:textFill>
                        <w14:solidFill>
                          <w14:schemeClr w14:val="tx1"/>
                        </w14:solidFill>
                      </w14:textFill>
                    </w:rPr>
                    <w:t>类型</w:t>
                  </w:r>
                </w:p>
              </w:tc>
              <w:tc>
                <w:tcPr>
                  <w:tcW w:w="973" w:type="pct"/>
                  <w:vAlign w:val="center"/>
                </w:tcPr>
                <w:p w14:paraId="7DAF0AC6">
                  <w:pPr>
                    <w:pStyle w:val="90"/>
                    <w:rPr>
                      <w:color w:val="000000" w:themeColor="text1"/>
                      <w14:textFill>
                        <w14:solidFill>
                          <w14:schemeClr w14:val="tx1"/>
                        </w14:solidFill>
                      </w14:textFill>
                    </w:rPr>
                  </w:pPr>
                  <w:r>
                    <w:rPr>
                      <w:color w:val="000000" w:themeColor="text1"/>
                      <w14:textFill>
                        <w14:solidFill>
                          <w14:schemeClr w14:val="tx1"/>
                        </w14:solidFill>
                      </w14:textFill>
                    </w:rPr>
                    <w:t>地理坐标</w:t>
                  </w:r>
                </w:p>
              </w:tc>
            </w:tr>
            <w:tr w14:paraId="69E66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40" w:hRule="atLeast"/>
                <w:jc w:val="center"/>
              </w:trPr>
              <w:tc>
                <w:tcPr>
                  <w:tcW w:w="926" w:type="pct"/>
                  <w:vAlign w:val="center"/>
                </w:tcPr>
                <w:p w14:paraId="3CDD35BD">
                  <w:pPr>
                    <w:pStyle w:val="90"/>
                    <w:rPr>
                      <w:color w:val="000000" w:themeColor="text1"/>
                      <w14:textFill>
                        <w14:solidFill>
                          <w14:schemeClr w14:val="tx1"/>
                        </w14:solidFill>
                      </w14:textFill>
                    </w:rPr>
                  </w:pPr>
                  <w:r>
                    <w:rPr>
                      <w:color w:val="000000" w:themeColor="text1"/>
                      <w14:textFill>
                        <w14:solidFill>
                          <w14:schemeClr w14:val="tx1"/>
                        </w14:solidFill>
                      </w14:textFill>
                    </w:rPr>
                    <w:t>1台170t/h超高温超高压燃气锅炉</w:t>
                  </w:r>
                </w:p>
              </w:tc>
              <w:tc>
                <w:tcPr>
                  <w:tcW w:w="474" w:type="pct"/>
                  <w:vAlign w:val="center"/>
                </w:tcPr>
                <w:p w14:paraId="1AC19C62">
                  <w:pPr>
                    <w:pStyle w:val="90"/>
                    <w:rPr>
                      <w:color w:val="000000" w:themeColor="text1"/>
                      <w14:textFill>
                        <w14:solidFill>
                          <w14:schemeClr w14:val="tx1"/>
                        </w14:solidFill>
                      </w14:textFill>
                    </w:rPr>
                  </w:pPr>
                  <w:r>
                    <w:rPr>
                      <w:color w:val="000000" w:themeColor="text1"/>
                      <w14:textFill>
                        <w14:solidFill>
                          <w14:schemeClr w14:val="tx1"/>
                        </w14:solidFill>
                      </w14:textFill>
                    </w:rPr>
                    <w:t>DA230</w:t>
                  </w:r>
                </w:p>
              </w:tc>
              <w:tc>
                <w:tcPr>
                  <w:tcW w:w="416" w:type="pct"/>
                  <w:vAlign w:val="center"/>
                </w:tcPr>
                <w:p w14:paraId="1B57CF5A">
                  <w:pPr>
                    <w:pStyle w:val="90"/>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2" w:type="pct"/>
                  <w:vAlign w:val="center"/>
                </w:tcPr>
                <w:p w14:paraId="4ED7EF6B">
                  <w:pPr>
                    <w:pStyle w:val="90"/>
                    <w:rPr>
                      <w:color w:val="000000" w:themeColor="text1"/>
                      <w14:textFill>
                        <w14:solidFill>
                          <w14:schemeClr w14:val="tx1"/>
                        </w14:solidFill>
                      </w14:textFill>
                    </w:rPr>
                  </w:pPr>
                  <w:r>
                    <w:rPr>
                      <w:color w:val="000000" w:themeColor="text1"/>
                      <w14:textFill>
                        <w14:solidFill>
                          <w14:schemeClr w14:val="tx1"/>
                        </w14:solidFill>
                      </w14:textFill>
                    </w:rPr>
                    <w:t>60</w:t>
                  </w:r>
                </w:p>
              </w:tc>
              <w:tc>
                <w:tcPr>
                  <w:tcW w:w="454" w:type="pct"/>
                  <w:vAlign w:val="center"/>
                </w:tcPr>
                <w:p w14:paraId="0AC5EEFE">
                  <w:pPr>
                    <w:pStyle w:val="90"/>
                    <w:rPr>
                      <w:color w:val="000000" w:themeColor="text1"/>
                      <w14:textFill>
                        <w14:solidFill>
                          <w14:schemeClr w14:val="tx1"/>
                        </w14:solidFill>
                      </w14:textFill>
                    </w:rPr>
                  </w:pPr>
                  <w:r>
                    <w:rPr>
                      <w:color w:val="000000" w:themeColor="text1"/>
                      <w14:textFill>
                        <w14:solidFill>
                          <w14:schemeClr w14:val="tx1"/>
                        </w14:solidFill>
                      </w14:textFill>
                    </w:rPr>
                    <w:t>3.2</w:t>
                  </w:r>
                </w:p>
              </w:tc>
              <w:tc>
                <w:tcPr>
                  <w:tcW w:w="755" w:type="pct"/>
                  <w:vAlign w:val="center"/>
                </w:tcPr>
                <w:p w14:paraId="7953F436">
                  <w:pPr>
                    <w:pStyle w:val="90"/>
                    <w:rPr>
                      <w:color w:val="000000" w:themeColor="text1"/>
                      <w:sz w:val="20"/>
                      <w:szCs w:val="18"/>
                      <w14:textFill>
                        <w14:solidFill>
                          <w14:schemeClr w14:val="tx1"/>
                        </w14:solidFill>
                      </w14:textFill>
                    </w:rPr>
                  </w:pPr>
                  <w:r>
                    <w:rPr>
                      <w:color w:val="000000" w:themeColor="text1"/>
                      <w:sz w:val="20"/>
                      <w:szCs w:val="18"/>
                      <w14:textFill>
                        <w14:solidFill>
                          <w14:schemeClr w14:val="tx1"/>
                        </w14:solidFill>
                      </w14:textFill>
                    </w:rPr>
                    <w:t>90</w:t>
                  </w:r>
                </w:p>
              </w:tc>
              <w:tc>
                <w:tcPr>
                  <w:tcW w:w="500" w:type="pct"/>
                  <w:vAlign w:val="center"/>
                </w:tcPr>
                <w:p w14:paraId="6CC9ADE2">
                  <w:pPr>
                    <w:pStyle w:val="90"/>
                    <w:rPr>
                      <w:color w:val="000000" w:themeColor="text1"/>
                      <w:sz w:val="20"/>
                      <w:szCs w:val="18"/>
                      <w14:textFill>
                        <w14:solidFill>
                          <w14:schemeClr w14:val="tx1"/>
                        </w14:solidFill>
                      </w14:textFill>
                    </w:rPr>
                  </w:pPr>
                  <w:r>
                    <w:rPr>
                      <w:color w:val="000000" w:themeColor="text1"/>
                      <w:sz w:val="20"/>
                      <w:szCs w:val="18"/>
                      <w14:textFill>
                        <w14:solidFill>
                          <w14:schemeClr w14:val="tx1"/>
                        </w14:solidFill>
                      </w14:textFill>
                    </w:rPr>
                    <w:t>钢混</w:t>
                  </w:r>
                </w:p>
              </w:tc>
              <w:tc>
                <w:tcPr>
                  <w:tcW w:w="973" w:type="pct"/>
                  <w:vAlign w:val="center"/>
                </w:tcPr>
                <w:p w14:paraId="1DCAC4B3">
                  <w:pPr>
                    <w:pStyle w:val="90"/>
                    <w:rPr>
                      <w:color w:val="000000" w:themeColor="text1"/>
                      <w14:textFill>
                        <w14:solidFill>
                          <w14:schemeClr w14:val="tx1"/>
                        </w14:solidFill>
                      </w14:textFill>
                    </w:rPr>
                  </w:pPr>
                  <w:r>
                    <w:rPr>
                      <w:color w:val="000000" w:themeColor="text1"/>
                      <w14:textFill>
                        <w14:solidFill>
                          <w14:schemeClr w14:val="tx1"/>
                        </w14:solidFill>
                      </w14:textFill>
                    </w:rPr>
                    <w:t>119°39′40.448″</w:t>
                  </w:r>
                </w:p>
                <w:p w14:paraId="7407CEA4">
                  <w:pPr>
                    <w:pStyle w:val="90"/>
                    <w:rPr>
                      <w:color w:val="000000" w:themeColor="text1"/>
                      <w14:textFill>
                        <w14:solidFill>
                          <w14:schemeClr w14:val="tx1"/>
                        </w14:solidFill>
                      </w14:textFill>
                    </w:rPr>
                  </w:pPr>
                  <w:r>
                    <w:rPr>
                      <w:color w:val="000000" w:themeColor="text1"/>
                      <w14:textFill>
                        <w14:solidFill>
                          <w14:schemeClr w14:val="tx1"/>
                        </w14:solidFill>
                      </w14:textFill>
                    </w:rPr>
                    <w:t>26°29′17.679″</w:t>
                  </w:r>
                </w:p>
              </w:tc>
            </w:tr>
          </w:tbl>
          <w:p w14:paraId="2B2EAA59">
            <w:pPr>
              <w:pStyle w:val="98"/>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本项目大气污染物排放标准</w:t>
            </w:r>
          </w:p>
          <w:tbl>
            <w:tblPr>
              <w:tblStyle w:val="46"/>
              <w:tblW w:w="8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0"/>
              <w:gridCol w:w="1276"/>
              <w:gridCol w:w="1701"/>
              <w:gridCol w:w="1344"/>
              <w:gridCol w:w="1121"/>
            </w:tblGrid>
            <w:tr w14:paraId="2A1B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990" w:type="dxa"/>
                  <w:vAlign w:val="center"/>
                </w:tcPr>
                <w:p w14:paraId="53E5826E">
                  <w:pPr>
                    <w:pStyle w:val="90"/>
                    <w:rPr>
                      <w:color w:val="000000" w:themeColor="text1"/>
                      <w14:textFill>
                        <w14:solidFill>
                          <w14:schemeClr w14:val="tx1"/>
                        </w14:solidFill>
                      </w14:textFill>
                    </w:rPr>
                  </w:pPr>
                  <w:r>
                    <w:rPr>
                      <w:color w:val="000000" w:themeColor="text1"/>
                      <w14:textFill>
                        <w14:solidFill>
                          <w14:schemeClr w14:val="tx1"/>
                        </w14:solidFill>
                      </w14:textFill>
                    </w:rPr>
                    <w:t>标准名称及代号</w:t>
                  </w:r>
                </w:p>
              </w:tc>
              <w:tc>
                <w:tcPr>
                  <w:tcW w:w="1276" w:type="dxa"/>
                  <w:vAlign w:val="center"/>
                </w:tcPr>
                <w:p w14:paraId="2B12A432">
                  <w:pPr>
                    <w:pStyle w:val="90"/>
                    <w:rPr>
                      <w:color w:val="000000" w:themeColor="text1"/>
                      <w14:textFill>
                        <w14:solidFill>
                          <w14:schemeClr w14:val="tx1"/>
                        </w14:solidFill>
                      </w14:textFill>
                    </w:rPr>
                  </w:pPr>
                  <w:r>
                    <w:rPr>
                      <w:color w:val="000000" w:themeColor="text1"/>
                      <w14:textFill>
                        <w14:solidFill>
                          <w14:schemeClr w14:val="tx1"/>
                        </w14:solidFill>
                      </w14:textFill>
                    </w:rPr>
                    <w:t>生产设施</w:t>
                  </w:r>
                </w:p>
              </w:tc>
              <w:tc>
                <w:tcPr>
                  <w:tcW w:w="1701" w:type="dxa"/>
                  <w:vAlign w:val="center"/>
                </w:tcPr>
                <w:p w14:paraId="1B1807D2">
                  <w:pPr>
                    <w:pStyle w:val="90"/>
                    <w:rPr>
                      <w:color w:val="000000" w:themeColor="text1"/>
                      <w14:textFill>
                        <w14:solidFill>
                          <w14:schemeClr w14:val="tx1"/>
                        </w14:solidFill>
                      </w14:textFill>
                    </w:rPr>
                  </w:pPr>
                  <w:r>
                    <w:rPr>
                      <w:color w:val="000000" w:themeColor="text1"/>
                      <w14:textFill>
                        <w14:solidFill>
                          <w14:schemeClr w14:val="tx1"/>
                        </w14:solidFill>
                      </w14:textFill>
                    </w:rPr>
                    <w:t>污染物项目</w:t>
                  </w:r>
                </w:p>
              </w:tc>
              <w:tc>
                <w:tcPr>
                  <w:tcW w:w="1344" w:type="dxa"/>
                  <w:vAlign w:val="center"/>
                </w:tcPr>
                <w:p w14:paraId="6B3840D6">
                  <w:pPr>
                    <w:pStyle w:val="90"/>
                    <w:rPr>
                      <w:color w:val="000000" w:themeColor="text1"/>
                      <w14:textFill>
                        <w14:solidFill>
                          <w14:schemeClr w14:val="tx1"/>
                        </w14:solidFill>
                      </w14:textFill>
                    </w:rPr>
                  </w:pPr>
                  <w:r>
                    <w:rPr>
                      <w:color w:val="000000" w:themeColor="text1"/>
                      <w14:textFill>
                        <w14:solidFill>
                          <w14:schemeClr w14:val="tx1"/>
                        </w14:solidFill>
                      </w14:textFill>
                    </w:rPr>
                    <w:t>标准限值（mg/m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1121" w:type="dxa"/>
                </w:tcPr>
                <w:p w14:paraId="62D49F28">
                  <w:pPr>
                    <w:pStyle w:val="90"/>
                    <w:rPr>
                      <w:color w:val="000000" w:themeColor="text1"/>
                      <w14:textFill>
                        <w14:solidFill>
                          <w14:schemeClr w14:val="tx1"/>
                        </w14:solidFill>
                      </w14:textFill>
                    </w:rPr>
                  </w:pPr>
                  <w:r>
                    <w:rPr>
                      <w:color w:val="000000" w:themeColor="text1"/>
                      <w14:textFill>
                        <w14:solidFill>
                          <w14:schemeClr w14:val="tx1"/>
                        </w14:solidFill>
                      </w14:textFill>
                    </w:rPr>
                    <w:t>基准含氧量（%）</w:t>
                  </w:r>
                </w:p>
              </w:tc>
            </w:tr>
            <w:tr w14:paraId="4AA0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990" w:type="dxa"/>
                  <w:vMerge w:val="restart"/>
                  <w:vAlign w:val="center"/>
                </w:tcPr>
                <w:p w14:paraId="7C4B54A9">
                  <w:pPr>
                    <w:pStyle w:val="90"/>
                    <w:rPr>
                      <w:color w:val="000000" w:themeColor="text1"/>
                      <w14:textFill>
                        <w14:solidFill>
                          <w14:schemeClr w14:val="tx1"/>
                        </w14:solidFill>
                      </w14:textFill>
                    </w:rPr>
                  </w:pPr>
                  <w:r>
                    <w:rPr>
                      <w:color w:val="000000" w:themeColor="text1"/>
                      <w14:textFill>
                        <w14:solidFill>
                          <w14:schemeClr w14:val="tx1"/>
                        </w14:solidFill>
                      </w14:textFill>
                    </w:rPr>
                    <w:t>《关于推进实施钢铁行业超低排放的意见》（环大气[2019]35号）</w:t>
                  </w:r>
                </w:p>
              </w:tc>
              <w:tc>
                <w:tcPr>
                  <w:tcW w:w="1276" w:type="dxa"/>
                  <w:vMerge w:val="restart"/>
                  <w:vAlign w:val="center"/>
                </w:tcPr>
                <w:p w14:paraId="36A45625">
                  <w:pPr>
                    <w:pStyle w:val="90"/>
                    <w:rPr>
                      <w:color w:val="000000" w:themeColor="text1"/>
                      <w14:textFill>
                        <w14:solidFill>
                          <w14:schemeClr w14:val="tx1"/>
                        </w14:solidFill>
                      </w14:textFill>
                    </w:rPr>
                  </w:pPr>
                  <w:r>
                    <w:rPr>
                      <w:color w:val="000000" w:themeColor="text1"/>
                      <w14:textFill>
                        <w14:solidFill>
                          <w14:schemeClr w14:val="tx1"/>
                        </w14:solidFill>
                      </w14:textFill>
                    </w:rPr>
                    <w:t>燃气锅炉</w:t>
                  </w:r>
                </w:p>
              </w:tc>
              <w:tc>
                <w:tcPr>
                  <w:tcW w:w="1701" w:type="dxa"/>
                  <w:vAlign w:val="center"/>
                </w:tcPr>
                <w:p w14:paraId="1CD7EDA9">
                  <w:pPr>
                    <w:pStyle w:val="9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344" w:type="dxa"/>
                  <w:vAlign w:val="center"/>
                </w:tcPr>
                <w:p w14:paraId="775387E3">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121" w:type="dxa"/>
                  <w:vMerge w:val="restart"/>
                  <w:vAlign w:val="center"/>
                </w:tcPr>
                <w:p w14:paraId="4C516455">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r>
            <w:tr w14:paraId="4587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990" w:type="dxa"/>
                  <w:vMerge w:val="continue"/>
                  <w:vAlign w:val="center"/>
                </w:tcPr>
                <w:p w14:paraId="20E0BE53">
                  <w:pPr>
                    <w:pStyle w:val="90"/>
                    <w:rPr>
                      <w:color w:val="000000" w:themeColor="text1"/>
                      <w14:textFill>
                        <w14:solidFill>
                          <w14:schemeClr w14:val="tx1"/>
                        </w14:solidFill>
                      </w14:textFill>
                    </w:rPr>
                  </w:pPr>
                </w:p>
              </w:tc>
              <w:tc>
                <w:tcPr>
                  <w:tcW w:w="1276" w:type="dxa"/>
                  <w:vMerge w:val="continue"/>
                  <w:vAlign w:val="center"/>
                </w:tcPr>
                <w:p w14:paraId="0B46374F">
                  <w:pPr>
                    <w:pStyle w:val="90"/>
                    <w:rPr>
                      <w:color w:val="000000" w:themeColor="text1"/>
                      <w14:textFill>
                        <w14:solidFill>
                          <w14:schemeClr w14:val="tx1"/>
                        </w14:solidFill>
                      </w14:textFill>
                    </w:rPr>
                  </w:pPr>
                </w:p>
              </w:tc>
              <w:tc>
                <w:tcPr>
                  <w:tcW w:w="1701" w:type="dxa"/>
                  <w:vAlign w:val="center"/>
                </w:tcPr>
                <w:p w14:paraId="386B3ADB">
                  <w:pPr>
                    <w:pStyle w:val="9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344" w:type="dxa"/>
                  <w:vAlign w:val="center"/>
                </w:tcPr>
                <w:p w14:paraId="754C994A">
                  <w:pPr>
                    <w:pStyle w:val="90"/>
                    <w:rPr>
                      <w:color w:val="000000" w:themeColor="text1"/>
                      <w14:textFill>
                        <w14:solidFill>
                          <w14:schemeClr w14:val="tx1"/>
                        </w14:solidFill>
                      </w14:textFill>
                    </w:rPr>
                  </w:pPr>
                  <w:r>
                    <w:rPr>
                      <w:color w:val="000000" w:themeColor="text1"/>
                      <w14:textFill>
                        <w14:solidFill>
                          <w14:schemeClr w14:val="tx1"/>
                        </w14:solidFill>
                      </w14:textFill>
                    </w:rPr>
                    <w:t>35</w:t>
                  </w:r>
                </w:p>
              </w:tc>
              <w:tc>
                <w:tcPr>
                  <w:tcW w:w="1121" w:type="dxa"/>
                  <w:vMerge w:val="continue"/>
                </w:tcPr>
                <w:p w14:paraId="06ABFCC5">
                  <w:pPr>
                    <w:pStyle w:val="90"/>
                    <w:rPr>
                      <w:color w:val="000000" w:themeColor="text1"/>
                      <w14:textFill>
                        <w14:solidFill>
                          <w14:schemeClr w14:val="tx1"/>
                        </w14:solidFill>
                      </w14:textFill>
                    </w:rPr>
                  </w:pPr>
                </w:p>
              </w:tc>
            </w:tr>
            <w:tr w14:paraId="2971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990" w:type="dxa"/>
                  <w:vMerge w:val="continue"/>
                  <w:vAlign w:val="center"/>
                </w:tcPr>
                <w:p w14:paraId="00E05B93">
                  <w:pPr>
                    <w:pStyle w:val="90"/>
                    <w:rPr>
                      <w:color w:val="000000" w:themeColor="text1"/>
                      <w14:textFill>
                        <w14:solidFill>
                          <w14:schemeClr w14:val="tx1"/>
                        </w14:solidFill>
                      </w14:textFill>
                    </w:rPr>
                  </w:pPr>
                </w:p>
              </w:tc>
              <w:tc>
                <w:tcPr>
                  <w:tcW w:w="1276" w:type="dxa"/>
                  <w:vMerge w:val="continue"/>
                  <w:vAlign w:val="center"/>
                </w:tcPr>
                <w:p w14:paraId="4F95F1F2">
                  <w:pPr>
                    <w:pStyle w:val="90"/>
                    <w:rPr>
                      <w:color w:val="000000" w:themeColor="text1"/>
                      <w14:textFill>
                        <w14:solidFill>
                          <w14:schemeClr w14:val="tx1"/>
                        </w14:solidFill>
                      </w14:textFill>
                    </w:rPr>
                  </w:pPr>
                </w:p>
              </w:tc>
              <w:tc>
                <w:tcPr>
                  <w:tcW w:w="1701" w:type="dxa"/>
                  <w:vAlign w:val="center"/>
                </w:tcPr>
                <w:p w14:paraId="01761B3E">
                  <w:pPr>
                    <w:pStyle w:val="90"/>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1344" w:type="dxa"/>
                  <w:vAlign w:val="center"/>
                </w:tcPr>
                <w:p w14:paraId="69AB982C">
                  <w:pPr>
                    <w:pStyle w:val="90"/>
                    <w:rPr>
                      <w:color w:val="000000" w:themeColor="text1"/>
                      <w14:textFill>
                        <w14:solidFill>
                          <w14:schemeClr w14:val="tx1"/>
                        </w14:solidFill>
                      </w14:textFill>
                    </w:rPr>
                  </w:pPr>
                  <w:r>
                    <w:rPr>
                      <w:color w:val="000000" w:themeColor="text1"/>
                      <w14:textFill>
                        <w14:solidFill>
                          <w14:schemeClr w14:val="tx1"/>
                        </w14:solidFill>
                      </w14:textFill>
                    </w:rPr>
                    <w:t>50</w:t>
                  </w:r>
                </w:p>
              </w:tc>
              <w:tc>
                <w:tcPr>
                  <w:tcW w:w="1121" w:type="dxa"/>
                  <w:vMerge w:val="continue"/>
                </w:tcPr>
                <w:p w14:paraId="3B823316">
                  <w:pPr>
                    <w:pStyle w:val="90"/>
                    <w:rPr>
                      <w:color w:val="000000" w:themeColor="text1"/>
                      <w14:textFill>
                        <w14:solidFill>
                          <w14:schemeClr w14:val="tx1"/>
                        </w14:solidFill>
                      </w14:textFill>
                    </w:rPr>
                  </w:pPr>
                </w:p>
              </w:tc>
            </w:tr>
            <w:tr w14:paraId="6421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2990" w:type="dxa"/>
                  <w:vAlign w:val="center"/>
                </w:tcPr>
                <w:p w14:paraId="3246EBE7">
                  <w:pPr>
                    <w:pStyle w:val="90"/>
                    <w:rPr>
                      <w:color w:val="000000" w:themeColor="text1"/>
                      <w14:textFill>
                        <w14:solidFill>
                          <w14:schemeClr w14:val="tx1"/>
                        </w14:solidFill>
                      </w14:textFill>
                    </w:rPr>
                  </w:pPr>
                  <w:r>
                    <w:rPr>
                      <w:color w:val="000000" w:themeColor="text1"/>
                      <w14:textFill>
                        <w14:solidFill>
                          <w14:schemeClr w14:val="tx1"/>
                        </w14:solidFill>
                      </w14:textFill>
                    </w:rPr>
                    <w:t>《火电厂大气污染物排放标准》（GB 13223—2011）</w:t>
                  </w:r>
                </w:p>
              </w:tc>
              <w:tc>
                <w:tcPr>
                  <w:tcW w:w="1276" w:type="dxa"/>
                  <w:vMerge w:val="continue"/>
                  <w:vAlign w:val="center"/>
                </w:tcPr>
                <w:p w14:paraId="52D8D125">
                  <w:pPr>
                    <w:pStyle w:val="90"/>
                    <w:rPr>
                      <w:color w:val="000000" w:themeColor="text1"/>
                      <w14:textFill>
                        <w14:solidFill>
                          <w14:schemeClr w14:val="tx1"/>
                        </w14:solidFill>
                      </w14:textFill>
                    </w:rPr>
                  </w:pPr>
                </w:p>
              </w:tc>
              <w:tc>
                <w:tcPr>
                  <w:tcW w:w="1701" w:type="dxa"/>
                  <w:vAlign w:val="center"/>
                </w:tcPr>
                <w:p w14:paraId="5EFC67CC">
                  <w:pPr>
                    <w:pStyle w:val="90"/>
                    <w:rPr>
                      <w:color w:val="000000" w:themeColor="text1"/>
                      <w14:textFill>
                        <w14:solidFill>
                          <w14:schemeClr w14:val="tx1"/>
                        </w14:solidFill>
                      </w14:textFill>
                    </w:rPr>
                  </w:pPr>
                  <w:r>
                    <w:rPr>
                      <w:color w:val="000000" w:themeColor="text1"/>
                      <w14:textFill>
                        <w14:solidFill>
                          <w14:schemeClr w14:val="tx1"/>
                        </w14:solidFill>
                      </w14:textFill>
                    </w:rPr>
                    <w:t>烟气黑度（林格曼黑度）/级</w:t>
                  </w:r>
                </w:p>
              </w:tc>
              <w:tc>
                <w:tcPr>
                  <w:tcW w:w="1344" w:type="dxa"/>
                  <w:vAlign w:val="center"/>
                </w:tcPr>
                <w:p w14:paraId="2BA58E9F">
                  <w:pPr>
                    <w:pStyle w:val="90"/>
                    <w:rPr>
                      <w:color w:val="000000" w:themeColor="text1"/>
                      <w14:textFill>
                        <w14:solidFill>
                          <w14:schemeClr w14:val="tx1"/>
                        </w14:solidFill>
                      </w14:textFill>
                    </w:rPr>
                  </w:pPr>
                  <w:r>
                    <w:rPr>
                      <w:color w:val="000000" w:themeColor="text1"/>
                      <w14:textFill>
                        <w14:solidFill>
                          <w14:schemeClr w14:val="tx1"/>
                        </w14:solidFill>
                      </w14:textFill>
                    </w:rPr>
                    <w:t>1级</w:t>
                  </w:r>
                </w:p>
              </w:tc>
              <w:tc>
                <w:tcPr>
                  <w:tcW w:w="1121" w:type="dxa"/>
                  <w:vMerge w:val="continue"/>
                </w:tcPr>
                <w:p w14:paraId="66CE061E">
                  <w:pPr>
                    <w:pStyle w:val="90"/>
                    <w:rPr>
                      <w:color w:val="000000" w:themeColor="text1"/>
                      <w14:textFill>
                        <w14:solidFill>
                          <w14:schemeClr w14:val="tx1"/>
                        </w14:solidFill>
                      </w14:textFill>
                    </w:rPr>
                  </w:pPr>
                </w:p>
              </w:tc>
            </w:tr>
            <w:tr w14:paraId="1FD7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990" w:type="dxa"/>
                  <w:vAlign w:val="center"/>
                </w:tcPr>
                <w:p w14:paraId="49A2EF25">
                  <w:pPr>
                    <w:pStyle w:val="90"/>
                    <w:rPr>
                      <w:color w:val="000000" w:themeColor="text1"/>
                      <w14:textFill>
                        <w14:solidFill>
                          <w14:schemeClr w14:val="tx1"/>
                        </w14:solidFill>
                      </w14:textFill>
                    </w:rPr>
                  </w:pPr>
                  <w:r>
                    <w:rPr>
                      <w:color w:val="000000" w:themeColor="text1"/>
                      <w14:textFill>
                        <w14:solidFill>
                          <w14:schemeClr w14:val="tx1"/>
                        </w14:solidFill>
                      </w14:textFill>
                    </w:rPr>
                    <w:t>参照《火电厂及锅炉大气污染物排放标准（征求意见稿）》（GB 13223 修订版，2026）</w:t>
                  </w:r>
                </w:p>
              </w:tc>
              <w:tc>
                <w:tcPr>
                  <w:tcW w:w="1276" w:type="dxa"/>
                  <w:vMerge w:val="continue"/>
                  <w:vAlign w:val="center"/>
                </w:tcPr>
                <w:p w14:paraId="6C3B279A">
                  <w:pPr>
                    <w:pStyle w:val="90"/>
                    <w:rPr>
                      <w:color w:val="000000" w:themeColor="text1"/>
                      <w14:textFill>
                        <w14:solidFill>
                          <w14:schemeClr w14:val="tx1"/>
                        </w14:solidFill>
                      </w14:textFill>
                    </w:rPr>
                  </w:pPr>
                </w:p>
              </w:tc>
              <w:tc>
                <w:tcPr>
                  <w:tcW w:w="1701" w:type="dxa"/>
                  <w:vAlign w:val="center"/>
                </w:tcPr>
                <w:p w14:paraId="4BB9CEF2">
                  <w:pPr>
                    <w:pStyle w:val="90"/>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344" w:type="dxa"/>
                  <w:vAlign w:val="center"/>
                </w:tcPr>
                <w:p w14:paraId="3EC8BEE7">
                  <w:pPr>
                    <w:pStyle w:val="90"/>
                    <w:rPr>
                      <w:color w:val="000000" w:themeColor="text1"/>
                      <w14:textFill>
                        <w14:solidFill>
                          <w14:schemeClr w14:val="tx1"/>
                        </w14:solidFill>
                      </w14:textFill>
                    </w:rPr>
                  </w:pPr>
                  <w:r>
                    <w:rPr>
                      <w:color w:val="000000" w:themeColor="text1"/>
                      <w14:textFill>
                        <w14:solidFill>
                          <w14:schemeClr w14:val="tx1"/>
                        </w14:solidFill>
                      </w14:textFill>
                    </w:rPr>
                    <w:t>8</w:t>
                  </w:r>
                </w:p>
              </w:tc>
              <w:tc>
                <w:tcPr>
                  <w:tcW w:w="1121" w:type="dxa"/>
                  <w:vMerge w:val="continue"/>
                </w:tcPr>
                <w:p w14:paraId="166E3B39">
                  <w:pPr>
                    <w:pStyle w:val="90"/>
                    <w:rPr>
                      <w:color w:val="000000" w:themeColor="text1"/>
                      <w14:textFill>
                        <w14:solidFill>
                          <w14:schemeClr w14:val="tx1"/>
                        </w14:solidFill>
                      </w14:textFill>
                    </w:rPr>
                  </w:pPr>
                </w:p>
              </w:tc>
            </w:tr>
          </w:tbl>
          <w:p w14:paraId="7E75973A">
            <w:pPr>
              <w:pStyle w:val="98"/>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有组织监测计划一览表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4165"/>
              <w:gridCol w:w="2508"/>
            </w:tblGrid>
            <w:tr w14:paraId="630D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81" w:type="pct"/>
                  <w:vAlign w:val="center"/>
                </w:tcPr>
                <w:p w14:paraId="45BDB59F">
                  <w:pPr>
                    <w:pStyle w:val="90"/>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2446" w:type="pct"/>
                  <w:vAlign w:val="center"/>
                </w:tcPr>
                <w:p w14:paraId="556DA6D6">
                  <w:pPr>
                    <w:pStyle w:val="90"/>
                    <w:rPr>
                      <w:color w:val="000000" w:themeColor="text1"/>
                      <w14:textFill>
                        <w14:solidFill>
                          <w14:schemeClr w14:val="tx1"/>
                        </w14:solidFill>
                      </w14:textFill>
                    </w:rPr>
                  </w:pPr>
                  <w:r>
                    <w:rPr>
                      <w:color w:val="000000" w:themeColor="text1"/>
                      <w14:textFill>
                        <w14:solidFill>
                          <w14:schemeClr w14:val="tx1"/>
                        </w14:solidFill>
                      </w14:textFill>
                    </w:rPr>
                    <w:t>监测指标</w:t>
                  </w:r>
                </w:p>
              </w:tc>
              <w:tc>
                <w:tcPr>
                  <w:tcW w:w="1474" w:type="pct"/>
                  <w:vAlign w:val="center"/>
                </w:tcPr>
                <w:p w14:paraId="292F9C28">
                  <w:pPr>
                    <w:pStyle w:val="90"/>
                    <w:rPr>
                      <w:color w:val="000000" w:themeColor="text1"/>
                      <w14:textFill>
                        <w14:solidFill>
                          <w14:schemeClr w14:val="tx1"/>
                        </w14:solidFill>
                      </w14:textFill>
                    </w:rPr>
                  </w:pPr>
                  <w:r>
                    <w:rPr>
                      <w:color w:val="000000" w:themeColor="text1"/>
                      <w14:textFill>
                        <w14:solidFill>
                          <w14:schemeClr w14:val="tx1"/>
                        </w14:solidFill>
                      </w14:textFill>
                    </w:rPr>
                    <w:t>检测频次</w:t>
                  </w:r>
                </w:p>
              </w:tc>
            </w:tr>
            <w:tr w14:paraId="6BC1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81" w:type="pct"/>
                  <w:vMerge w:val="restart"/>
                  <w:vAlign w:val="center"/>
                </w:tcPr>
                <w:p w14:paraId="7ED5A347">
                  <w:pPr>
                    <w:pStyle w:val="90"/>
                    <w:rPr>
                      <w:color w:val="000000" w:themeColor="text1"/>
                      <w14:textFill>
                        <w14:solidFill>
                          <w14:schemeClr w14:val="tx1"/>
                        </w14:solidFill>
                      </w14:textFill>
                    </w:rPr>
                  </w:pPr>
                  <w:r>
                    <w:rPr>
                      <w:color w:val="000000" w:themeColor="text1"/>
                      <w14:textFill>
                        <w14:solidFill>
                          <w14:schemeClr w14:val="tx1"/>
                        </w14:solidFill>
                      </w14:textFill>
                    </w:rPr>
                    <w:t>燃气锅炉排气筒DA230</w:t>
                  </w:r>
                </w:p>
              </w:tc>
              <w:tc>
                <w:tcPr>
                  <w:tcW w:w="2446" w:type="pct"/>
                  <w:vAlign w:val="center"/>
                </w:tcPr>
                <w:p w14:paraId="3E913C15">
                  <w:pPr>
                    <w:pStyle w:val="9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474" w:type="pct"/>
                  <w:vMerge w:val="restart"/>
                  <w:vAlign w:val="center"/>
                </w:tcPr>
                <w:p w14:paraId="6F60E814">
                  <w:pPr>
                    <w:pStyle w:val="90"/>
                    <w:rPr>
                      <w:color w:val="000000" w:themeColor="text1"/>
                      <w14:textFill>
                        <w14:solidFill>
                          <w14:schemeClr w14:val="tx1"/>
                        </w14:solidFill>
                      </w14:textFill>
                    </w:rPr>
                  </w:pPr>
                  <w:r>
                    <w:rPr>
                      <w:color w:val="000000" w:themeColor="text1"/>
                      <w14:textFill>
                        <w14:solidFill>
                          <w14:schemeClr w14:val="tx1"/>
                        </w14:solidFill>
                      </w14:textFill>
                    </w:rPr>
                    <w:t>自动监测（安装在线监测设施，并与生态主管部门联网）</w:t>
                  </w:r>
                </w:p>
              </w:tc>
            </w:tr>
            <w:tr w14:paraId="564D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081" w:type="pct"/>
                  <w:vMerge w:val="continue"/>
                  <w:vAlign w:val="center"/>
                </w:tcPr>
                <w:p w14:paraId="6B2D3582">
                  <w:pPr>
                    <w:pStyle w:val="90"/>
                    <w:rPr>
                      <w:color w:val="000000" w:themeColor="text1"/>
                      <w14:textFill>
                        <w14:solidFill>
                          <w14:schemeClr w14:val="tx1"/>
                        </w14:solidFill>
                      </w14:textFill>
                    </w:rPr>
                  </w:pPr>
                </w:p>
              </w:tc>
              <w:tc>
                <w:tcPr>
                  <w:tcW w:w="2446" w:type="pct"/>
                  <w:vAlign w:val="center"/>
                </w:tcPr>
                <w:p w14:paraId="39EC9E33">
                  <w:pPr>
                    <w:pStyle w:val="9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474" w:type="pct"/>
                  <w:vMerge w:val="continue"/>
                  <w:vAlign w:val="center"/>
                </w:tcPr>
                <w:p w14:paraId="01BFEA4A">
                  <w:pPr>
                    <w:pStyle w:val="90"/>
                    <w:rPr>
                      <w:color w:val="000000" w:themeColor="text1"/>
                      <w14:textFill>
                        <w14:solidFill>
                          <w14:schemeClr w14:val="tx1"/>
                        </w14:solidFill>
                      </w14:textFill>
                    </w:rPr>
                  </w:pPr>
                </w:p>
              </w:tc>
            </w:tr>
            <w:tr w14:paraId="09D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081" w:type="pct"/>
                  <w:vMerge w:val="continue"/>
                  <w:vAlign w:val="center"/>
                </w:tcPr>
                <w:p w14:paraId="6EAD880C">
                  <w:pPr>
                    <w:pStyle w:val="90"/>
                    <w:rPr>
                      <w:color w:val="000000" w:themeColor="text1"/>
                      <w14:textFill>
                        <w14:solidFill>
                          <w14:schemeClr w14:val="tx1"/>
                        </w14:solidFill>
                      </w14:textFill>
                    </w:rPr>
                  </w:pPr>
                </w:p>
              </w:tc>
              <w:tc>
                <w:tcPr>
                  <w:tcW w:w="2446" w:type="pct"/>
                  <w:vAlign w:val="center"/>
                </w:tcPr>
                <w:p w14:paraId="013198B4">
                  <w:pPr>
                    <w:pStyle w:val="90"/>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1474" w:type="pct"/>
                  <w:vMerge w:val="continue"/>
                  <w:vAlign w:val="center"/>
                </w:tcPr>
                <w:p w14:paraId="2FC5CB6B">
                  <w:pPr>
                    <w:pStyle w:val="90"/>
                    <w:rPr>
                      <w:color w:val="000000" w:themeColor="text1"/>
                      <w14:textFill>
                        <w14:solidFill>
                          <w14:schemeClr w14:val="tx1"/>
                        </w14:solidFill>
                      </w14:textFill>
                    </w:rPr>
                  </w:pPr>
                </w:p>
              </w:tc>
            </w:tr>
            <w:tr w14:paraId="76EC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081" w:type="pct"/>
                  <w:vMerge w:val="continue"/>
                  <w:vAlign w:val="center"/>
                </w:tcPr>
                <w:p w14:paraId="5971FDEE">
                  <w:pPr>
                    <w:pStyle w:val="90"/>
                    <w:rPr>
                      <w:color w:val="000000" w:themeColor="text1"/>
                      <w14:textFill>
                        <w14:solidFill>
                          <w14:schemeClr w14:val="tx1"/>
                        </w14:solidFill>
                      </w14:textFill>
                    </w:rPr>
                  </w:pPr>
                </w:p>
              </w:tc>
              <w:tc>
                <w:tcPr>
                  <w:tcW w:w="2446" w:type="pct"/>
                  <w:vAlign w:val="center"/>
                </w:tcPr>
                <w:p w14:paraId="4BF19DC9">
                  <w:pPr>
                    <w:pStyle w:val="90"/>
                    <w:rPr>
                      <w:color w:val="000000" w:themeColor="text1"/>
                      <w14:textFill>
                        <w14:solidFill>
                          <w14:schemeClr w14:val="tx1"/>
                        </w14:solidFill>
                      </w14:textFill>
                    </w:rPr>
                  </w:pPr>
                  <w:r>
                    <w:rPr>
                      <w:color w:val="000000" w:themeColor="text1"/>
                      <w14:textFill>
                        <w14:solidFill>
                          <w14:schemeClr w14:val="tx1"/>
                        </w14:solidFill>
                      </w14:textFill>
                    </w:rPr>
                    <w:t>烟气黑度（林格曼黑度）</w:t>
                  </w:r>
                </w:p>
              </w:tc>
              <w:tc>
                <w:tcPr>
                  <w:tcW w:w="1474" w:type="pct"/>
                  <w:vMerge w:val="restart"/>
                  <w:vAlign w:val="center"/>
                </w:tcPr>
                <w:p w14:paraId="2ADC4D16">
                  <w:pPr>
                    <w:pStyle w:val="90"/>
                    <w:rPr>
                      <w:color w:val="000000" w:themeColor="text1"/>
                      <w14:textFill>
                        <w14:solidFill>
                          <w14:schemeClr w14:val="tx1"/>
                        </w14:solidFill>
                      </w14:textFill>
                    </w:rPr>
                  </w:pPr>
                  <w:r>
                    <w:rPr>
                      <w:color w:val="000000" w:themeColor="text1"/>
                      <w14:textFill>
                        <w14:solidFill>
                          <w14:schemeClr w14:val="tx1"/>
                        </w14:solidFill>
                      </w14:textFill>
                    </w:rPr>
                    <w:t>季度</w:t>
                  </w:r>
                </w:p>
              </w:tc>
            </w:tr>
            <w:tr w14:paraId="101C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081" w:type="pct"/>
                  <w:vMerge w:val="continue"/>
                  <w:vAlign w:val="center"/>
                </w:tcPr>
                <w:p w14:paraId="3F7802E6">
                  <w:pPr>
                    <w:pStyle w:val="90"/>
                    <w:rPr>
                      <w:color w:val="000000" w:themeColor="text1"/>
                      <w14:textFill>
                        <w14:solidFill>
                          <w14:schemeClr w14:val="tx1"/>
                        </w14:solidFill>
                      </w14:textFill>
                    </w:rPr>
                  </w:pPr>
                </w:p>
              </w:tc>
              <w:tc>
                <w:tcPr>
                  <w:tcW w:w="2446" w:type="pct"/>
                  <w:vAlign w:val="center"/>
                </w:tcPr>
                <w:p w14:paraId="32DE5900">
                  <w:pPr>
                    <w:pStyle w:val="90"/>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474" w:type="pct"/>
                  <w:vMerge w:val="continue"/>
                  <w:vAlign w:val="center"/>
                </w:tcPr>
                <w:p w14:paraId="4BF502C0">
                  <w:pPr>
                    <w:pStyle w:val="90"/>
                    <w:rPr>
                      <w:color w:val="000000" w:themeColor="text1"/>
                      <w14:textFill>
                        <w14:solidFill>
                          <w14:schemeClr w14:val="tx1"/>
                        </w14:solidFill>
                      </w14:textFill>
                    </w:rPr>
                  </w:pPr>
                </w:p>
              </w:tc>
            </w:tr>
          </w:tbl>
          <w:p w14:paraId="29BEC95A">
            <w:pPr>
              <w:pStyle w:val="98"/>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无组织监测计划一览表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3826"/>
              <w:gridCol w:w="2653"/>
            </w:tblGrid>
            <w:tr w14:paraId="7816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95" w:type="pct"/>
                  <w:vAlign w:val="center"/>
                </w:tcPr>
                <w:p w14:paraId="6D017F6B">
                  <w:pPr>
                    <w:pStyle w:val="90"/>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2247" w:type="pct"/>
                  <w:vAlign w:val="center"/>
                </w:tcPr>
                <w:p w14:paraId="3F654447">
                  <w:pPr>
                    <w:pStyle w:val="90"/>
                    <w:rPr>
                      <w:color w:val="000000" w:themeColor="text1"/>
                      <w14:textFill>
                        <w14:solidFill>
                          <w14:schemeClr w14:val="tx1"/>
                        </w14:solidFill>
                      </w14:textFill>
                    </w:rPr>
                  </w:pPr>
                  <w:r>
                    <w:rPr>
                      <w:color w:val="000000" w:themeColor="text1"/>
                      <w14:textFill>
                        <w14:solidFill>
                          <w14:schemeClr w14:val="tx1"/>
                        </w14:solidFill>
                      </w14:textFill>
                    </w:rPr>
                    <w:t>监测指标</w:t>
                  </w:r>
                </w:p>
              </w:tc>
              <w:tc>
                <w:tcPr>
                  <w:tcW w:w="1558" w:type="pct"/>
                  <w:vAlign w:val="center"/>
                </w:tcPr>
                <w:p w14:paraId="4266842A">
                  <w:pPr>
                    <w:pStyle w:val="90"/>
                    <w:rPr>
                      <w:color w:val="000000" w:themeColor="text1"/>
                      <w14:textFill>
                        <w14:solidFill>
                          <w14:schemeClr w14:val="tx1"/>
                        </w14:solidFill>
                      </w14:textFill>
                    </w:rPr>
                  </w:pPr>
                  <w:r>
                    <w:rPr>
                      <w:color w:val="000000" w:themeColor="text1"/>
                      <w14:textFill>
                        <w14:solidFill>
                          <w14:schemeClr w14:val="tx1"/>
                        </w14:solidFill>
                      </w14:textFill>
                    </w:rPr>
                    <w:t>检测频次</w:t>
                  </w:r>
                </w:p>
              </w:tc>
            </w:tr>
            <w:tr w14:paraId="39FA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95" w:type="pct"/>
                  <w:tcBorders>
                    <w:bottom w:val="single" w:color="auto" w:sz="4" w:space="0"/>
                  </w:tcBorders>
                  <w:vAlign w:val="center"/>
                </w:tcPr>
                <w:p w14:paraId="51A3424E">
                  <w:pPr>
                    <w:pStyle w:val="90"/>
                    <w:rPr>
                      <w:color w:val="000000" w:themeColor="text1"/>
                      <w14:textFill>
                        <w14:solidFill>
                          <w14:schemeClr w14:val="tx1"/>
                        </w14:solidFill>
                      </w14:textFill>
                    </w:rPr>
                  </w:pPr>
                  <w:r>
                    <w:rPr>
                      <w:color w:val="000000" w:themeColor="text1"/>
                      <w14:textFill>
                        <w14:solidFill>
                          <w14:schemeClr w14:val="tx1"/>
                        </w14:solidFill>
                      </w14:textFill>
                    </w:rPr>
                    <w:t>厂（周）界监控点</w:t>
                  </w:r>
                </w:p>
              </w:tc>
              <w:tc>
                <w:tcPr>
                  <w:tcW w:w="2247" w:type="pct"/>
                  <w:tcBorders>
                    <w:bottom w:val="single" w:color="auto" w:sz="4" w:space="0"/>
                  </w:tcBorders>
                  <w:vAlign w:val="center"/>
                </w:tcPr>
                <w:p w14:paraId="35495E45">
                  <w:pPr>
                    <w:pStyle w:val="90"/>
                    <w:rPr>
                      <w:color w:val="000000" w:themeColor="text1"/>
                      <w14:textFill>
                        <w14:solidFill>
                          <w14:schemeClr w14:val="tx1"/>
                        </w14:solidFill>
                      </w14:textFill>
                    </w:rPr>
                  </w:pPr>
                  <w:r>
                    <w:rPr>
                      <w:color w:val="000000" w:themeColor="text1"/>
                      <w14:textFill>
                        <w14:solidFill>
                          <w14:schemeClr w14:val="tx1"/>
                        </w14:solidFill>
                      </w14:textFill>
                    </w:rPr>
                    <w:t>颗粒物、氨、硫化氢、臭气浓度</w:t>
                  </w:r>
                </w:p>
              </w:tc>
              <w:tc>
                <w:tcPr>
                  <w:tcW w:w="1558" w:type="pct"/>
                  <w:vAlign w:val="center"/>
                </w:tcPr>
                <w:p w14:paraId="066AD427">
                  <w:pPr>
                    <w:pStyle w:val="90"/>
                    <w:rPr>
                      <w:color w:val="000000" w:themeColor="text1"/>
                      <w14:textFill>
                        <w14:solidFill>
                          <w14:schemeClr w14:val="tx1"/>
                        </w14:solidFill>
                      </w14:textFill>
                    </w:rPr>
                  </w:pPr>
                  <w:r>
                    <w:rPr>
                      <w:color w:val="000000" w:themeColor="text1"/>
                      <w14:textFill>
                        <w14:solidFill>
                          <w14:schemeClr w14:val="tx1"/>
                        </w14:solidFill>
                      </w14:textFill>
                    </w:rPr>
                    <w:t>1次/季度</w:t>
                  </w:r>
                </w:p>
              </w:tc>
            </w:tr>
          </w:tbl>
          <w:p w14:paraId="7F0F3652">
            <w:pPr>
              <w:ind w:firstLine="440"/>
              <w:rPr>
                <w:rFonts w:cs="Times New Roman"/>
                <w:color w:val="000000" w:themeColor="text1"/>
                <w:sz w:val="22"/>
                <w14:textFill>
                  <w14:solidFill>
                    <w14:schemeClr w14:val="tx1"/>
                  </w14:solidFill>
                </w14:textFill>
              </w:rPr>
            </w:pPr>
            <w:r>
              <w:rPr>
                <w:rFonts w:cs="Times New Roman"/>
                <w:color w:val="000000" w:themeColor="text1"/>
                <w:sz w:val="22"/>
                <w14:textFill>
                  <w14:solidFill>
                    <w14:schemeClr w14:val="tx1"/>
                  </w14:solidFill>
                </w14:textFill>
              </w:rPr>
              <w:t>注：结合并入企业全厂监测计划</w:t>
            </w:r>
          </w:p>
          <w:p w14:paraId="0BE9EE1A">
            <w:pPr>
              <w:numPr>
                <w:ilvl w:val="0"/>
                <w:numId w:val="4"/>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现有200t/h燃气锅炉减排核算</w:t>
            </w:r>
          </w:p>
          <w:p w14:paraId="04AFA1B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现有能源综合利用项目65MW超高温超高压煤气发电机组存在各级抽汽温度偏高、高压缸排汽温度接近报警值、机组出力不足等问题导致最高负荷只能达到58MW，无法达到额定65MW，机组设备无变化（见附件</w:t>
            </w:r>
            <w:r>
              <w:rPr>
                <w:rFonts w:hint="eastAsia" w:cs="Times New Roman"/>
                <w:color w:val="000000" w:themeColor="text1"/>
                <w14:textFill>
                  <w14:solidFill>
                    <w14:schemeClr w14:val="tx1"/>
                  </w14:solidFill>
                </w14:textFill>
              </w:rPr>
              <w:t>19</w:t>
            </w:r>
            <w:r>
              <w:rPr>
                <w:rFonts w:cs="Times New Roman"/>
                <w:color w:val="000000" w:themeColor="text1"/>
                <w14:textFill>
                  <w14:solidFill>
                    <w14:schemeClr w14:val="tx1"/>
                  </w14:solidFill>
                </w14:textFill>
              </w:rPr>
              <w:t>）。对应200t/h超高温超高压煤气锅炉设施无变化，仅高炉煤气消耗量减少（消耗量由18万m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/h下降至15.5万m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/h），相应各废气污染物排放总量依据《污染源源强核算技术指南 火电》（HJ888-2018）核算结果如下：</w:t>
            </w:r>
          </w:p>
          <w:p w14:paraId="2E739D48">
            <w:pPr>
              <w:pStyle w:val="97"/>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4.6</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有组织废气污染物</w:t>
            </w:r>
            <w:r>
              <w:rPr>
                <w:rFonts w:cs="Times New Roman"/>
                <w:color w:val="000000" w:themeColor="text1"/>
                <w:lang w:val="en-US"/>
                <w14:textFill>
                  <w14:solidFill>
                    <w14:schemeClr w14:val="tx1"/>
                  </w14:solidFill>
                </w14:textFill>
              </w:rPr>
              <w:t>削减情况</w:t>
            </w:r>
            <w:r>
              <w:rPr>
                <w:rFonts w:cs="Times New Roman"/>
                <w:color w:val="000000" w:themeColor="text1"/>
                <w14:textFill>
                  <w14:solidFill>
                    <w14:schemeClr w14:val="tx1"/>
                  </w14:solidFill>
                </w14:textFill>
              </w:rPr>
              <w:t>一览表</w:t>
            </w:r>
          </w:p>
          <w:p w14:paraId="7CEA245F">
            <w:pPr>
              <w:pStyle w:val="97"/>
              <w:spacing w:before="120" w:after="120"/>
              <w:rPr>
                <w:rFonts w:cs="Times New Roman"/>
                <w:color w:val="000000" w:themeColor="text1"/>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532D4E7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现有能源综合利用项目200t/h燃气锅炉因负荷调减，煤气消耗量降低，颗粒物、二氧化硫和氮氧化物削减量分别为0.017t/a、1.84t/a、6.738t/a。</w:t>
            </w:r>
          </w:p>
          <w:p w14:paraId="5DB5EEE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（6）拟建项目非正常工况</w:t>
            </w:r>
          </w:p>
          <w:p w14:paraId="107827A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锅炉废气非正常排放包括锅炉开停机、烟尘和SO</w:t>
            </w:r>
            <w:r>
              <w:rPr>
                <w:rFonts w:cs="Times New Roman"/>
                <w:color w:val="000000" w:themeColor="text1"/>
                <w:vertAlign w:val="subscript"/>
                <w14:textFill>
                  <w14:solidFill>
                    <w14:schemeClr w14:val="tx1"/>
                  </w14:solidFill>
                </w14:textFill>
              </w:rPr>
              <w:t>2、</w:t>
            </w:r>
            <w:r>
              <w:rPr>
                <w:rFonts w:eastAsia="DengXian" w:cs="Times New Roman"/>
                <w:color w:val="000000" w:themeColor="text1"/>
                <w14:textFill>
                  <w14:solidFill>
                    <w14:schemeClr w14:val="tx1"/>
                  </w14:solidFill>
                </w14:textFill>
              </w:rPr>
              <w:t>NO</w:t>
            </w:r>
            <w:r>
              <w:rPr>
                <w:rFonts w:eastAsia="DengXian"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治理设施非正常运行等，主要分析如下：</w:t>
            </w:r>
          </w:p>
          <w:p w14:paraId="23DCBA1B">
            <w:pPr>
              <w:ind w:left="480" w:leftChars="200"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①锅炉开停机</w:t>
            </w:r>
          </w:p>
          <w:p w14:paraId="3AF514A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锅炉启动运行时，首先开启环保装置，然后再按照规程依次启动各生产设备，一般不会出现超标排污的情况；停机时，则需先按照规程依次关闭各生产设备，然后关闭环保设备，保证污染物达标排放。</w:t>
            </w:r>
          </w:p>
          <w:p w14:paraId="555C1E8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项目非正常排放主要考虑：因布袋除尘器损坏，导致除尘处理效率下降，造成颗粒物超标排放；或因脱硫装置出现故障，造成SO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去除效率下降、超标排放；或因脱硝装置出现故障，造成NO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去除效率下降、超标排放。</w:t>
            </w:r>
          </w:p>
          <w:p w14:paraId="66919AAB">
            <w:pPr>
              <w:ind w:left="480" w:leftChars="200"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②烟尘的非正常排放</w:t>
            </w:r>
          </w:p>
          <w:p w14:paraId="35199D1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袋式除尘器出现故障的主要原因为滤袋损坏。当滤袋破损形成含尘气流短路时，关闭破损滤袋所在单元排气支管的翻板阀予以控制，同一单元滤袋破损和翻板阀同时失灵的概率极低。因此，本评价非正常排放考虑除尘器某组滤袋出现破损至关闭相应翻板阀期间，除尘效率降低时的情况。在布袋除尘滤袋破损时，造成除尘器内部气流短路引起除尘器排放口的颗粒物排放浓度增加的情况，可通过关闭破损滤袋所在单元排气支管的翻板阀更换滤袋后恢复正常运行，故障情况下的烟气净化系统的颗粒物排放量按除尘效率降低到80％计算，一般在15分钟内消除事故排放源。其非正常工况时的源强见下表。</w:t>
            </w:r>
          </w:p>
          <w:p w14:paraId="0F2A27A7">
            <w:pPr>
              <w:pStyle w:val="97"/>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4.6</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布袋除尘器非正常运行排放源强</w:t>
            </w:r>
          </w:p>
          <w:tbl>
            <w:tblPr>
              <w:tblStyle w:val="46"/>
              <w:tblW w:w="85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6" w:type="dxa"/>
                <w:bottom w:w="0" w:type="dxa"/>
                <w:right w:w="56" w:type="dxa"/>
              </w:tblCellMar>
            </w:tblPr>
            <w:tblGrid>
              <w:gridCol w:w="2478"/>
              <w:gridCol w:w="1371"/>
              <w:gridCol w:w="1985"/>
              <w:gridCol w:w="1559"/>
              <w:gridCol w:w="1156"/>
            </w:tblGrid>
            <w:tr w14:paraId="3BFE7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6" w:type="dxa"/>
                  <w:bottom w:w="0" w:type="dxa"/>
                  <w:right w:w="56" w:type="dxa"/>
                </w:tblCellMar>
              </w:tblPrEx>
              <w:trPr>
                <w:cantSplit/>
                <w:trHeight w:val="517" w:hRule="atLeast"/>
                <w:tblHeader/>
                <w:jc w:val="center"/>
              </w:trPr>
              <w:tc>
                <w:tcPr>
                  <w:tcW w:w="2478" w:type="dxa"/>
                  <w:tcBorders>
                    <w:top w:val="single" w:color="auto" w:sz="6" w:space="0"/>
                    <w:left w:val="single" w:color="auto" w:sz="6" w:space="0"/>
                    <w:bottom w:val="single" w:color="auto" w:sz="6" w:space="0"/>
                    <w:tl2br w:val="single" w:color="auto" w:sz="6" w:space="0"/>
                  </w:tcBorders>
                  <w:vAlign w:val="center"/>
                </w:tcPr>
                <w:p w14:paraId="10228A0C">
                  <w:pPr>
                    <w:pStyle w:val="9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1760" distR="111760" simplePos="0" relativeHeight="251665408" behindDoc="0" locked="0" layoutInCell="1" allowOverlap="1">
                            <wp:simplePos x="0" y="0"/>
                            <wp:positionH relativeFrom="column">
                              <wp:posOffset>2552700</wp:posOffset>
                            </wp:positionH>
                            <wp:positionV relativeFrom="paragraph">
                              <wp:posOffset>1979295</wp:posOffset>
                            </wp:positionV>
                            <wp:extent cx="635" cy="0"/>
                            <wp:effectExtent l="0" t="0" r="0" b="0"/>
                            <wp:wrapNone/>
                            <wp:docPr id="4126" name="直线连接符 37"/>
                            <wp:cNvGraphicFramePr/>
                            <a:graphic xmlns:a="http://schemas.openxmlformats.org/drawingml/2006/main">
                              <a:graphicData uri="http://schemas.microsoft.com/office/word/2010/wordprocessingShape">
                                <wps:wsp>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连接符 37" o:spid="_x0000_s1026" o:spt="20" style="position:absolute;left:0pt;margin-left:201pt;margin-top:155.85pt;height:0pt;width:0.05pt;z-index:251665408;mso-width-relative:page;mso-height-relative:page;" filled="f" stroked="t" coordsize="21600,21600" o:gfxdata="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7L0WnWAAAACwEAAA8AAAAAAAAAAQAgAAAAIgAAAGRycy9k&#10;b3ducmV2LnhtbFBLAQIUABQAAAAIAIdO4kDlS8GdywEAAHgDAAAOAAAAAAAAAAEAIAAAACUBAABk&#10;cnMvZTJvRG9jLnhtbFBLBQYAAAAABgAGAFkBAABiBQAAAAA=&#10;">
                            <v:fill on="f" focussize="0,0"/>
                            <v:stroke color="#000000" joinstyle="round"/>
                            <v:imagedata o:title=""/>
                            <o:lock v:ext="edit" aspectratio="f"/>
                          </v:line>
                        </w:pict>
                      </mc:Fallback>
                    </mc:AlternateContent>
                  </w:r>
                  <w:r>
                    <w:rPr>
                      <w:color w:val="000000" w:themeColor="text1"/>
                      <w14:textFill>
                        <w14:solidFill>
                          <w14:schemeClr w14:val="tx1"/>
                        </w14:solidFill>
                      </w14:textFill>
                    </w:rPr>
                    <w:t xml:space="preserve">            污染排放</w:t>
                  </w:r>
                </w:p>
                <w:p w14:paraId="7496CC36">
                  <w:pPr>
                    <w:pStyle w:val="90"/>
                    <w:jc w:val="both"/>
                    <w:rPr>
                      <w:color w:val="000000" w:themeColor="text1"/>
                      <w14:textFill>
                        <w14:solidFill>
                          <w14:schemeClr w14:val="tx1"/>
                        </w14:solidFill>
                      </w14:textFill>
                    </w:rPr>
                  </w:pPr>
                  <w:r>
                    <w:rPr>
                      <w:color w:val="000000" w:themeColor="text1"/>
                      <w14:textFill>
                        <w14:solidFill>
                          <w14:schemeClr w14:val="tx1"/>
                        </w14:solidFill>
                      </w14:textFill>
                    </w:rPr>
                    <w:t>除尘系统工况</w:t>
                  </w:r>
                </w:p>
              </w:tc>
              <w:tc>
                <w:tcPr>
                  <w:tcW w:w="1371" w:type="dxa"/>
                  <w:tcBorders>
                    <w:top w:val="single" w:color="auto" w:sz="6" w:space="0"/>
                    <w:bottom w:val="single" w:color="auto" w:sz="6" w:space="0"/>
                  </w:tcBorders>
                  <w:vAlign w:val="center"/>
                </w:tcPr>
                <w:p w14:paraId="73C20FEF">
                  <w:pPr>
                    <w:pStyle w:val="90"/>
                    <w:rPr>
                      <w:color w:val="000000" w:themeColor="text1"/>
                      <w14:textFill>
                        <w14:solidFill>
                          <w14:schemeClr w14:val="tx1"/>
                        </w14:solidFill>
                      </w14:textFill>
                    </w:rPr>
                  </w:pPr>
                  <w:r>
                    <w:rPr>
                      <w:color w:val="000000" w:themeColor="text1"/>
                      <w14:textFill>
                        <w14:solidFill>
                          <w14:schemeClr w14:val="tx1"/>
                        </w14:solidFill>
                      </w14:textFill>
                    </w:rPr>
                    <w:t>排放量（kg/h）</w:t>
                  </w:r>
                </w:p>
              </w:tc>
              <w:tc>
                <w:tcPr>
                  <w:tcW w:w="1985" w:type="dxa"/>
                  <w:tcBorders>
                    <w:top w:val="single" w:color="auto" w:sz="6" w:space="0"/>
                    <w:bottom w:val="single" w:color="auto" w:sz="6" w:space="0"/>
                    <w:right w:val="single" w:color="auto" w:sz="6" w:space="0"/>
                  </w:tcBorders>
                  <w:vAlign w:val="center"/>
                </w:tcPr>
                <w:p w14:paraId="6D540927">
                  <w:pPr>
                    <w:pStyle w:val="90"/>
                    <w:rPr>
                      <w:color w:val="000000" w:themeColor="text1"/>
                      <w14:textFill>
                        <w14:solidFill>
                          <w14:schemeClr w14:val="tx1"/>
                        </w14:solidFill>
                      </w14:textFill>
                    </w:rPr>
                  </w:pPr>
                  <w:r>
                    <w:rPr>
                      <w:color w:val="000000" w:themeColor="text1"/>
                      <w14:textFill>
                        <w14:solidFill>
                          <w14:schemeClr w14:val="tx1"/>
                        </w14:solidFill>
                      </w14:textFill>
                    </w:rPr>
                    <w:t>排放浓度（mg/m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559" w:type="dxa"/>
                  <w:tcBorders>
                    <w:top w:val="single" w:color="auto" w:sz="6" w:space="0"/>
                    <w:bottom w:val="single" w:color="auto" w:sz="6" w:space="0"/>
                    <w:right w:val="single" w:color="auto" w:sz="6" w:space="0"/>
                  </w:tcBorders>
                  <w:vAlign w:val="center"/>
                </w:tcPr>
                <w:p w14:paraId="2F8610EB">
                  <w:pPr>
                    <w:pStyle w:val="90"/>
                    <w:rPr>
                      <w:color w:val="000000" w:themeColor="text1"/>
                      <w14:textFill>
                        <w14:solidFill>
                          <w14:schemeClr w14:val="tx1"/>
                        </w14:solidFill>
                      </w14:textFill>
                    </w:rPr>
                  </w:pPr>
                  <w:r>
                    <w:rPr>
                      <w:color w:val="000000" w:themeColor="text1"/>
                      <w14:textFill>
                        <w14:solidFill>
                          <w14:schemeClr w14:val="tx1"/>
                        </w14:solidFill>
                      </w14:textFill>
                    </w:rPr>
                    <w:t>可能发生频次</w:t>
                  </w:r>
                </w:p>
              </w:tc>
              <w:tc>
                <w:tcPr>
                  <w:tcW w:w="1156" w:type="dxa"/>
                  <w:tcBorders>
                    <w:top w:val="single" w:color="auto" w:sz="6" w:space="0"/>
                    <w:bottom w:val="single" w:color="auto" w:sz="6" w:space="0"/>
                    <w:right w:val="single" w:color="auto" w:sz="6" w:space="0"/>
                  </w:tcBorders>
                  <w:vAlign w:val="center"/>
                </w:tcPr>
                <w:p w14:paraId="0D900497">
                  <w:pPr>
                    <w:pStyle w:val="90"/>
                    <w:rPr>
                      <w:color w:val="000000" w:themeColor="text1"/>
                      <w14:textFill>
                        <w14:solidFill>
                          <w14:schemeClr w14:val="tx1"/>
                        </w14:solidFill>
                      </w14:textFill>
                    </w:rPr>
                  </w:pPr>
                  <w:r>
                    <w:rPr>
                      <w:color w:val="000000" w:themeColor="text1"/>
                      <w14:textFill>
                        <w14:solidFill>
                          <w14:schemeClr w14:val="tx1"/>
                        </w14:solidFill>
                      </w14:textFill>
                    </w:rPr>
                    <w:t>持续时间</w:t>
                  </w:r>
                </w:p>
              </w:tc>
            </w:tr>
            <w:tr w14:paraId="554B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6" w:type="dxa"/>
                  <w:bottom w:w="0" w:type="dxa"/>
                  <w:right w:w="56" w:type="dxa"/>
                </w:tblCellMar>
              </w:tblPrEx>
              <w:trPr>
                <w:cantSplit/>
                <w:trHeight w:val="212" w:hRule="atLeast"/>
                <w:jc w:val="center"/>
              </w:trPr>
              <w:tc>
                <w:tcPr>
                  <w:tcW w:w="2478" w:type="dxa"/>
                  <w:tcBorders>
                    <w:top w:val="single" w:color="auto" w:sz="6" w:space="0"/>
                    <w:left w:val="single" w:color="auto" w:sz="6" w:space="0"/>
                    <w:bottom w:val="single" w:color="auto" w:sz="6" w:space="0"/>
                  </w:tcBorders>
                  <w:vAlign w:val="center"/>
                </w:tcPr>
                <w:p w14:paraId="70F74CDA">
                  <w:pPr>
                    <w:pStyle w:val="90"/>
                    <w:rPr>
                      <w:color w:val="000000" w:themeColor="text1"/>
                      <w14:textFill>
                        <w14:solidFill>
                          <w14:schemeClr w14:val="tx1"/>
                        </w14:solidFill>
                      </w14:textFill>
                    </w:rPr>
                  </w:pPr>
                  <w:r>
                    <w:rPr>
                      <w:color w:val="000000" w:themeColor="text1"/>
                      <w14:textFill>
                        <w14:solidFill>
                          <w14:schemeClr w14:val="tx1"/>
                        </w14:solidFill>
                      </w14:textFill>
                    </w:rPr>
                    <w:t>正常时，除尘效率为99.5％</w:t>
                  </w:r>
                </w:p>
              </w:tc>
              <w:tc>
                <w:tcPr>
                  <w:tcW w:w="1371" w:type="dxa"/>
                  <w:tcBorders>
                    <w:top w:val="single" w:color="auto" w:sz="6" w:space="0"/>
                    <w:bottom w:val="single" w:color="auto" w:sz="6" w:space="0"/>
                  </w:tcBorders>
                  <w:vAlign w:val="center"/>
                </w:tcPr>
                <w:p w14:paraId="5CA65B0E">
                  <w:pPr>
                    <w:pStyle w:val="90"/>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985" w:type="dxa"/>
                  <w:tcBorders>
                    <w:top w:val="single" w:color="auto" w:sz="6" w:space="0"/>
                    <w:bottom w:val="single" w:color="auto" w:sz="6" w:space="0"/>
                    <w:right w:val="single" w:color="auto" w:sz="6" w:space="0"/>
                  </w:tcBorders>
                  <w:vAlign w:val="center"/>
                </w:tcPr>
                <w:p w14:paraId="16A819F2">
                  <w:pPr>
                    <w:pStyle w:val="90"/>
                    <w:rPr>
                      <w:color w:val="000000" w:themeColor="text1"/>
                      <w14:textFill>
                        <w14:solidFill>
                          <w14:schemeClr w14:val="tx1"/>
                        </w14:solidFill>
                      </w14:textFill>
                    </w:rPr>
                  </w:pPr>
                  <w:r>
                    <w:rPr>
                      <w:color w:val="000000" w:themeColor="text1"/>
                      <w14:textFill>
                        <w14:solidFill>
                          <w14:schemeClr w14:val="tx1"/>
                        </w14:solidFill>
                      </w14:textFill>
                    </w:rPr>
                    <w:t>0.054</w:t>
                  </w:r>
                </w:p>
              </w:tc>
              <w:tc>
                <w:tcPr>
                  <w:tcW w:w="1559" w:type="dxa"/>
                  <w:tcBorders>
                    <w:top w:val="single" w:color="auto" w:sz="6" w:space="0"/>
                    <w:bottom w:val="single" w:color="auto" w:sz="6" w:space="0"/>
                    <w:right w:val="single" w:color="auto" w:sz="6" w:space="0"/>
                  </w:tcBorders>
                  <w:vAlign w:val="center"/>
                </w:tcPr>
                <w:p w14:paraId="3AF53662">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1156" w:type="dxa"/>
                  <w:tcBorders>
                    <w:top w:val="single" w:color="auto" w:sz="6" w:space="0"/>
                    <w:bottom w:val="single" w:color="auto" w:sz="6" w:space="0"/>
                    <w:right w:val="single" w:color="auto" w:sz="6" w:space="0"/>
                  </w:tcBorders>
                  <w:vAlign w:val="center"/>
                </w:tcPr>
                <w:p w14:paraId="12A185A3">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65C44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6" w:type="dxa"/>
                  <w:bottom w:w="0" w:type="dxa"/>
                  <w:right w:w="56" w:type="dxa"/>
                </w:tblCellMar>
              </w:tblPrEx>
              <w:trPr>
                <w:cantSplit/>
                <w:trHeight w:val="206" w:hRule="atLeast"/>
                <w:jc w:val="center"/>
              </w:trPr>
              <w:tc>
                <w:tcPr>
                  <w:tcW w:w="2478" w:type="dxa"/>
                  <w:tcBorders>
                    <w:top w:val="single" w:color="auto" w:sz="6" w:space="0"/>
                    <w:left w:val="single" w:color="auto" w:sz="6" w:space="0"/>
                    <w:bottom w:val="single" w:color="auto" w:sz="6" w:space="0"/>
                  </w:tcBorders>
                  <w:vAlign w:val="center"/>
                </w:tcPr>
                <w:p w14:paraId="319E18C4">
                  <w:pPr>
                    <w:pStyle w:val="90"/>
                    <w:rPr>
                      <w:color w:val="000000" w:themeColor="text1"/>
                      <w14:textFill>
                        <w14:solidFill>
                          <w14:schemeClr w14:val="tx1"/>
                        </w14:solidFill>
                      </w14:textFill>
                    </w:rPr>
                  </w:pPr>
                  <w:r>
                    <w:rPr>
                      <w:color w:val="000000" w:themeColor="text1"/>
                      <w14:textFill>
                        <w14:solidFill>
                          <w14:schemeClr w14:val="tx1"/>
                        </w14:solidFill>
                      </w14:textFill>
                    </w:rPr>
                    <w:t>布袋除尘器滤袋破损，除尘效率降低到80％</w:t>
                  </w:r>
                </w:p>
              </w:tc>
              <w:tc>
                <w:tcPr>
                  <w:tcW w:w="1371" w:type="dxa"/>
                  <w:tcBorders>
                    <w:top w:val="single" w:color="auto" w:sz="6" w:space="0"/>
                    <w:bottom w:val="single" w:color="auto" w:sz="6" w:space="0"/>
                  </w:tcBorders>
                  <w:vAlign w:val="center"/>
                </w:tcPr>
                <w:p w14:paraId="65637B6F">
                  <w:pPr>
                    <w:pStyle w:val="90"/>
                    <w:rPr>
                      <w:color w:val="000000" w:themeColor="text1"/>
                      <w14:textFill>
                        <w14:solidFill>
                          <w14:schemeClr w14:val="tx1"/>
                        </w14:solidFill>
                      </w14:textFill>
                    </w:rPr>
                  </w:pPr>
                  <w:r>
                    <w:rPr>
                      <w:color w:val="000000" w:themeColor="text1"/>
                      <w14:textFill>
                        <w14:solidFill>
                          <w14:schemeClr w14:val="tx1"/>
                        </w14:solidFill>
                      </w14:textFill>
                    </w:rPr>
                    <w:t>～0.407</w:t>
                  </w:r>
                </w:p>
              </w:tc>
              <w:tc>
                <w:tcPr>
                  <w:tcW w:w="1985" w:type="dxa"/>
                  <w:tcBorders>
                    <w:top w:val="single" w:color="auto" w:sz="6" w:space="0"/>
                    <w:bottom w:val="single" w:color="auto" w:sz="6" w:space="0"/>
                    <w:right w:val="single" w:color="auto" w:sz="6" w:space="0"/>
                  </w:tcBorders>
                  <w:vAlign w:val="center"/>
                </w:tcPr>
                <w:p w14:paraId="33AE8152">
                  <w:pPr>
                    <w:pStyle w:val="90"/>
                    <w:rPr>
                      <w:color w:val="000000" w:themeColor="text1"/>
                      <w14:textFill>
                        <w14:solidFill>
                          <w14:schemeClr w14:val="tx1"/>
                        </w14:solidFill>
                      </w14:textFill>
                    </w:rPr>
                  </w:pPr>
                  <w:r>
                    <w:rPr>
                      <w:color w:val="000000" w:themeColor="text1"/>
                      <w14:textFill>
                        <w14:solidFill>
                          <w14:schemeClr w14:val="tx1"/>
                        </w14:solidFill>
                      </w14:textFill>
                    </w:rPr>
                    <w:t>～2.141</w:t>
                  </w:r>
                </w:p>
              </w:tc>
              <w:tc>
                <w:tcPr>
                  <w:tcW w:w="1559" w:type="dxa"/>
                  <w:tcBorders>
                    <w:top w:val="single" w:color="auto" w:sz="6" w:space="0"/>
                    <w:bottom w:val="single" w:color="auto" w:sz="6" w:space="0"/>
                    <w:right w:val="single" w:color="auto" w:sz="6" w:space="0"/>
                  </w:tcBorders>
                  <w:vAlign w:val="center"/>
                </w:tcPr>
                <w:p w14:paraId="03D3288B">
                  <w:pPr>
                    <w:pStyle w:val="90"/>
                    <w:rPr>
                      <w:color w:val="000000" w:themeColor="text1"/>
                      <w14:textFill>
                        <w14:solidFill>
                          <w14:schemeClr w14:val="tx1"/>
                        </w14:solidFill>
                      </w14:textFill>
                    </w:rPr>
                  </w:pPr>
                  <w:r>
                    <w:rPr>
                      <w:color w:val="000000" w:themeColor="text1"/>
                      <w14:textFill>
                        <w14:solidFill>
                          <w14:schemeClr w14:val="tx1"/>
                        </w14:solidFill>
                      </w14:textFill>
                    </w:rPr>
                    <w:t>1次/年</w:t>
                  </w:r>
                </w:p>
              </w:tc>
              <w:tc>
                <w:tcPr>
                  <w:tcW w:w="1156" w:type="dxa"/>
                  <w:tcBorders>
                    <w:top w:val="single" w:color="auto" w:sz="6" w:space="0"/>
                    <w:bottom w:val="single" w:color="auto" w:sz="6" w:space="0"/>
                    <w:right w:val="single" w:color="auto" w:sz="6" w:space="0"/>
                  </w:tcBorders>
                  <w:vAlign w:val="center"/>
                </w:tcPr>
                <w:p w14:paraId="1CCC1EEB">
                  <w:pPr>
                    <w:pStyle w:val="90"/>
                    <w:rPr>
                      <w:color w:val="000000" w:themeColor="text1"/>
                      <w14:textFill>
                        <w14:solidFill>
                          <w14:schemeClr w14:val="tx1"/>
                        </w14:solidFill>
                      </w14:textFill>
                    </w:rPr>
                  </w:pPr>
                  <w:r>
                    <w:rPr>
                      <w:color w:val="000000" w:themeColor="text1"/>
                      <w14:textFill>
                        <w14:solidFill>
                          <w14:schemeClr w14:val="tx1"/>
                        </w14:solidFill>
                      </w14:textFill>
                    </w:rPr>
                    <w:t>15min</w:t>
                  </w:r>
                </w:p>
              </w:tc>
            </w:tr>
          </w:tbl>
          <w:p w14:paraId="071AD89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由上表结果可知，当某组滤袋出现破损时，通过关闭破损滤袋所在单元排气支管的翻板阀更换滤袋后恢复正常运行，且上述情景非正常运行时，颗粒物仍可达标排放。</w:t>
            </w:r>
          </w:p>
          <w:p w14:paraId="050BBE21">
            <w:pPr>
              <w:ind w:left="480" w:leftChars="200"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的非正常排放</w:t>
            </w:r>
          </w:p>
          <w:p w14:paraId="53A54E9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烟气脱硫采用干法脱硫工艺，脱硫装置故障情景为计量给料装置故障、喷射器堵塞，导致脱硫效率下降~25%，此时锅炉脱硫系统非正常排放源强见表4.6-6。当发生上述情况时，采用的应急措施如下：</w:t>
            </w:r>
          </w:p>
          <w:p w14:paraId="498B8C7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A、立即降低锅炉负荷，减少烟气量与SO₂产生量。</w:t>
            </w:r>
          </w:p>
          <w:p w14:paraId="61C0A4A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B、立即检查小苏打料位、给料机、喷射装置、压缩空气系统，恢复药剂供给。</w:t>
            </w:r>
          </w:p>
          <w:p w14:paraId="3230747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C、疏通喷射口，确保小苏打与烟气充分混合。</w:t>
            </w:r>
          </w:p>
          <w:p w14:paraId="7CE441D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D、强化监测SO₂浓度，超标立即报警。</w:t>
            </w:r>
          </w:p>
          <w:p w14:paraId="04C6130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E、短时间无法恢复时，降低负荷或停炉，禁止持续超标排放。</w:t>
            </w:r>
          </w:p>
          <w:p w14:paraId="0B5AC1B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F、做好台账记录，按规定上报生态环境部门。</w:t>
            </w:r>
          </w:p>
          <w:p w14:paraId="50957FFE">
            <w:pPr>
              <w:pStyle w:val="98"/>
              <w:rPr>
                <w:color w:val="000000" w:themeColor="text1"/>
                <w14:textFill>
                  <w14:solidFill>
                    <w14:schemeClr w14:val="tx1"/>
                  </w14:solidFill>
                </w14:textFill>
              </w:rPr>
            </w:pPr>
          </w:p>
          <w:p w14:paraId="08FF02D5">
            <w:pPr>
              <w:pStyle w:val="98"/>
              <w:rPr>
                <w:color w:val="000000" w:themeColor="text1"/>
                <w14:textFill>
                  <w14:solidFill>
                    <w14:schemeClr w14:val="tx1"/>
                  </w14:solidFill>
                </w14:textFill>
              </w:rPr>
            </w:pPr>
          </w:p>
          <w:p w14:paraId="20A4C14A">
            <w:pPr>
              <w:pStyle w:val="98"/>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脱硫设施非正常运行排放源强</w:t>
            </w:r>
          </w:p>
          <w:tbl>
            <w:tblPr>
              <w:tblStyle w:val="46"/>
              <w:tblW w:w="793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2271"/>
              <w:gridCol w:w="1585"/>
              <w:gridCol w:w="1371"/>
              <w:gridCol w:w="1193"/>
              <w:gridCol w:w="1514"/>
            </w:tblGrid>
            <w:tr w14:paraId="32931C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53" w:hRule="atLeast"/>
                <w:tblHeader/>
                <w:jc w:val="center"/>
              </w:trPr>
              <w:tc>
                <w:tcPr>
                  <w:tcW w:w="2271" w:type="dxa"/>
                  <w:tcBorders>
                    <w:top w:val="single" w:color="000000" w:sz="6" w:space="0"/>
                    <w:left w:val="single" w:color="000000" w:sz="6" w:space="0"/>
                    <w:bottom w:val="single" w:color="000000" w:sz="6" w:space="0"/>
                    <w:tl2br w:val="single" w:color="000000" w:sz="6" w:space="0"/>
                  </w:tcBorders>
                  <w:vAlign w:val="center"/>
                </w:tcPr>
                <w:p w14:paraId="153B563B">
                  <w:pPr>
                    <w:pStyle w:val="9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 xml:space="preserve">          污染源</w:t>
                  </w:r>
                </w:p>
                <w:p w14:paraId="4B84A970">
                  <w:pPr>
                    <w:pStyle w:val="90"/>
                    <w:ind w:firstLine="420" w:firstLineChars="200"/>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项目</w:t>
                  </w:r>
                </w:p>
              </w:tc>
              <w:tc>
                <w:tcPr>
                  <w:tcW w:w="1585" w:type="dxa"/>
                  <w:tcBorders>
                    <w:top w:val="single" w:color="000000" w:sz="6" w:space="0"/>
                    <w:bottom w:val="single" w:color="000000" w:sz="6" w:space="0"/>
                  </w:tcBorders>
                  <w:vAlign w:val="center"/>
                </w:tcPr>
                <w:p w14:paraId="140B8F2F">
                  <w:pPr>
                    <w:pStyle w:val="90"/>
                    <w:rPr>
                      <w:b/>
                      <w:snapToGrid w:val="0"/>
                      <w:color w:val="000000" w:themeColor="text1"/>
                      <w14:textFill>
                        <w14:solidFill>
                          <w14:schemeClr w14:val="tx1"/>
                        </w14:solidFill>
                      </w14:textFill>
                    </w:rPr>
                  </w:pPr>
                  <w:r>
                    <w:rPr>
                      <w:snapToGrid w:val="0"/>
                      <w:color w:val="000000" w:themeColor="text1"/>
                      <w14:textFill>
                        <w14:solidFill>
                          <w14:schemeClr w14:val="tx1"/>
                        </w14:solidFill>
                      </w14:textFill>
                    </w:rPr>
                    <w:t>排放量(kg/h)</w:t>
                  </w:r>
                </w:p>
              </w:tc>
              <w:tc>
                <w:tcPr>
                  <w:tcW w:w="1371" w:type="dxa"/>
                  <w:tcBorders>
                    <w:top w:val="single" w:color="000000" w:sz="6" w:space="0"/>
                    <w:bottom w:val="single" w:color="000000" w:sz="6" w:space="0"/>
                  </w:tcBorders>
                  <w:vAlign w:val="center"/>
                </w:tcPr>
                <w:p w14:paraId="32A4EE54">
                  <w:pPr>
                    <w:pStyle w:val="90"/>
                    <w:rPr>
                      <w:b/>
                      <w:snapToGrid w:val="0"/>
                      <w:color w:val="000000" w:themeColor="text1"/>
                      <w14:textFill>
                        <w14:solidFill>
                          <w14:schemeClr w14:val="tx1"/>
                        </w14:solidFill>
                      </w14:textFill>
                    </w:rPr>
                  </w:pPr>
                  <w:r>
                    <w:rPr>
                      <w:snapToGrid w:val="0"/>
                      <w:color w:val="000000" w:themeColor="text1"/>
                      <w14:textFill>
                        <w14:solidFill>
                          <w14:schemeClr w14:val="tx1"/>
                        </w14:solidFill>
                      </w14:textFill>
                    </w:rPr>
                    <w:t>排放浓度(mg/m</w:t>
                  </w:r>
                  <w:r>
                    <w:rPr>
                      <w:snapToGrid w:val="0"/>
                      <w:color w:val="000000" w:themeColor="text1"/>
                      <w:vertAlign w:val="superscript"/>
                      <w14:textFill>
                        <w14:solidFill>
                          <w14:schemeClr w14:val="tx1"/>
                        </w14:solidFill>
                      </w14:textFill>
                    </w:rPr>
                    <w:t>3</w:t>
                  </w:r>
                  <w:r>
                    <w:rPr>
                      <w:snapToGrid w:val="0"/>
                      <w:color w:val="000000" w:themeColor="text1"/>
                      <w14:textFill>
                        <w14:solidFill>
                          <w14:schemeClr w14:val="tx1"/>
                        </w14:solidFill>
                      </w14:textFill>
                    </w:rPr>
                    <w:t>)</w:t>
                  </w:r>
                </w:p>
              </w:tc>
              <w:tc>
                <w:tcPr>
                  <w:tcW w:w="1193" w:type="dxa"/>
                  <w:tcBorders>
                    <w:top w:val="single" w:color="000000" w:sz="6" w:space="0"/>
                    <w:bottom w:val="single" w:color="000000" w:sz="6" w:space="0"/>
                  </w:tcBorders>
                  <w:vAlign w:val="center"/>
                </w:tcPr>
                <w:p w14:paraId="5401C1EE">
                  <w:pPr>
                    <w:pStyle w:val="90"/>
                    <w:rPr>
                      <w:snapToGrid w:val="0"/>
                      <w:color w:val="000000" w:themeColor="text1"/>
                      <w14:textFill>
                        <w14:solidFill>
                          <w14:schemeClr w14:val="tx1"/>
                        </w14:solidFill>
                      </w14:textFill>
                    </w:rPr>
                  </w:pPr>
                  <w:r>
                    <w:rPr>
                      <w:color w:val="000000" w:themeColor="text1"/>
                      <w14:textFill>
                        <w14:solidFill>
                          <w14:schemeClr w14:val="tx1"/>
                        </w14:solidFill>
                      </w14:textFill>
                    </w:rPr>
                    <w:t>可能发生频次</w:t>
                  </w:r>
                </w:p>
              </w:tc>
              <w:tc>
                <w:tcPr>
                  <w:tcW w:w="1514" w:type="dxa"/>
                  <w:tcBorders>
                    <w:top w:val="single" w:color="000000" w:sz="6" w:space="0"/>
                    <w:bottom w:val="single" w:color="000000" w:sz="6" w:space="0"/>
                  </w:tcBorders>
                  <w:vAlign w:val="center"/>
                </w:tcPr>
                <w:p w14:paraId="6F700C60">
                  <w:pPr>
                    <w:pStyle w:val="90"/>
                    <w:rPr>
                      <w:color w:val="000000" w:themeColor="text1"/>
                      <w14:textFill>
                        <w14:solidFill>
                          <w14:schemeClr w14:val="tx1"/>
                        </w14:solidFill>
                      </w14:textFill>
                    </w:rPr>
                  </w:pPr>
                  <w:r>
                    <w:rPr>
                      <w:color w:val="000000" w:themeColor="text1"/>
                      <w14:textFill>
                        <w14:solidFill>
                          <w14:schemeClr w14:val="tx1"/>
                        </w14:solidFill>
                      </w14:textFill>
                    </w:rPr>
                    <w:t>持续时间</w:t>
                  </w:r>
                </w:p>
              </w:tc>
            </w:tr>
            <w:tr w14:paraId="03F084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18" w:hRule="atLeast"/>
                <w:jc w:val="center"/>
              </w:trPr>
              <w:tc>
                <w:tcPr>
                  <w:tcW w:w="2271" w:type="dxa"/>
                  <w:tcBorders>
                    <w:top w:val="single" w:color="000000" w:sz="6" w:space="0"/>
                    <w:left w:val="single" w:color="000000" w:sz="6" w:space="0"/>
                    <w:bottom w:val="single" w:color="000000" w:sz="6" w:space="0"/>
                  </w:tcBorders>
                  <w:vAlign w:val="center"/>
                </w:tcPr>
                <w:p w14:paraId="14CEF2BC">
                  <w:pPr>
                    <w:pStyle w:val="9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正常时效率为90%</w:t>
                  </w:r>
                </w:p>
              </w:tc>
              <w:tc>
                <w:tcPr>
                  <w:tcW w:w="1585" w:type="dxa"/>
                  <w:tcBorders>
                    <w:top w:val="single" w:color="000000" w:sz="6" w:space="0"/>
                    <w:bottom w:val="single" w:color="000000" w:sz="6" w:space="0"/>
                  </w:tcBorders>
                  <w:vAlign w:val="center"/>
                </w:tcPr>
                <w:p w14:paraId="1866A55E">
                  <w:pPr>
                    <w:pStyle w:val="90"/>
                    <w:rPr>
                      <w:color w:val="000000" w:themeColor="text1"/>
                      <w14:textFill>
                        <w14:solidFill>
                          <w14:schemeClr w14:val="tx1"/>
                        </w14:solidFill>
                      </w14:textFill>
                    </w:rPr>
                  </w:pPr>
                  <w:r>
                    <w:rPr>
                      <w:color w:val="000000" w:themeColor="text1"/>
                      <w14:textFill>
                        <w14:solidFill>
                          <w14:schemeClr w14:val="tx1"/>
                        </w14:solidFill>
                      </w14:textFill>
                    </w:rPr>
                    <w:t>1.582</w:t>
                  </w:r>
                </w:p>
              </w:tc>
              <w:tc>
                <w:tcPr>
                  <w:tcW w:w="1371" w:type="dxa"/>
                  <w:tcBorders>
                    <w:top w:val="single" w:color="000000" w:sz="6" w:space="0"/>
                    <w:bottom w:val="single" w:color="000000" w:sz="6" w:space="0"/>
                  </w:tcBorders>
                  <w:vAlign w:val="center"/>
                </w:tcPr>
                <w:p w14:paraId="0FD2BFE2">
                  <w:pPr>
                    <w:pStyle w:val="90"/>
                    <w:rPr>
                      <w:color w:val="000000" w:themeColor="text1"/>
                      <w14:textFill>
                        <w14:solidFill>
                          <w14:schemeClr w14:val="tx1"/>
                        </w14:solidFill>
                      </w14:textFill>
                    </w:rPr>
                  </w:pPr>
                  <w:r>
                    <w:rPr>
                      <w:color w:val="000000" w:themeColor="text1"/>
                      <w14:textFill>
                        <w14:solidFill>
                          <w14:schemeClr w14:val="tx1"/>
                        </w14:solidFill>
                      </w14:textFill>
                    </w:rPr>
                    <w:t>8.326</w:t>
                  </w:r>
                </w:p>
              </w:tc>
              <w:tc>
                <w:tcPr>
                  <w:tcW w:w="1193" w:type="dxa"/>
                  <w:tcBorders>
                    <w:top w:val="single" w:color="000000" w:sz="6" w:space="0"/>
                    <w:bottom w:val="single" w:color="000000" w:sz="6" w:space="0"/>
                  </w:tcBorders>
                  <w:vAlign w:val="center"/>
                </w:tcPr>
                <w:p w14:paraId="5E21F0B5">
                  <w:pPr>
                    <w:pStyle w:val="90"/>
                    <w:rPr>
                      <w:snapToGrid w:val="0"/>
                      <w:color w:val="000000" w:themeColor="text1"/>
                      <w14:textFill>
                        <w14:solidFill>
                          <w14:schemeClr w14:val="tx1"/>
                        </w14:solidFill>
                      </w14:textFill>
                    </w:rPr>
                  </w:pPr>
                  <w:r>
                    <w:rPr>
                      <w:color w:val="000000" w:themeColor="text1"/>
                      <w14:textFill>
                        <w14:solidFill>
                          <w14:schemeClr w14:val="tx1"/>
                        </w14:solidFill>
                      </w14:textFill>
                    </w:rPr>
                    <w:t>/</w:t>
                  </w:r>
                </w:p>
              </w:tc>
              <w:tc>
                <w:tcPr>
                  <w:tcW w:w="1514" w:type="dxa"/>
                  <w:tcBorders>
                    <w:top w:val="single" w:color="000000" w:sz="6" w:space="0"/>
                    <w:bottom w:val="single" w:color="000000" w:sz="6" w:space="0"/>
                  </w:tcBorders>
                  <w:vAlign w:val="center"/>
                </w:tcPr>
                <w:p w14:paraId="7B972969">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4DD8D9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2" w:hRule="atLeast"/>
                <w:jc w:val="center"/>
              </w:trPr>
              <w:tc>
                <w:tcPr>
                  <w:tcW w:w="2271" w:type="dxa"/>
                  <w:tcBorders>
                    <w:top w:val="single" w:color="000000" w:sz="6" w:space="0"/>
                    <w:left w:val="single" w:color="000000" w:sz="6" w:space="0"/>
                    <w:bottom w:val="single" w:color="000000" w:sz="6" w:space="0"/>
                  </w:tcBorders>
                  <w:vAlign w:val="center"/>
                </w:tcPr>
                <w:p w14:paraId="7E826CF6">
                  <w:pPr>
                    <w:pStyle w:val="9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效率下降至65%</w:t>
                  </w:r>
                </w:p>
              </w:tc>
              <w:tc>
                <w:tcPr>
                  <w:tcW w:w="1585" w:type="dxa"/>
                  <w:tcBorders>
                    <w:top w:val="single" w:color="000000" w:sz="6" w:space="0"/>
                    <w:bottom w:val="single" w:color="000000" w:sz="6" w:space="0"/>
                  </w:tcBorders>
                  <w:vAlign w:val="center"/>
                </w:tcPr>
                <w:p w14:paraId="58E68735">
                  <w:pPr>
                    <w:pStyle w:val="90"/>
                    <w:rPr>
                      <w:color w:val="000000" w:themeColor="text1"/>
                      <w14:textFill>
                        <w14:solidFill>
                          <w14:schemeClr w14:val="tx1"/>
                        </w14:solidFill>
                      </w14:textFill>
                    </w:rPr>
                  </w:pPr>
                  <w:r>
                    <w:rPr>
                      <w:color w:val="000000" w:themeColor="text1"/>
                      <w14:textFill>
                        <w14:solidFill>
                          <w14:schemeClr w14:val="tx1"/>
                        </w14:solidFill>
                      </w14:textFill>
                    </w:rPr>
                    <w:t>5.537</w:t>
                  </w:r>
                </w:p>
              </w:tc>
              <w:tc>
                <w:tcPr>
                  <w:tcW w:w="1371" w:type="dxa"/>
                  <w:tcBorders>
                    <w:top w:val="single" w:color="000000" w:sz="6" w:space="0"/>
                    <w:bottom w:val="single" w:color="000000" w:sz="6" w:space="0"/>
                  </w:tcBorders>
                  <w:vAlign w:val="center"/>
                </w:tcPr>
                <w:p w14:paraId="3E0B124B">
                  <w:pPr>
                    <w:pStyle w:val="90"/>
                    <w:rPr>
                      <w:color w:val="000000" w:themeColor="text1"/>
                      <w14:textFill>
                        <w14:solidFill>
                          <w14:schemeClr w14:val="tx1"/>
                        </w14:solidFill>
                      </w14:textFill>
                    </w:rPr>
                  </w:pPr>
                  <w:r>
                    <w:rPr>
                      <w:color w:val="000000" w:themeColor="text1"/>
                      <w14:textFill>
                        <w14:solidFill>
                          <w14:schemeClr w14:val="tx1"/>
                        </w14:solidFill>
                      </w14:textFill>
                    </w:rPr>
                    <w:t>29.142</w:t>
                  </w:r>
                </w:p>
              </w:tc>
              <w:tc>
                <w:tcPr>
                  <w:tcW w:w="1193" w:type="dxa"/>
                  <w:tcBorders>
                    <w:top w:val="single" w:color="000000" w:sz="6" w:space="0"/>
                    <w:bottom w:val="single" w:color="000000" w:sz="6" w:space="0"/>
                  </w:tcBorders>
                  <w:vAlign w:val="center"/>
                </w:tcPr>
                <w:p w14:paraId="139FF9A1">
                  <w:pPr>
                    <w:pStyle w:val="90"/>
                    <w:rPr>
                      <w:snapToGrid w:val="0"/>
                      <w:color w:val="000000" w:themeColor="text1"/>
                      <w14:textFill>
                        <w14:solidFill>
                          <w14:schemeClr w14:val="tx1"/>
                        </w14:solidFill>
                      </w14:textFill>
                    </w:rPr>
                  </w:pPr>
                  <w:r>
                    <w:rPr>
                      <w:color w:val="000000" w:themeColor="text1"/>
                      <w14:textFill>
                        <w14:solidFill>
                          <w14:schemeClr w14:val="tx1"/>
                        </w14:solidFill>
                      </w14:textFill>
                    </w:rPr>
                    <w:t>1次/年</w:t>
                  </w:r>
                </w:p>
              </w:tc>
              <w:tc>
                <w:tcPr>
                  <w:tcW w:w="1514" w:type="dxa"/>
                  <w:tcBorders>
                    <w:top w:val="single" w:color="000000" w:sz="6" w:space="0"/>
                    <w:bottom w:val="single" w:color="000000" w:sz="6" w:space="0"/>
                  </w:tcBorders>
                  <w:vAlign w:val="center"/>
                </w:tcPr>
                <w:p w14:paraId="0929C008">
                  <w:pPr>
                    <w:pStyle w:val="90"/>
                    <w:rPr>
                      <w:color w:val="000000" w:themeColor="text1"/>
                      <w14:textFill>
                        <w14:solidFill>
                          <w14:schemeClr w14:val="tx1"/>
                        </w14:solidFill>
                      </w14:textFill>
                    </w:rPr>
                  </w:pPr>
                  <w:r>
                    <w:rPr>
                      <w:color w:val="000000" w:themeColor="text1"/>
                      <w14:textFill>
                        <w14:solidFill>
                          <w14:schemeClr w14:val="tx1"/>
                        </w14:solidFill>
                      </w14:textFill>
                    </w:rPr>
                    <w:t>30min</w:t>
                  </w:r>
                </w:p>
              </w:tc>
            </w:tr>
          </w:tbl>
          <w:p w14:paraId="6B98C8EE">
            <w:pPr>
              <w:ind w:firstLine="480"/>
              <w:rPr>
                <w:rFonts w:cs="Times New Roman"/>
                <w:color w:val="000000" w:themeColor="text1"/>
                <w14:textFill>
                  <w14:solidFill>
                    <w14:schemeClr w14:val="tx1"/>
                  </w14:solidFill>
                </w14:textFill>
              </w:rPr>
            </w:pPr>
          </w:p>
          <w:p w14:paraId="39694DC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④NOx的非正常排放</w:t>
            </w:r>
          </w:p>
          <w:p w14:paraId="6F0B227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烟气采用SCR脱硝工艺，脱硝装置故障情景为喷枪、喷射格栅堵塞，雾化不良，导致脱硝效率下降~25%，此时锅炉脱硝系统非正常排放源强见表4.6-7。。当发生上述情况时，采用的应急措施如下：</w:t>
            </w:r>
          </w:p>
          <w:p w14:paraId="3D652AD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A、立即调整锅炉负荷与燃烧，控制NOₓ生成量。</w:t>
            </w:r>
          </w:p>
          <w:p w14:paraId="1C300CC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B、检查还原剂供应系统、喷枪、计量模块，恢复雾化喷射。</w:t>
            </w:r>
          </w:p>
          <w:p w14:paraId="5F326F0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C、调整SCR入口烟温至300～420℃最佳反应区间。</w:t>
            </w:r>
          </w:p>
          <w:p w14:paraId="6ABCF3A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D、清理堵塞喷嘴，检查氨喷射格栅（AIG）分配均匀性。</w:t>
            </w:r>
          </w:p>
          <w:p w14:paraId="4A89604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E、监控NOₓ、氨逃逸、温度、压力，超标立即报警。</w:t>
            </w:r>
          </w:p>
          <w:p w14:paraId="40293A1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F、短时间无法恢复或系统故障时，降负荷直至停炉。</w:t>
            </w:r>
          </w:p>
          <w:p w14:paraId="34E0D22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G、记录非正常排放时间、浓度及处置情况，按规定上报。</w:t>
            </w:r>
          </w:p>
          <w:p w14:paraId="38C586D6">
            <w:pPr>
              <w:pStyle w:val="98"/>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脱硝设施非正常运行排放源强</w:t>
            </w:r>
          </w:p>
          <w:tbl>
            <w:tblPr>
              <w:tblStyle w:val="46"/>
              <w:tblW w:w="793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2271"/>
              <w:gridCol w:w="1586"/>
              <w:gridCol w:w="1371"/>
              <w:gridCol w:w="1194"/>
              <w:gridCol w:w="1515"/>
            </w:tblGrid>
            <w:tr w14:paraId="57B27A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02" w:hRule="atLeast"/>
                <w:tblHeader/>
                <w:jc w:val="center"/>
              </w:trPr>
              <w:tc>
                <w:tcPr>
                  <w:tcW w:w="2271" w:type="dxa"/>
                  <w:tcBorders>
                    <w:top w:val="single" w:color="000000" w:sz="6" w:space="0"/>
                    <w:left w:val="single" w:color="000000" w:sz="6" w:space="0"/>
                    <w:bottom w:val="single" w:color="000000" w:sz="6" w:space="0"/>
                    <w:tl2br w:val="single" w:color="000000" w:sz="6" w:space="0"/>
                  </w:tcBorders>
                  <w:vAlign w:val="center"/>
                </w:tcPr>
                <w:p w14:paraId="0A31073A">
                  <w:pPr>
                    <w:pStyle w:val="9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 xml:space="preserve">          污染源</w:t>
                  </w:r>
                </w:p>
                <w:p w14:paraId="1FA27217">
                  <w:pPr>
                    <w:pStyle w:val="90"/>
                    <w:ind w:firstLine="420" w:firstLineChars="200"/>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项目</w:t>
                  </w:r>
                </w:p>
              </w:tc>
              <w:tc>
                <w:tcPr>
                  <w:tcW w:w="1586" w:type="dxa"/>
                  <w:tcBorders>
                    <w:top w:val="single" w:color="000000" w:sz="6" w:space="0"/>
                    <w:bottom w:val="single" w:color="000000" w:sz="6" w:space="0"/>
                  </w:tcBorders>
                  <w:vAlign w:val="center"/>
                </w:tcPr>
                <w:p w14:paraId="09BB8978">
                  <w:pPr>
                    <w:pStyle w:val="90"/>
                    <w:rPr>
                      <w:b/>
                      <w:snapToGrid w:val="0"/>
                      <w:color w:val="000000" w:themeColor="text1"/>
                      <w14:textFill>
                        <w14:solidFill>
                          <w14:schemeClr w14:val="tx1"/>
                        </w14:solidFill>
                      </w14:textFill>
                    </w:rPr>
                  </w:pPr>
                  <w:r>
                    <w:rPr>
                      <w:snapToGrid w:val="0"/>
                      <w:color w:val="000000" w:themeColor="text1"/>
                      <w14:textFill>
                        <w14:solidFill>
                          <w14:schemeClr w14:val="tx1"/>
                        </w14:solidFill>
                      </w14:textFill>
                    </w:rPr>
                    <w:t>排放量(kg/h)</w:t>
                  </w:r>
                </w:p>
              </w:tc>
              <w:tc>
                <w:tcPr>
                  <w:tcW w:w="1371" w:type="dxa"/>
                  <w:tcBorders>
                    <w:top w:val="single" w:color="000000" w:sz="6" w:space="0"/>
                    <w:bottom w:val="single" w:color="000000" w:sz="6" w:space="0"/>
                  </w:tcBorders>
                  <w:vAlign w:val="center"/>
                </w:tcPr>
                <w:p w14:paraId="007C5C84">
                  <w:pPr>
                    <w:pStyle w:val="90"/>
                    <w:rPr>
                      <w:b/>
                      <w:snapToGrid w:val="0"/>
                      <w:color w:val="000000" w:themeColor="text1"/>
                      <w14:textFill>
                        <w14:solidFill>
                          <w14:schemeClr w14:val="tx1"/>
                        </w14:solidFill>
                      </w14:textFill>
                    </w:rPr>
                  </w:pPr>
                  <w:r>
                    <w:rPr>
                      <w:snapToGrid w:val="0"/>
                      <w:color w:val="000000" w:themeColor="text1"/>
                      <w14:textFill>
                        <w14:solidFill>
                          <w14:schemeClr w14:val="tx1"/>
                        </w14:solidFill>
                      </w14:textFill>
                    </w:rPr>
                    <w:t>排放浓度(mg/m</w:t>
                  </w:r>
                  <w:r>
                    <w:rPr>
                      <w:snapToGrid w:val="0"/>
                      <w:color w:val="000000" w:themeColor="text1"/>
                      <w:vertAlign w:val="superscript"/>
                      <w14:textFill>
                        <w14:solidFill>
                          <w14:schemeClr w14:val="tx1"/>
                        </w14:solidFill>
                      </w14:textFill>
                    </w:rPr>
                    <w:t>3</w:t>
                  </w:r>
                  <w:r>
                    <w:rPr>
                      <w:snapToGrid w:val="0"/>
                      <w:color w:val="000000" w:themeColor="text1"/>
                      <w14:textFill>
                        <w14:solidFill>
                          <w14:schemeClr w14:val="tx1"/>
                        </w14:solidFill>
                      </w14:textFill>
                    </w:rPr>
                    <w:t>)</w:t>
                  </w:r>
                </w:p>
              </w:tc>
              <w:tc>
                <w:tcPr>
                  <w:tcW w:w="1194" w:type="dxa"/>
                  <w:tcBorders>
                    <w:top w:val="single" w:color="000000" w:sz="6" w:space="0"/>
                    <w:bottom w:val="single" w:color="000000" w:sz="6" w:space="0"/>
                  </w:tcBorders>
                  <w:vAlign w:val="center"/>
                </w:tcPr>
                <w:p w14:paraId="7E412FCD">
                  <w:pPr>
                    <w:pStyle w:val="90"/>
                    <w:rPr>
                      <w:snapToGrid w:val="0"/>
                      <w:color w:val="000000" w:themeColor="text1"/>
                      <w14:textFill>
                        <w14:solidFill>
                          <w14:schemeClr w14:val="tx1"/>
                        </w14:solidFill>
                      </w14:textFill>
                    </w:rPr>
                  </w:pPr>
                  <w:r>
                    <w:rPr>
                      <w:color w:val="000000" w:themeColor="text1"/>
                      <w14:textFill>
                        <w14:solidFill>
                          <w14:schemeClr w14:val="tx1"/>
                        </w14:solidFill>
                      </w14:textFill>
                    </w:rPr>
                    <w:t>可能发生频次</w:t>
                  </w:r>
                </w:p>
              </w:tc>
              <w:tc>
                <w:tcPr>
                  <w:tcW w:w="1515" w:type="dxa"/>
                  <w:tcBorders>
                    <w:top w:val="single" w:color="000000" w:sz="6" w:space="0"/>
                    <w:bottom w:val="single" w:color="000000" w:sz="6" w:space="0"/>
                  </w:tcBorders>
                  <w:vAlign w:val="center"/>
                </w:tcPr>
                <w:p w14:paraId="555573F3">
                  <w:pPr>
                    <w:pStyle w:val="90"/>
                    <w:rPr>
                      <w:color w:val="000000" w:themeColor="text1"/>
                      <w14:textFill>
                        <w14:solidFill>
                          <w14:schemeClr w14:val="tx1"/>
                        </w14:solidFill>
                      </w14:textFill>
                    </w:rPr>
                  </w:pPr>
                  <w:r>
                    <w:rPr>
                      <w:color w:val="000000" w:themeColor="text1"/>
                      <w14:textFill>
                        <w14:solidFill>
                          <w14:schemeClr w14:val="tx1"/>
                        </w14:solidFill>
                      </w14:textFill>
                    </w:rPr>
                    <w:t>持续时间</w:t>
                  </w:r>
                </w:p>
              </w:tc>
            </w:tr>
            <w:tr w14:paraId="7BA339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09" w:hRule="atLeast"/>
                <w:jc w:val="center"/>
              </w:trPr>
              <w:tc>
                <w:tcPr>
                  <w:tcW w:w="2271" w:type="dxa"/>
                  <w:tcBorders>
                    <w:top w:val="single" w:color="000000" w:sz="6" w:space="0"/>
                    <w:left w:val="single" w:color="000000" w:sz="6" w:space="0"/>
                    <w:bottom w:val="single" w:color="000000" w:sz="6" w:space="0"/>
                  </w:tcBorders>
                  <w:vAlign w:val="center"/>
                </w:tcPr>
                <w:p w14:paraId="2BB1A3C6">
                  <w:pPr>
                    <w:pStyle w:val="9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正常时效率为80%</w:t>
                  </w:r>
                </w:p>
              </w:tc>
              <w:tc>
                <w:tcPr>
                  <w:tcW w:w="1586" w:type="dxa"/>
                  <w:tcBorders>
                    <w:top w:val="single" w:color="000000" w:sz="6" w:space="0"/>
                    <w:bottom w:val="single" w:color="000000" w:sz="6" w:space="0"/>
                  </w:tcBorders>
                  <w:vAlign w:val="center"/>
                </w:tcPr>
                <w:p w14:paraId="089BF5E0">
                  <w:pPr>
                    <w:pStyle w:val="90"/>
                    <w:rPr>
                      <w:color w:val="000000" w:themeColor="text1"/>
                      <w14:textFill>
                        <w14:solidFill>
                          <w14:schemeClr w14:val="tx1"/>
                        </w14:solidFill>
                      </w14:textFill>
                    </w:rPr>
                  </w:pPr>
                  <w:r>
                    <w:rPr>
                      <w:color w:val="000000" w:themeColor="text1"/>
                      <w14:textFill>
                        <w14:solidFill>
                          <w14:schemeClr w14:val="tx1"/>
                        </w14:solidFill>
                      </w14:textFill>
                    </w:rPr>
                    <w:t>5.7</w:t>
                  </w:r>
                </w:p>
              </w:tc>
              <w:tc>
                <w:tcPr>
                  <w:tcW w:w="1371" w:type="dxa"/>
                  <w:tcBorders>
                    <w:top w:val="single" w:color="000000" w:sz="6" w:space="0"/>
                    <w:bottom w:val="single" w:color="000000" w:sz="6" w:space="0"/>
                  </w:tcBorders>
                  <w:vAlign w:val="center"/>
                </w:tcPr>
                <w:p w14:paraId="4C4C59B8">
                  <w:pPr>
                    <w:pStyle w:val="90"/>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194" w:type="dxa"/>
                  <w:tcBorders>
                    <w:top w:val="single" w:color="000000" w:sz="6" w:space="0"/>
                    <w:bottom w:val="single" w:color="000000" w:sz="6" w:space="0"/>
                  </w:tcBorders>
                  <w:vAlign w:val="center"/>
                </w:tcPr>
                <w:p w14:paraId="5A1388C0">
                  <w:pPr>
                    <w:pStyle w:val="90"/>
                    <w:rPr>
                      <w:snapToGrid w:val="0"/>
                      <w:color w:val="000000" w:themeColor="text1"/>
                      <w14:textFill>
                        <w14:solidFill>
                          <w14:schemeClr w14:val="tx1"/>
                        </w14:solidFill>
                      </w14:textFill>
                    </w:rPr>
                  </w:pPr>
                  <w:r>
                    <w:rPr>
                      <w:color w:val="000000" w:themeColor="text1"/>
                      <w14:textFill>
                        <w14:solidFill>
                          <w14:schemeClr w14:val="tx1"/>
                        </w14:solidFill>
                      </w14:textFill>
                    </w:rPr>
                    <w:t>/</w:t>
                  </w:r>
                </w:p>
              </w:tc>
              <w:tc>
                <w:tcPr>
                  <w:tcW w:w="1515" w:type="dxa"/>
                  <w:tcBorders>
                    <w:top w:val="single" w:color="000000" w:sz="6" w:space="0"/>
                    <w:bottom w:val="single" w:color="000000" w:sz="6" w:space="0"/>
                  </w:tcBorders>
                  <w:vAlign w:val="center"/>
                </w:tcPr>
                <w:p w14:paraId="7CF6BA12">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r>
            <w:tr w14:paraId="2DF03D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57" w:hRule="atLeast"/>
                <w:jc w:val="center"/>
              </w:trPr>
              <w:tc>
                <w:tcPr>
                  <w:tcW w:w="2271" w:type="dxa"/>
                  <w:tcBorders>
                    <w:top w:val="single" w:color="000000" w:sz="6" w:space="0"/>
                    <w:left w:val="single" w:color="000000" w:sz="6" w:space="0"/>
                    <w:bottom w:val="single" w:color="000000" w:sz="6" w:space="0"/>
                  </w:tcBorders>
                  <w:vAlign w:val="center"/>
                </w:tcPr>
                <w:p w14:paraId="1B7466A5">
                  <w:pPr>
                    <w:pStyle w:val="9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效率下降至55%</w:t>
                  </w:r>
                </w:p>
              </w:tc>
              <w:tc>
                <w:tcPr>
                  <w:tcW w:w="1586" w:type="dxa"/>
                  <w:tcBorders>
                    <w:top w:val="single" w:color="000000" w:sz="6" w:space="0"/>
                    <w:bottom w:val="single" w:color="000000" w:sz="6" w:space="0"/>
                  </w:tcBorders>
                  <w:vAlign w:val="center"/>
                </w:tcPr>
                <w:p w14:paraId="61D6BD19">
                  <w:pPr>
                    <w:pStyle w:val="90"/>
                    <w:rPr>
                      <w:color w:val="000000" w:themeColor="text1"/>
                      <w14:textFill>
                        <w14:solidFill>
                          <w14:schemeClr w14:val="tx1"/>
                        </w14:solidFill>
                      </w14:textFill>
                    </w:rPr>
                  </w:pPr>
                  <w:r>
                    <w:rPr>
                      <w:color w:val="000000" w:themeColor="text1"/>
                      <w14:textFill>
                        <w14:solidFill>
                          <w14:schemeClr w14:val="tx1"/>
                        </w14:solidFill>
                      </w14:textFill>
                    </w:rPr>
                    <w:t>12.825</w:t>
                  </w:r>
                </w:p>
              </w:tc>
              <w:tc>
                <w:tcPr>
                  <w:tcW w:w="1371" w:type="dxa"/>
                  <w:tcBorders>
                    <w:top w:val="single" w:color="000000" w:sz="6" w:space="0"/>
                    <w:bottom w:val="single" w:color="000000" w:sz="6" w:space="0"/>
                  </w:tcBorders>
                  <w:vAlign w:val="center"/>
                </w:tcPr>
                <w:p w14:paraId="3CFE2DE9">
                  <w:pPr>
                    <w:pStyle w:val="90"/>
                    <w:rPr>
                      <w:color w:val="000000" w:themeColor="text1"/>
                      <w14:textFill>
                        <w14:solidFill>
                          <w14:schemeClr w14:val="tx1"/>
                        </w14:solidFill>
                      </w14:textFill>
                    </w:rPr>
                  </w:pPr>
                  <w:r>
                    <w:rPr>
                      <w:color w:val="000000" w:themeColor="text1"/>
                      <w14:textFill>
                        <w14:solidFill>
                          <w14:schemeClr w14:val="tx1"/>
                        </w14:solidFill>
                      </w14:textFill>
                    </w:rPr>
                    <w:t>67.5</w:t>
                  </w:r>
                </w:p>
              </w:tc>
              <w:tc>
                <w:tcPr>
                  <w:tcW w:w="1194" w:type="dxa"/>
                  <w:tcBorders>
                    <w:top w:val="single" w:color="000000" w:sz="6" w:space="0"/>
                    <w:bottom w:val="single" w:color="000000" w:sz="6" w:space="0"/>
                  </w:tcBorders>
                  <w:vAlign w:val="center"/>
                </w:tcPr>
                <w:p w14:paraId="4BB0481C">
                  <w:pPr>
                    <w:pStyle w:val="90"/>
                    <w:rPr>
                      <w:snapToGrid w:val="0"/>
                      <w:color w:val="000000" w:themeColor="text1"/>
                      <w14:textFill>
                        <w14:solidFill>
                          <w14:schemeClr w14:val="tx1"/>
                        </w14:solidFill>
                      </w14:textFill>
                    </w:rPr>
                  </w:pPr>
                  <w:r>
                    <w:rPr>
                      <w:color w:val="000000" w:themeColor="text1"/>
                      <w14:textFill>
                        <w14:solidFill>
                          <w14:schemeClr w14:val="tx1"/>
                        </w14:solidFill>
                      </w14:textFill>
                    </w:rPr>
                    <w:t>1次/年</w:t>
                  </w:r>
                </w:p>
              </w:tc>
              <w:tc>
                <w:tcPr>
                  <w:tcW w:w="1515" w:type="dxa"/>
                  <w:tcBorders>
                    <w:top w:val="single" w:color="000000" w:sz="6" w:space="0"/>
                    <w:bottom w:val="single" w:color="000000" w:sz="6" w:space="0"/>
                  </w:tcBorders>
                  <w:vAlign w:val="center"/>
                </w:tcPr>
                <w:p w14:paraId="10DD6270">
                  <w:pPr>
                    <w:pStyle w:val="90"/>
                    <w:rPr>
                      <w:color w:val="000000" w:themeColor="text1"/>
                      <w14:textFill>
                        <w14:solidFill>
                          <w14:schemeClr w14:val="tx1"/>
                        </w14:solidFill>
                      </w14:textFill>
                    </w:rPr>
                  </w:pPr>
                  <w:r>
                    <w:rPr>
                      <w:color w:val="000000" w:themeColor="text1"/>
                      <w14:textFill>
                        <w14:solidFill>
                          <w14:schemeClr w14:val="tx1"/>
                        </w14:solidFill>
                      </w14:textFill>
                    </w:rPr>
                    <w:t>30min</w:t>
                  </w:r>
                </w:p>
              </w:tc>
            </w:tr>
          </w:tbl>
          <w:p w14:paraId="4978E94D">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废气排放环境影响</w:t>
            </w:r>
          </w:p>
          <w:p w14:paraId="41F303D5">
            <w:pPr>
              <w:ind w:firstLine="488"/>
              <w:rPr>
                <w:rFonts w:cs="Times New Roman"/>
                <w:color w:val="000000" w:themeColor="text1"/>
                <w14:textFill>
                  <w14:solidFill>
                    <w14:schemeClr w14:val="tx1"/>
                  </w14:solidFill>
                </w14:textFill>
              </w:rPr>
            </w:pPr>
            <w:r>
              <w:rPr>
                <w:rFonts w:cs="Times New Roman"/>
                <w:color w:val="000000" w:themeColor="text1"/>
                <w:spacing w:val="2"/>
                <w14:textFill>
                  <w14:solidFill>
                    <w14:schemeClr w14:val="tx1"/>
                  </w14:solidFill>
                </w14:textFill>
              </w:rPr>
              <w:t>类比宝钢德盛现有170t/h超高温超高压燃气锅炉，本项目与其建设规模相同，且燃料、环境治理设施（SNCR脱硝设施+半干法脱硫设施+布袋除尘设施）相似，</w:t>
            </w:r>
            <w:r>
              <w:rPr>
                <w:rFonts w:cs="Times New Roman"/>
                <w:color w:val="000000" w:themeColor="text1"/>
                <w14:textFill>
                  <w14:solidFill>
                    <w14:schemeClr w14:val="tx1"/>
                  </w14:solidFill>
                </w14:textFill>
              </w:rPr>
              <w:t>大气污染物排放同样执行《关于推进实施钢铁行业超低排放的意见》（环大气[2019]35号）和《火电厂大气污染物排放标准》（GB 13223—2011）</w:t>
            </w:r>
            <w:r>
              <w:rPr>
                <w:rFonts w:cs="Times New Roman"/>
                <w:color w:val="000000" w:themeColor="text1"/>
                <w:lang w:val="zh-CN"/>
                <w14:textFill>
                  <w14:solidFill>
                    <w14:schemeClr w14:val="tx1"/>
                  </w14:solidFill>
                </w14:textFill>
              </w:rPr>
              <w:t>中排放标准的要求，即颗粒物≤5</w:t>
            </w:r>
            <w:r>
              <w:rPr>
                <w:rFonts w:cs="Times New Roman"/>
                <w:color w:val="000000" w:themeColor="text1"/>
                <w14:textFill>
                  <w14:solidFill>
                    <w14:schemeClr w14:val="tx1"/>
                  </w14:solidFill>
                </w14:textFill>
              </w:rPr>
              <w:t xml:space="preserve"> mg/m</w:t>
            </w:r>
            <w:r>
              <w:rPr>
                <w:rFonts w:cs="Times New Roman"/>
                <w:color w:val="000000" w:themeColor="text1"/>
                <w:szCs w:val="21"/>
                <w:vertAlign w:val="superscript"/>
                <w14:textFill>
                  <w14:solidFill>
                    <w14:schemeClr w14:val="tx1"/>
                  </w14:solidFill>
                </w14:textFill>
              </w:rPr>
              <w:t>3</w:t>
            </w:r>
            <w:r>
              <w:rPr>
                <w:rFonts w:cs="Times New Roman"/>
                <w:color w:val="000000" w:themeColor="text1"/>
                <w:spacing w:val="2"/>
                <w14:textFill>
                  <w14:solidFill>
                    <w14:schemeClr w14:val="tx1"/>
                  </w14:solidFill>
                </w14:textFill>
              </w:rPr>
              <w:t>、</w:t>
            </w:r>
            <w:r>
              <w:rPr>
                <w:rFonts w:cs="Times New Roman"/>
                <w:color w:val="000000" w:themeColor="text1"/>
                <w:lang w:val="zh-CN"/>
                <w14:textFill>
                  <w14:solidFill>
                    <w14:schemeClr w14:val="tx1"/>
                  </w14:solidFill>
                </w14:textFill>
              </w:rPr>
              <w:t>SO</w:t>
            </w:r>
            <w:r>
              <w:rPr>
                <w:rFonts w:cs="Times New Roman"/>
                <w:color w:val="000000" w:themeColor="text1"/>
                <w:vertAlign w:val="subscript"/>
                <w:lang w:val="zh-CN"/>
                <w14:textFill>
                  <w14:solidFill>
                    <w14:schemeClr w14:val="tx1"/>
                  </w14:solidFill>
                </w14:textFill>
              </w:rPr>
              <w:t>2</w:t>
            </w:r>
            <w:r>
              <w:rPr>
                <w:rFonts w:cs="Times New Roman"/>
                <w:color w:val="000000" w:themeColor="text1"/>
                <w:lang w:val="zh-CN"/>
                <w14:textFill>
                  <w14:solidFill>
                    <w14:schemeClr w14:val="tx1"/>
                  </w14:solidFill>
                </w14:textFill>
              </w:rPr>
              <w:t>≤35</w:t>
            </w:r>
            <w:r>
              <w:rPr>
                <w:rFonts w:cs="Times New Roman"/>
                <w:color w:val="000000" w:themeColor="text1"/>
                <w14:textFill>
                  <w14:solidFill>
                    <w14:schemeClr w14:val="tx1"/>
                  </w14:solidFill>
                </w14:textFill>
              </w:rPr>
              <w:t xml:space="preserve"> mg/m</w:t>
            </w:r>
            <w:r>
              <w:rPr>
                <w:rFonts w:cs="Times New Roman"/>
                <w:color w:val="000000" w:themeColor="text1"/>
                <w:szCs w:val="21"/>
                <w:vertAlign w:val="superscript"/>
                <w14:textFill>
                  <w14:solidFill>
                    <w14:schemeClr w14:val="tx1"/>
                  </w14:solidFill>
                </w14:textFill>
              </w:rPr>
              <w:t>3</w:t>
            </w:r>
            <w:r>
              <w:rPr>
                <w:rFonts w:cs="Times New Roman"/>
                <w:color w:val="000000" w:themeColor="text1"/>
                <w:spacing w:val="2"/>
                <w14:textFill>
                  <w14:solidFill>
                    <w14:schemeClr w14:val="tx1"/>
                  </w14:solidFill>
                </w14:textFill>
              </w:rPr>
              <w:t>、</w:t>
            </w:r>
            <w:r>
              <w:rPr>
                <w:rFonts w:cs="Times New Roman"/>
                <w:color w:val="000000" w:themeColor="text1"/>
                <w:lang w:val="zh-CN"/>
                <w14:textFill>
                  <w14:solidFill>
                    <w14:schemeClr w14:val="tx1"/>
                  </w14:solidFill>
                </w14:textFill>
              </w:rPr>
              <w:t>NOx≤50</w:t>
            </w:r>
            <w:r>
              <w:rPr>
                <w:rFonts w:cs="Times New Roman"/>
                <w:color w:val="000000" w:themeColor="text1"/>
                <w14:textFill>
                  <w14:solidFill>
                    <w14:schemeClr w14:val="tx1"/>
                  </w14:solidFill>
                </w14:textFill>
              </w:rPr>
              <w:t xml:space="preserve"> mg/m</w:t>
            </w:r>
            <w:r>
              <w:rPr>
                <w:rFonts w:cs="Times New Roman"/>
                <w:color w:val="000000" w:themeColor="text1"/>
                <w:szCs w:val="21"/>
                <w:vertAlign w:val="superscript"/>
                <w14:textFill>
                  <w14:solidFill>
                    <w14:schemeClr w14:val="tx1"/>
                  </w14:solidFill>
                </w14:textFill>
              </w:rPr>
              <w:t>3</w:t>
            </w:r>
            <w:r>
              <w:rPr>
                <w:rFonts w:cs="Times New Roman"/>
                <w:color w:val="000000" w:themeColor="text1"/>
                <w:spacing w:val="2"/>
                <w14:textFill>
                  <w14:solidFill>
                    <w14:schemeClr w14:val="tx1"/>
                  </w14:solidFill>
                </w14:textFill>
              </w:rPr>
              <w:t>，因此具备可比性。类比燃气锅炉2024年验收监测数据SO</w:t>
            </w:r>
            <w:r>
              <w:rPr>
                <w:rFonts w:cs="Times New Roman"/>
                <w:color w:val="000000" w:themeColor="text1"/>
                <w:spacing w:val="2"/>
                <w:vertAlign w:val="subscript"/>
                <w14:textFill>
                  <w14:solidFill>
                    <w14:schemeClr w14:val="tx1"/>
                  </w14:solidFill>
                </w14:textFill>
              </w:rPr>
              <w:t>2</w:t>
            </w:r>
            <w:r>
              <w:rPr>
                <w:rFonts w:cs="Times New Roman"/>
                <w:color w:val="000000" w:themeColor="text1"/>
                <w:spacing w:val="2"/>
                <w14:textFill>
                  <w14:solidFill>
                    <w14:schemeClr w14:val="tx1"/>
                  </w14:solidFill>
                </w14:textFill>
              </w:rPr>
              <w:t>:＜3</w:t>
            </w:r>
            <w:r>
              <w:rPr>
                <w:rFonts w:cs="Times New Roman"/>
                <w:color w:val="000000" w:themeColor="text1"/>
                <w14:textFill>
                  <w14:solidFill>
                    <w14:schemeClr w14:val="tx1"/>
                  </w14:solidFill>
                </w14:textFill>
              </w:rPr>
              <w:t xml:space="preserve"> mg/m</w:t>
            </w:r>
            <w:r>
              <w:rPr>
                <w:rFonts w:cs="Times New Roman"/>
                <w:color w:val="000000" w:themeColor="text1"/>
                <w:szCs w:val="21"/>
                <w:vertAlign w:val="superscript"/>
                <w14:textFill>
                  <w14:solidFill>
                    <w14:schemeClr w14:val="tx1"/>
                  </w14:solidFill>
                </w14:textFill>
              </w:rPr>
              <w:t>3</w:t>
            </w:r>
            <w:r>
              <w:rPr>
                <w:rFonts w:cs="Times New Roman"/>
                <w:color w:val="000000" w:themeColor="text1"/>
                <w:spacing w:val="2"/>
                <w14:textFill>
                  <w14:solidFill>
                    <w14:schemeClr w14:val="tx1"/>
                  </w14:solidFill>
                </w14:textFill>
              </w:rPr>
              <w:t>、NO</w:t>
            </w:r>
            <w:r>
              <w:rPr>
                <w:rFonts w:cs="Times New Roman"/>
                <w:color w:val="000000" w:themeColor="text1"/>
                <w:spacing w:val="2"/>
                <w:vertAlign w:val="subscript"/>
                <w14:textFill>
                  <w14:solidFill>
                    <w14:schemeClr w14:val="tx1"/>
                  </w14:solidFill>
                </w14:textFill>
              </w:rPr>
              <w:t>X</w:t>
            </w:r>
            <w:r>
              <w:rPr>
                <w:rFonts w:cs="Times New Roman"/>
                <w:color w:val="000000" w:themeColor="text1"/>
                <w:spacing w:val="2"/>
                <w14:textFill>
                  <w14:solidFill>
                    <w14:schemeClr w14:val="tx1"/>
                  </w14:solidFill>
                </w14:textFill>
              </w:rPr>
              <w:t>:24~28</w:t>
            </w:r>
            <w:r>
              <w:rPr>
                <w:rFonts w:cs="Times New Roman"/>
                <w:color w:val="000000" w:themeColor="text1"/>
                <w14:textFill>
                  <w14:solidFill>
                    <w14:schemeClr w14:val="tx1"/>
                  </w14:solidFill>
                </w14:textFill>
              </w:rPr>
              <w:t xml:space="preserve"> mg/m</w:t>
            </w:r>
            <w:r>
              <w:rPr>
                <w:rFonts w:cs="Times New Roman"/>
                <w:color w:val="000000" w:themeColor="text1"/>
                <w:szCs w:val="21"/>
                <w:vertAlign w:val="superscript"/>
                <w14:textFill>
                  <w14:solidFill>
                    <w14:schemeClr w14:val="tx1"/>
                  </w14:solidFill>
                </w14:textFill>
              </w:rPr>
              <w:t>3</w:t>
            </w:r>
            <w:r>
              <w:rPr>
                <w:rFonts w:cs="Times New Roman"/>
                <w:color w:val="000000" w:themeColor="text1"/>
                <w:spacing w:val="2"/>
                <w14:textFill>
                  <w14:solidFill>
                    <w14:schemeClr w14:val="tx1"/>
                  </w14:solidFill>
                </w14:textFill>
              </w:rPr>
              <w:t>、颗粒物：1.3~1.4</w:t>
            </w:r>
            <w:r>
              <w:rPr>
                <w:rFonts w:cs="Times New Roman"/>
                <w:color w:val="000000" w:themeColor="text1"/>
                <w14:textFill>
                  <w14:solidFill>
                    <w14:schemeClr w14:val="tx1"/>
                  </w14:solidFill>
                </w14:textFill>
              </w:rPr>
              <w:t xml:space="preserve"> mg/m</w:t>
            </w:r>
            <w:r>
              <w:rPr>
                <w:rFonts w:cs="Times New Roman"/>
                <w:color w:val="000000" w:themeColor="text1"/>
                <w:szCs w:val="21"/>
                <w:vertAlign w:val="superscript"/>
                <w14:textFill>
                  <w14:solidFill>
                    <w14:schemeClr w14:val="tx1"/>
                  </w14:solidFill>
                </w14:textFill>
              </w:rPr>
              <w:t>3</w:t>
            </w:r>
            <w:r>
              <w:rPr>
                <w:rFonts w:cs="Times New Roman"/>
                <w:color w:val="000000" w:themeColor="text1"/>
                <w:szCs w:val="21"/>
                <w14:textFill>
                  <w14:solidFill>
                    <w14:schemeClr w14:val="tx1"/>
                  </w14:solidFill>
                </w14:textFill>
              </w:rPr>
              <w:t>、烟囱排放口“林格曼黑度”均（＜1）级，</w:t>
            </w:r>
            <w:r>
              <w:rPr>
                <w:rFonts w:cs="Times New Roman"/>
                <w:color w:val="000000" w:themeColor="text1"/>
                <w:spacing w:val="2"/>
                <w14:textFill>
                  <w14:solidFill>
                    <w14:schemeClr w14:val="tx1"/>
                  </w14:solidFill>
                </w14:textFill>
              </w:rPr>
              <w:t>由类比锅炉废气验收监测数据可知，</w:t>
            </w:r>
            <w:r>
              <w:rPr>
                <w:rFonts w:cs="Times New Roman"/>
                <w:color w:val="000000" w:themeColor="text1"/>
                <w14:textFill>
                  <w14:solidFill>
                    <w14:schemeClr w14:val="tx1"/>
                  </w14:solidFill>
                </w14:textFill>
              </w:rPr>
              <w:t>大气</w:t>
            </w:r>
            <w:r>
              <w:rPr>
                <w:rFonts w:cs="Times New Roman"/>
                <w:color w:val="000000" w:themeColor="text1"/>
                <w:spacing w:val="2"/>
                <w14:textFill>
                  <w14:solidFill>
                    <w14:schemeClr w14:val="tx1"/>
                  </w14:solidFill>
                </w14:textFill>
              </w:rPr>
              <w:t>污染物</w:t>
            </w:r>
            <w:r>
              <w:rPr>
                <w:rFonts w:cs="Times New Roman"/>
                <w:color w:val="000000" w:themeColor="text1"/>
                <w:lang w:val="zh-CN"/>
                <w14:textFill>
                  <w14:solidFill>
                    <w14:schemeClr w14:val="tx1"/>
                  </w14:solidFill>
                </w14:textFill>
              </w:rPr>
              <w:t>颗粒物</w:t>
            </w:r>
            <w:r>
              <w:rPr>
                <w:rFonts w:cs="Times New Roman"/>
                <w:color w:val="000000" w:themeColor="text1"/>
                <w:spacing w:val="2"/>
                <w14:textFill>
                  <w14:solidFill>
                    <w14:schemeClr w14:val="tx1"/>
                  </w14:solidFill>
                </w14:textFill>
              </w:rPr>
              <w:t>、</w:t>
            </w:r>
            <w:r>
              <w:rPr>
                <w:rFonts w:cs="Times New Roman"/>
                <w:color w:val="000000" w:themeColor="text1"/>
                <w:lang w:val="zh-CN"/>
                <w14:textFill>
                  <w14:solidFill>
                    <w14:schemeClr w14:val="tx1"/>
                  </w14:solidFill>
                </w14:textFill>
              </w:rPr>
              <w:t>SO</w:t>
            </w:r>
            <w:r>
              <w:rPr>
                <w:rFonts w:cs="Times New Roman"/>
                <w:color w:val="000000" w:themeColor="text1"/>
                <w:vertAlign w:val="subscript"/>
                <w:lang w:val="zh-CN"/>
                <w14:textFill>
                  <w14:solidFill>
                    <w14:schemeClr w14:val="tx1"/>
                  </w14:solidFill>
                </w14:textFill>
              </w:rPr>
              <w:t>2</w:t>
            </w:r>
            <w:r>
              <w:rPr>
                <w:rFonts w:cs="Times New Roman"/>
                <w:color w:val="000000" w:themeColor="text1"/>
                <w:lang w:val="zh-CN"/>
                <w14:textFill>
                  <w14:solidFill>
                    <w14:schemeClr w14:val="tx1"/>
                  </w14:solidFill>
                </w14:textFill>
              </w:rPr>
              <w:t>和NOx</w:t>
            </w:r>
            <w:r>
              <w:rPr>
                <w:rFonts w:cs="Times New Roman"/>
                <w:color w:val="000000" w:themeColor="text1"/>
                <w14:textFill>
                  <w14:solidFill>
                    <w14:schemeClr w14:val="tx1"/>
                  </w14:solidFill>
                </w14:textFill>
              </w:rPr>
              <w:t>和烟气黑度</w:t>
            </w:r>
            <w:r>
              <w:rPr>
                <w:rFonts w:cs="Times New Roman"/>
                <w:color w:val="000000" w:themeColor="text1"/>
                <w:lang w:val="zh-CN"/>
                <w14:textFill>
                  <w14:solidFill>
                    <w14:schemeClr w14:val="tx1"/>
                  </w14:solidFill>
                </w14:textFill>
              </w:rPr>
              <w:t>均可达标。通过类比，</w:t>
            </w:r>
            <w:r>
              <w:rPr>
                <w:rFonts w:cs="Times New Roman"/>
                <w:color w:val="000000" w:themeColor="text1"/>
                <w14:textFill>
                  <w14:solidFill>
                    <w14:schemeClr w14:val="tx1"/>
                  </w14:solidFill>
                </w14:textFill>
              </w:rPr>
              <w:t>由现有</w:t>
            </w:r>
            <w:r>
              <w:rPr>
                <w:rFonts w:cs="Times New Roman"/>
                <w:color w:val="000000" w:themeColor="text1"/>
                <w:spacing w:val="2"/>
                <w14:textFill>
                  <w14:solidFill>
                    <w14:schemeClr w14:val="tx1"/>
                  </w14:solidFill>
                </w14:textFill>
              </w:rPr>
              <w:t>燃气锅炉</w:t>
            </w:r>
            <w:r>
              <w:rPr>
                <w:rFonts w:cs="Times New Roman"/>
                <w:color w:val="000000" w:themeColor="text1"/>
                <w14:textFill>
                  <w14:solidFill>
                    <w14:schemeClr w14:val="tx1"/>
                  </w14:solidFill>
                </w14:textFill>
              </w:rPr>
              <w:t>排放废气监测数据可推断本项目末端采用更高效的SCR脱硝+干法脱硫设施+</w:t>
            </w:r>
            <w:r>
              <w:rPr>
                <w:rFonts w:cs="Times New Roman"/>
                <w:color w:val="000000" w:themeColor="text1"/>
                <w:spacing w:val="2"/>
                <w14:textFill>
                  <w14:solidFill>
                    <w14:schemeClr w14:val="tx1"/>
                  </w14:solidFill>
                </w14:textFill>
              </w:rPr>
              <w:t>布袋除尘设施</w:t>
            </w:r>
            <w:r>
              <w:rPr>
                <w:rFonts w:cs="Times New Roman"/>
                <w:color w:val="000000" w:themeColor="text1"/>
                <w14:textFill>
                  <w14:solidFill>
                    <w14:schemeClr w14:val="tx1"/>
                  </w14:solidFill>
                </w14:textFill>
              </w:rPr>
              <w:t>废气治理措施，同样可实现尾气达标排放。且本项目SCR脱硝治理设施采用“在线监测+智能调节+双重校核”联动控制模式，在脱硝反应器入口、出口分别设置NOₓ在线监测仪、氨逃逸在线监测仪可有效保障氨逃逸浓度</w:t>
            </w:r>
            <w:r>
              <w:rPr>
                <w:rFonts w:cs="Times New Roman"/>
                <w:color w:val="000000" w:themeColor="text1"/>
                <w:lang w:val="zh-CN"/>
                <w14:textFill>
                  <w14:solidFill>
                    <w14:schemeClr w14:val="tx1"/>
                  </w14:solidFill>
                </w14:textFill>
              </w:rPr>
              <w:t>≤8</w:t>
            </w:r>
            <w:r>
              <w:rPr>
                <w:rFonts w:cs="Times New Roman"/>
                <w:color w:val="000000" w:themeColor="text1"/>
                <w14:textFill>
                  <w14:solidFill>
                    <w14:schemeClr w14:val="tx1"/>
                  </w14:solidFill>
                </w14:textFill>
              </w:rPr>
              <w:t xml:space="preserve"> mg/m</w:t>
            </w:r>
            <w:r>
              <w:rPr>
                <w:rFonts w:cs="Times New Roman"/>
                <w:color w:val="000000" w:themeColor="text1"/>
                <w:szCs w:val="21"/>
                <w:vertAlign w:val="superscript"/>
                <w14:textFill>
                  <w14:solidFill>
                    <w14:schemeClr w14:val="tx1"/>
                  </w14:solidFill>
                </w14:textFill>
              </w:rPr>
              <w:t>3</w:t>
            </w:r>
            <w:r>
              <w:rPr>
                <w:rFonts w:cs="Times New Roman"/>
                <w:color w:val="000000" w:themeColor="text1"/>
                <w14:textFill>
                  <w14:solidFill>
                    <w14:schemeClr w14:val="tx1"/>
                  </w14:solidFill>
                </w14:textFill>
              </w:rPr>
              <w:t>。本项目烟气经过SCR装置、干法脱硫塔、袋式除尘器处理后通过新建60m高排气筒排放，其废气排放对周边环境空气质量和环境保护目标的影响在可控范围。</w:t>
            </w:r>
          </w:p>
          <w:p w14:paraId="07E8F9C3">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废气治理措施及可行性论证</w:t>
            </w:r>
          </w:p>
          <w:p w14:paraId="597F84F5">
            <w:pPr>
              <w:pStyle w:val="5"/>
              <w:rPr>
                <w:color w:val="000000" w:themeColor="text1"/>
                <w14:textFill>
                  <w14:solidFill>
                    <w14:schemeClr w14:val="tx1"/>
                  </w14:solidFill>
                </w14:textFill>
              </w:rPr>
            </w:pPr>
            <w:r>
              <w:rPr>
                <w:color w:val="000000" w:themeColor="text1"/>
                <w14:textFill>
                  <w14:solidFill>
                    <w14:schemeClr w14:val="tx1"/>
                  </w14:solidFill>
                </w14:textFill>
              </w:rPr>
              <w:t>烟尘治理措施</w:t>
            </w:r>
          </w:p>
          <w:p w14:paraId="1E2D17B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采用布袋除尘器去除烟气中的颗粒物。近年以强力清灰为特征的脉冲袋式除尘器，以其滤袋长、占地面积少、设备阻力小、清灰所需气压力低、能耗低、工作可靠，维护工作量小等优点，在各行业获得日益广泛的应用。目前，我国脉冲袋式除尘器大型化的趋势明显，性能达到国际先进水平。多年来袋式除尘技术有了很快的发展，滤料性能不断提高，使用寿命、换代周期都在不断加长，而且积累了丰富的实际工程经验。</w:t>
            </w:r>
          </w:p>
          <w:p w14:paraId="5622105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（1）原理</w:t>
            </w:r>
          </w:p>
          <w:p w14:paraId="01317BE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脉冲袋式除尘器的基本工作原理是：含尘气体进入挂有一定数量滤袋的袋室后，被滤袋纤维过滤。随着阻留的粉尘不断增加，一部分粉尘嵌入滤料内部；一部分覆盖在滤袋表面形成一层粉尘层。此时，含尘气体的过滤主要依靠粉尘层进行。其除尘机理为含尘气体通过粉尘层与滤料时产生的筛分、惯性、</w:t>
            </w:r>
            <w:r>
              <w:rPr>
                <w:rFonts w:hint="eastAsia" w:cs="Times New Roman"/>
                <w:color w:val="000000" w:themeColor="text1"/>
                <w14:textFill>
                  <w14:solidFill>
                    <w14:schemeClr w14:val="tx1"/>
                  </w14:solidFill>
                </w14:textFill>
              </w:rPr>
              <w:t>黏</w:t>
            </w:r>
            <w:r>
              <w:rPr>
                <w:rFonts w:cs="Times New Roman"/>
                <w:color w:val="000000" w:themeColor="text1"/>
                <w14:textFill>
                  <w14:solidFill>
                    <w14:schemeClr w14:val="tx1"/>
                  </w14:solidFill>
                </w14:textFill>
              </w:rPr>
              <w:t>附、扩散与静电等作用，使粉尘得到捕集。当粉尘层加厚，压力损失达到一定程度时，需要进行清灰。清灰后压力降低，但仍有一部分粉尘残留在滤袋上，在下一个过滤周期开始时，起良好的捕尘作用。</w:t>
            </w:r>
          </w:p>
          <w:p w14:paraId="114D391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袋式除尘技术是利用纤维织物的过滤作用对含尘气体进行过滤分离。当含尘气体进入袋式除尘器后，粒径大、比重大的粉尘在重力作用下沉降，落入灰斗；携带烟尘的气体通过滤料时，细小粉尘被阻留在滤料上，气体通过滤料，从而尘气分离，使含尘气体得到净化。</w:t>
            </w:r>
          </w:p>
          <w:p w14:paraId="1185D9A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（2）特点</w:t>
            </w:r>
          </w:p>
          <w:p w14:paraId="3A28108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袋式除尘器属高效除尘设备，广泛应用于粉尘的净化过程，对细粉尘的除尘效率高，处理含微米或亚微米数量级的粉尘粒子的气体效率可达99.9%以上，可用在净化要求高的场合；适应性强，可捕集各类性质的粉尘，且不因粉尘比电阻等性质而影响除尘效率；适应的烟尘浓度范围广，当入口含尘浓度和烟气量波动范围大时，也不会明显影响除尘器的净化效率和压力损失；可制成直接设于室内产尘设备旁的小型机组，也可制成大型的除尘器室；便于回收物料，没有污泥处理，废水污染以及腐蚀等问题，维护简单；较低的爆炸危险。主要缺点有：应用范围受滤料耐温、耐腐蚀等性能的限制，特别是长期使用，温度应限于280℃以下，当含尘气体温度过高时，需要采取降温措施；在捕集</w:t>
            </w:r>
            <w:r>
              <w:rPr>
                <w:rFonts w:hint="eastAsia" w:cs="Times New Roman"/>
                <w:color w:val="000000" w:themeColor="text1"/>
                <w14:textFill>
                  <w14:solidFill>
                    <w14:schemeClr w14:val="tx1"/>
                  </w14:solidFill>
                </w14:textFill>
              </w:rPr>
              <w:t>黏</w:t>
            </w:r>
            <w:r>
              <w:rPr>
                <w:rFonts w:cs="Times New Roman"/>
                <w:color w:val="000000" w:themeColor="text1"/>
                <w14:textFill>
                  <w14:solidFill>
                    <w14:schemeClr w14:val="tx1"/>
                  </w14:solidFill>
                </w14:textFill>
              </w:rPr>
              <w:t>性强及湿性强的粉尘或处理露点很高的烟气时容易堵塞滤袋，此时需采取保温或加热措施；压力损失波动较大；投资和操作维护费用高。</w:t>
            </w:r>
          </w:p>
          <w:p w14:paraId="0E88ACE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（3）袋式除尘器滤料选择</w:t>
            </w:r>
          </w:p>
          <w:p w14:paraId="7F90EB3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袋式除尘器原理分析可知，对袋式除尘器效率起决定性作用的是滤袋的选择。滤袋的材质包括天然纤维和化学纤维，目前应用较为广泛的是化学纤维，包括有涤纶机织布和涤纶、腈纶、丙纶针刺毡等。综合对比断裂强度、耐磨性、定长回弹率等各方面性质，涤纶材质具有较好的综合性能以及广泛的适用性；同时由于涤纶针刺毡滤料工作原理是“深层过滤”，即通过滤料纤维的捕集，先在滤料表面形成“一次粉尘层”（即粉饼），再通过这层粉饼来过滤后续的粉尘；在使用初期，由于滤料本身的空隙较大，部分粉尘会穿过滤料排放出去，只有当粉饼形成后过滤过程才真正开始；继续使用后，滤料表面的粉尘会逐渐渗入到滤料中，导致滤料孔隙堵塞，使设备运行阻力不断增加，直至必须更换滤料为止。</w:t>
            </w:r>
          </w:p>
          <w:p w14:paraId="3AB2C9F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了克服普通滤料初期低效率、后期高耗能、滤料更换周期高等缺点，目前普遍采用覆膜滤料，即在普通滤料表面复合一层薄膜而行成的一种新型滤料，这层薄膜相当于起到了“一次粉尘层”的作用，物料交换是在膜表面进行的，使用之初就能进行有效</w:t>
            </w:r>
            <w:r>
              <w:rPr>
                <w:rFonts w:hint="eastAsia" w:cs="Times New Roman"/>
                <w:color w:val="000000" w:themeColor="text1"/>
                <w14:textFill>
                  <w14:solidFill>
                    <w14:schemeClr w14:val="tx1"/>
                  </w14:solidFill>
                </w14:textFill>
              </w:rPr>
              <w:t>地</w:t>
            </w:r>
            <w:r>
              <w:rPr>
                <w:rFonts w:cs="Times New Roman"/>
                <w:color w:val="000000" w:themeColor="text1"/>
                <w14:textFill>
                  <w14:solidFill>
                    <w14:schemeClr w14:val="tx1"/>
                  </w14:solidFill>
                </w14:textFill>
              </w:rPr>
              <w:t>过滤；薄膜特有的立体网状结构，使粉尘无法穿过，无孔隙堵塞危害；过滤膜通常是由高分子聚合物制成的，厚度一般为100～150 μm，微孔滤膜孔径小，捕集率很高，即使对不同粒径的微细粒子也有较高的捕集率，并可防止进入滤料深处，不需要形成普通滤料具有的粉尘初层，清灰容易。这一特性为袋式除尘器在潮湿条件下工作防止因结露造成滤袋结垢而失效创造了一定的条件，同时防止滤料的堵塞和结垢，降低滤料的阻力， 因而有利于降低除尘器系统运行的能耗。不同覆膜滤料主要性能指标详见下表。</w:t>
            </w:r>
          </w:p>
          <w:p w14:paraId="49D5B4AF">
            <w:pPr>
              <w:pStyle w:val="351"/>
              <w:spacing w:before="120"/>
              <w:rPr>
                <w:color w:val="000000" w:themeColor="text1"/>
                <w14:textFill>
                  <w14:solidFill>
                    <w14:schemeClr w14:val="tx1"/>
                  </w14:solidFill>
                </w14:textFill>
              </w:rPr>
            </w:pPr>
            <w:bookmarkStart w:id="154" w:name="_Ref53166936"/>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不同覆膜滤料主要性能指标一览表</w:t>
            </w:r>
            <w:bookmarkEnd w:id="154"/>
          </w:p>
          <w:tbl>
            <w:tblPr>
              <w:tblStyle w:val="46"/>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6"/>
              <w:gridCol w:w="874"/>
              <w:gridCol w:w="734"/>
              <w:gridCol w:w="1078"/>
              <w:gridCol w:w="1170"/>
              <w:gridCol w:w="810"/>
              <w:gridCol w:w="796"/>
              <w:gridCol w:w="796"/>
              <w:gridCol w:w="793"/>
              <w:gridCol w:w="777"/>
            </w:tblGrid>
            <w:tr w14:paraId="18E8F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7" w:type="pct"/>
                  <w:vMerge w:val="restart"/>
                  <w:vAlign w:val="center"/>
                </w:tcPr>
                <w:p w14:paraId="2F8A0AE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特性</w:t>
                  </w:r>
                </w:p>
              </w:tc>
              <w:tc>
                <w:tcPr>
                  <w:tcW w:w="944" w:type="pct"/>
                  <w:gridSpan w:val="2"/>
                  <w:vMerge w:val="restart"/>
                  <w:vAlign w:val="center"/>
                </w:tcPr>
                <w:p w14:paraId="31DB528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tc>
                <w:tcPr>
                  <w:tcW w:w="1320" w:type="pct"/>
                  <w:gridSpan w:val="2"/>
                  <w:vAlign w:val="center"/>
                </w:tcPr>
                <w:p w14:paraId="493647E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涤纶机织</w:t>
                  </w:r>
                </w:p>
              </w:tc>
              <w:tc>
                <w:tcPr>
                  <w:tcW w:w="944" w:type="pct"/>
                  <w:gridSpan w:val="2"/>
                  <w:vAlign w:val="center"/>
                </w:tcPr>
                <w:p w14:paraId="5DA16B8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涤纶针刺毡</w:t>
                  </w:r>
                </w:p>
              </w:tc>
              <w:tc>
                <w:tcPr>
                  <w:tcW w:w="934" w:type="pct"/>
                  <w:gridSpan w:val="2"/>
                  <w:vAlign w:val="center"/>
                </w:tcPr>
                <w:p w14:paraId="788597F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耐高温针刺毡</w:t>
                  </w:r>
                </w:p>
              </w:tc>
              <w:tc>
                <w:tcPr>
                  <w:tcW w:w="457" w:type="pct"/>
                  <w:vMerge w:val="restart"/>
                  <w:vAlign w:val="center"/>
                </w:tcPr>
                <w:p w14:paraId="7DE5DB5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玻璃纤维机织</w:t>
                  </w:r>
                </w:p>
              </w:tc>
            </w:tr>
            <w:tr w14:paraId="40FD3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jc w:val="center"/>
              </w:trPr>
              <w:tc>
                <w:tcPr>
                  <w:tcW w:w="397" w:type="pct"/>
                  <w:vMerge w:val="continue"/>
                  <w:vAlign w:val="center"/>
                </w:tcPr>
                <w:p w14:paraId="12C9D1FE">
                  <w:pPr>
                    <w:pStyle w:val="138"/>
                    <w:rPr>
                      <w:rFonts w:cs="Times New Roman"/>
                      <w:color w:val="000000" w:themeColor="text1"/>
                      <w14:textFill>
                        <w14:solidFill>
                          <w14:schemeClr w14:val="tx1"/>
                        </w14:solidFill>
                      </w14:textFill>
                    </w:rPr>
                  </w:pPr>
                </w:p>
              </w:tc>
              <w:tc>
                <w:tcPr>
                  <w:tcW w:w="944" w:type="pct"/>
                  <w:gridSpan w:val="2"/>
                  <w:vMerge w:val="continue"/>
                  <w:vAlign w:val="center"/>
                </w:tcPr>
                <w:p w14:paraId="71A2D242">
                  <w:pPr>
                    <w:pStyle w:val="138"/>
                    <w:rPr>
                      <w:rFonts w:cs="Times New Roman"/>
                      <w:color w:val="000000" w:themeColor="text1"/>
                      <w14:textFill>
                        <w14:solidFill>
                          <w14:schemeClr w14:val="tx1"/>
                        </w14:solidFill>
                      </w14:textFill>
                    </w:rPr>
                  </w:pPr>
                </w:p>
              </w:tc>
              <w:tc>
                <w:tcPr>
                  <w:tcW w:w="633" w:type="pct"/>
                  <w:vAlign w:val="center"/>
                </w:tcPr>
                <w:p w14:paraId="4D2C2F9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729系列</w:t>
                  </w:r>
                </w:p>
              </w:tc>
              <w:tc>
                <w:tcPr>
                  <w:tcW w:w="687" w:type="pct"/>
                  <w:vAlign w:val="center"/>
                </w:tcPr>
                <w:p w14:paraId="4C98E5A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高强729系列</w:t>
                  </w:r>
                </w:p>
              </w:tc>
              <w:tc>
                <w:tcPr>
                  <w:tcW w:w="476" w:type="pct"/>
                  <w:vAlign w:val="center"/>
                </w:tcPr>
                <w:p w14:paraId="7F5A926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普通</w:t>
                  </w:r>
                </w:p>
              </w:tc>
              <w:tc>
                <w:tcPr>
                  <w:tcW w:w="468" w:type="pct"/>
                  <w:vAlign w:val="center"/>
                </w:tcPr>
                <w:p w14:paraId="2E0D25C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强力</w:t>
                  </w:r>
                </w:p>
              </w:tc>
              <w:tc>
                <w:tcPr>
                  <w:tcW w:w="468" w:type="pct"/>
                  <w:vAlign w:val="center"/>
                </w:tcPr>
                <w:p w14:paraId="444DEFE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Nomex</w:t>
                  </w:r>
                </w:p>
              </w:tc>
              <w:tc>
                <w:tcPr>
                  <w:tcW w:w="466" w:type="pct"/>
                  <w:vAlign w:val="center"/>
                </w:tcPr>
                <w:p w14:paraId="6F8C693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Ryton</w:t>
                  </w:r>
                </w:p>
              </w:tc>
              <w:tc>
                <w:tcPr>
                  <w:tcW w:w="457" w:type="pct"/>
                  <w:vMerge w:val="continue"/>
                  <w:vAlign w:val="center"/>
                </w:tcPr>
                <w:p w14:paraId="50D48CEA">
                  <w:pPr>
                    <w:pStyle w:val="138"/>
                    <w:rPr>
                      <w:rFonts w:cs="Times New Roman"/>
                      <w:color w:val="000000" w:themeColor="text1"/>
                      <w14:textFill>
                        <w14:solidFill>
                          <w14:schemeClr w14:val="tx1"/>
                        </w14:solidFill>
                      </w14:textFill>
                    </w:rPr>
                  </w:pPr>
                </w:p>
              </w:tc>
            </w:tr>
            <w:tr w14:paraId="15380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jc w:val="center"/>
              </w:trPr>
              <w:tc>
                <w:tcPr>
                  <w:tcW w:w="397" w:type="pct"/>
                  <w:vMerge w:val="restart"/>
                  <w:vAlign w:val="center"/>
                </w:tcPr>
                <w:p w14:paraId="7F73C8F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形态</w:t>
                  </w:r>
                </w:p>
              </w:tc>
              <w:tc>
                <w:tcPr>
                  <w:tcW w:w="944" w:type="pct"/>
                  <w:gridSpan w:val="2"/>
                  <w:vAlign w:val="center"/>
                </w:tcPr>
                <w:p w14:paraId="5CD16C4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单位面积质量偏</w:t>
                  </w:r>
                </w:p>
                <w:p w14:paraId="6466A7E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差%</w:t>
                  </w:r>
                </w:p>
              </w:tc>
              <w:tc>
                <w:tcPr>
                  <w:tcW w:w="633" w:type="pct"/>
                  <w:vAlign w:val="center"/>
                </w:tcPr>
                <w:p w14:paraId="14FE24F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687" w:type="pct"/>
                  <w:vAlign w:val="center"/>
                </w:tcPr>
                <w:p w14:paraId="6A60887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476" w:type="pct"/>
                  <w:vAlign w:val="center"/>
                </w:tcPr>
                <w:p w14:paraId="0DDB303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468" w:type="pct"/>
                  <w:vAlign w:val="center"/>
                </w:tcPr>
                <w:p w14:paraId="69EA614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468" w:type="pct"/>
                  <w:vAlign w:val="center"/>
                </w:tcPr>
                <w:p w14:paraId="3617561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466" w:type="pct"/>
                  <w:vAlign w:val="center"/>
                </w:tcPr>
                <w:p w14:paraId="0226FAA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457" w:type="pct"/>
                  <w:vAlign w:val="center"/>
                </w:tcPr>
                <w:p w14:paraId="415EEDE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p w14:paraId="0E5C9F8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r>
            <w:tr w14:paraId="1978D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jc w:val="center"/>
              </w:trPr>
              <w:tc>
                <w:tcPr>
                  <w:tcW w:w="397" w:type="pct"/>
                  <w:vMerge w:val="continue"/>
                  <w:vAlign w:val="center"/>
                </w:tcPr>
                <w:p w14:paraId="5F3488B8">
                  <w:pPr>
                    <w:pStyle w:val="138"/>
                    <w:rPr>
                      <w:rFonts w:cs="Times New Roman"/>
                      <w:color w:val="000000" w:themeColor="text1"/>
                      <w14:textFill>
                        <w14:solidFill>
                          <w14:schemeClr w14:val="tx1"/>
                        </w14:solidFill>
                      </w14:textFill>
                    </w:rPr>
                  </w:pPr>
                </w:p>
              </w:tc>
              <w:tc>
                <w:tcPr>
                  <w:tcW w:w="944" w:type="pct"/>
                  <w:gridSpan w:val="2"/>
                  <w:vAlign w:val="center"/>
                </w:tcPr>
                <w:p w14:paraId="494C1EC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厚度偏差%</w:t>
                  </w:r>
                </w:p>
              </w:tc>
              <w:tc>
                <w:tcPr>
                  <w:tcW w:w="633" w:type="pct"/>
                  <w:vAlign w:val="center"/>
                </w:tcPr>
                <w:p w14:paraId="202E860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687" w:type="pct"/>
                  <w:vAlign w:val="center"/>
                </w:tcPr>
                <w:p w14:paraId="5450436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476" w:type="pct"/>
                  <w:vAlign w:val="center"/>
                </w:tcPr>
                <w:p w14:paraId="62EA3B3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468" w:type="pct"/>
                  <w:vAlign w:val="center"/>
                </w:tcPr>
                <w:p w14:paraId="6EB3C9D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468" w:type="pct"/>
                  <w:vAlign w:val="center"/>
                </w:tcPr>
                <w:p w14:paraId="078E0C9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466" w:type="pct"/>
                  <w:vAlign w:val="center"/>
                </w:tcPr>
                <w:p w14:paraId="3F97527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457" w:type="pct"/>
                  <w:vAlign w:val="center"/>
                </w:tcPr>
                <w:p w14:paraId="7DD0A4D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14:paraId="7C750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7" w:type="pct"/>
                  <w:vMerge w:val="restart"/>
                  <w:vAlign w:val="center"/>
                </w:tcPr>
                <w:p w14:paraId="23F43A3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强力</w:t>
                  </w:r>
                </w:p>
              </w:tc>
              <w:tc>
                <w:tcPr>
                  <w:tcW w:w="513" w:type="pct"/>
                  <w:vMerge w:val="restart"/>
                  <w:vAlign w:val="center"/>
                </w:tcPr>
                <w:p w14:paraId="0AB16C8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断裂强力/N</w:t>
                  </w:r>
                </w:p>
              </w:tc>
              <w:tc>
                <w:tcPr>
                  <w:tcW w:w="431" w:type="pct"/>
                  <w:vAlign w:val="center"/>
                </w:tcPr>
                <w:p w14:paraId="0D786D4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经向</w:t>
                  </w:r>
                </w:p>
              </w:tc>
              <w:tc>
                <w:tcPr>
                  <w:tcW w:w="633" w:type="pct"/>
                  <w:vAlign w:val="center"/>
                </w:tcPr>
                <w:p w14:paraId="290A606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≥3000</w:t>
                  </w:r>
                </w:p>
              </w:tc>
              <w:tc>
                <w:tcPr>
                  <w:tcW w:w="687" w:type="pct"/>
                  <w:vAlign w:val="center"/>
                </w:tcPr>
                <w:p w14:paraId="1B90FBA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≥3800</w:t>
                  </w:r>
                </w:p>
              </w:tc>
              <w:tc>
                <w:tcPr>
                  <w:tcW w:w="476" w:type="pct"/>
                  <w:vAlign w:val="center"/>
                </w:tcPr>
                <w:p w14:paraId="252E31C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≥1000</w:t>
                  </w:r>
                </w:p>
              </w:tc>
              <w:tc>
                <w:tcPr>
                  <w:tcW w:w="468" w:type="pct"/>
                  <w:vAlign w:val="center"/>
                </w:tcPr>
                <w:p w14:paraId="1D37F86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≥1700</w:t>
                  </w:r>
                </w:p>
              </w:tc>
              <w:tc>
                <w:tcPr>
                  <w:tcW w:w="468" w:type="pct"/>
                  <w:vAlign w:val="center"/>
                </w:tcPr>
                <w:p w14:paraId="6D626F9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≥1200</w:t>
                  </w:r>
                </w:p>
              </w:tc>
              <w:tc>
                <w:tcPr>
                  <w:tcW w:w="466" w:type="pct"/>
                  <w:vAlign w:val="center"/>
                </w:tcPr>
                <w:p w14:paraId="69C37A0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≥1200</w:t>
                  </w:r>
                </w:p>
              </w:tc>
              <w:tc>
                <w:tcPr>
                  <w:tcW w:w="457" w:type="pct"/>
                  <w:vAlign w:val="center"/>
                </w:tcPr>
                <w:p w14:paraId="3087F3A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≥3000</w:t>
                  </w:r>
                </w:p>
              </w:tc>
            </w:tr>
            <w:tr w14:paraId="4CCC4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7" w:type="pct"/>
                  <w:vMerge w:val="continue"/>
                  <w:vAlign w:val="center"/>
                </w:tcPr>
                <w:p w14:paraId="563BAE30">
                  <w:pPr>
                    <w:pStyle w:val="138"/>
                    <w:rPr>
                      <w:rFonts w:cs="Times New Roman"/>
                      <w:color w:val="000000" w:themeColor="text1"/>
                      <w14:textFill>
                        <w14:solidFill>
                          <w14:schemeClr w14:val="tx1"/>
                        </w14:solidFill>
                      </w14:textFill>
                    </w:rPr>
                  </w:pPr>
                </w:p>
              </w:tc>
              <w:tc>
                <w:tcPr>
                  <w:tcW w:w="513" w:type="pct"/>
                  <w:vMerge w:val="continue"/>
                  <w:vAlign w:val="center"/>
                </w:tcPr>
                <w:p w14:paraId="7562C696">
                  <w:pPr>
                    <w:pStyle w:val="138"/>
                    <w:rPr>
                      <w:rFonts w:cs="Times New Roman"/>
                      <w:color w:val="000000" w:themeColor="text1"/>
                      <w14:textFill>
                        <w14:solidFill>
                          <w14:schemeClr w14:val="tx1"/>
                        </w14:solidFill>
                      </w14:textFill>
                    </w:rPr>
                  </w:pPr>
                </w:p>
              </w:tc>
              <w:tc>
                <w:tcPr>
                  <w:tcW w:w="431" w:type="pct"/>
                  <w:vAlign w:val="center"/>
                </w:tcPr>
                <w:p w14:paraId="35DB5FD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纬向</w:t>
                  </w:r>
                </w:p>
              </w:tc>
              <w:tc>
                <w:tcPr>
                  <w:tcW w:w="633" w:type="pct"/>
                  <w:vAlign w:val="center"/>
                </w:tcPr>
                <w:p w14:paraId="6370CF6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≥2000</w:t>
                  </w:r>
                </w:p>
              </w:tc>
              <w:tc>
                <w:tcPr>
                  <w:tcW w:w="687" w:type="pct"/>
                  <w:vAlign w:val="center"/>
                </w:tcPr>
                <w:p w14:paraId="4273A60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≥2800</w:t>
                  </w:r>
                </w:p>
              </w:tc>
              <w:tc>
                <w:tcPr>
                  <w:tcW w:w="476" w:type="pct"/>
                  <w:vAlign w:val="center"/>
                </w:tcPr>
                <w:p w14:paraId="6E6C337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≥1200</w:t>
                  </w:r>
                </w:p>
              </w:tc>
              <w:tc>
                <w:tcPr>
                  <w:tcW w:w="468" w:type="pct"/>
                  <w:vAlign w:val="center"/>
                </w:tcPr>
                <w:p w14:paraId="7BFC09C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≥1900</w:t>
                  </w:r>
                </w:p>
              </w:tc>
              <w:tc>
                <w:tcPr>
                  <w:tcW w:w="468" w:type="pct"/>
                  <w:vAlign w:val="center"/>
                </w:tcPr>
                <w:p w14:paraId="5700BAD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≥1500</w:t>
                  </w:r>
                </w:p>
              </w:tc>
              <w:tc>
                <w:tcPr>
                  <w:tcW w:w="466" w:type="pct"/>
                  <w:vAlign w:val="center"/>
                </w:tcPr>
                <w:p w14:paraId="208E9ED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≥1300</w:t>
                  </w:r>
                </w:p>
              </w:tc>
              <w:tc>
                <w:tcPr>
                  <w:tcW w:w="457" w:type="pct"/>
                  <w:vAlign w:val="center"/>
                </w:tcPr>
                <w:p w14:paraId="79523AE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≥2500</w:t>
                  </w:r>
                </w:p>
              </w:tc>
            </w:tr>
            <w:tr w14:paraId="569A6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7" w:type="pct"/>
                  <w:vMerge w:val="continue"/>
                  <w:vAlign w:val="center"/>
                </w:tcPr>
                <w:p w14:paraId="608ABAB9">
                  <w:pPr>
                    <w:pStyle w:val="138"/>
                    <w:rPr>
                      <w:rFonts w:cs="Times New Roman"/>
                      <w:color w:val="000000" w:themeColor="text1"/>
                      <w14:textFill>
                        <w14:solidFill>
                          <w14:schemeClr w14:val="tx1"/>
                        </w14:solidFill>
                      </w14:textFill>
                    </w:rPr>
                  </w:pPr>
                </w:p>
              </w:tc>
              <w:tc>
                <w:tcPr>
                  <w:tcW w:w="513" w:type="pct"/>
                  <w:vMerge w:val="restart"/>
                  <w:vAlign w:val="center"/>
                </w:tcPr>
                <w:p w14:paraId="5593CE2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断裂伸长率/%</w:t>
                  </w:r>
                </w:p>
              </w:tc>
              <w:tc>
                <w:tcPr>
                  <w:tcW w:w="431" w:type="pct"/>
                  <w:vAlign w:val="center"/>
                </w:tcPr>
                <w:p w14:paraId="68DADEB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经向</w:t>
                  </w:r>
                </w:p>
              </w:tc>
              <w:tc>
                <w:tcPr>
                  <w:tcW w:w="633" w:type="pct"/>
                  <w:vAlign w:val="center"/>
                </w:tcPr>
                <w:p w14:paraId="7767501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≤27</w:t>
                  </w:r>
                </w:p>
              </w:tc>
              <w:tc>
                <w:tcPr>
                  <w:tcW w:w="687" w:type="pct"/>
                  <w:vAlign w:val="center"/>
                </w:tcPr>
                <w:p w14:paraId="462F4C6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w:t>
                  </w:r>
                </w:p>
              </w:tc>
              <w:tc>
                <w:tcPr>
                  <w:tcW w:w="476" w:type="pct"/>
                  <w:vAlign w:val="center"/>
                </w:tcPr>
                <w:p w14:paraId="3529DB1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468" w:type="pct"/>
                  <w:vAlign w:val="center"/>
                </w:tcPr>
                <w:p w14:paraId="5535CBC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p>
              </w:tc>
              <w:tc>
                <w:tcPr>
                  <w:tcW w:w="468" w:type="pct"/>
                  <w:vAlign w:val="center"/>
                </w:tcPr>
                <w:p w14:paraId="0CEB1C1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p>
              </w:tc>
              <w:tc>
                <w:tcPr>
                  <w:tcW w:w="466" w:type="pct"/>
                  <w:vAlign w:val="center"/>
                </w:tcPr>
                <w:p w14:paraId="3B648A6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457" w:type="pct"/>
                  <w:vAlign w:val="center"/>
                </w:tcPr>
                <w:p w14:paraId="012507B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14:paraId="3107E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7" w:type="pct"/>
                  <w:vMerge w:val="continue"/>
                  <w:vAlign w:val="center"/>
                </w:tcPr>
                <w:p w14:paraId="65E08C65">
                  <w:pPr>
                    <w:pStyle w:val="138"/>
                    <w:rPr>
                      <w:rFonts w:cs="Times New Roman"/>
                      <w:color w:val="000000" w:themeColor="text1"/>
                      <w14:textFill>
                        <w14:solidFill>
                          <w14:schemeClr w14:val="tx1"/>
                        </w14:solidFill>
                      </w14:textFill>
                    </w:rPr>
                  </w:pPr>
                </w:p>
              </w:tc>
              <w:tc>
                <w:tcPr>
                  <w:tcW w:w="513" w:type="pct"/>
                  <w:vMerge w:val="continue"/>
                  <w:vAlign w:val="center"/>
                </w:tcPr>
                <w:p w14:paraId="3D699391">
                  <w:pPr>
                    <w:pStyle w:val="138"/>
                    <w:rPr>
                      <w:rFonts w:cs="Times New Roman"/>
                      <w:color w:val="000000" w:themeColor="text1"/>
                      <w14:textFill>
                        <w14:solidFill>
                          <w14:schemeClr w14:val="tx1"/>
                        </w14:solidFill>
                      </w14:textFill>
                    </w:rPr>
                  </w:pPr>
                </w:p>
              </w:tc>
              <w:tc>
                <w:tcPr>
                  <w:tcW w:w="431" w:type="pct"/>
                  <w:vAlign w:val="center"/>
                </w:tcPr>
                <w:p w14:paraId="69FE8F2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纬向</w:t>
                  </w:r>
                </w:p>
              </w:tc>
              <w:tc>
                <w:tcPr>
                  <w:tcW w:w="633" w:type="pct"/>
                  <w:vAlign w:val="center"/>
                </w:tcPr>
                <w:p w14:paraId="1CFA14C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687" w:type="pct"/>
                  <w:vAlign w:val="center"/>
                </w:tcPr>
                <w:p w14:paraId="5389953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w:t>
                  </w:r>
                </w:p>
              </w:tc>
              <w:tc>
                <w:tcPr>
                  <w:tcW w:w="476" w:type="pct"/>
                  <w:vAlign w:val="center"/>
                </w:tcPr>
                <w:p w14:paraId="7C1AE0B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c>
                <w:tcPr>
                  <w:tcW w:w="468" w:type="pct"/>
                  <w:vAlign w:val="center"/>
                </w:tcPr>
                <w:p w14:paraId="694C571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c>
                <w:tcPr>
                  <w:tcW w:w="468" w:type="pct"/>
                  <w:vAlign w:val="center"/>
                </w:tcPr>
                <w:p w14:paraId="54607FC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c>
                <w:tcPr>
                  <w:tcW w:w="466" w:type="pct"/>
                  <w:vAlign w:val="center"/>
                </w:tcPr>
                <w:p w14:paraId="0C1E8FF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c>
                <w:tcPr>
                  <w:tcW w:w="457" w:type="pct"/>
                  <w:vAlign w:val="center"/>
                </w:tcPr>
                <w:p w14:paraId="41AD289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r>
            <w:tr w14:paraId="42225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397" w:type="pct"/>
                  <w:vMerge w:val="restart"/>
                  <w:vAlign w:val="center"/>
                </w:tcPr>
                <w:p w14:paraId="7B74457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透气性</w:t>
                  </w:r>
                </w:p>
              </w:tc>
              <w:tc>
                <w:tcPr>
                  <w:tcW w:w="944" w:type="pct"/>
                  <w:gridSpan w:val="2"/>
                  <w:vAlign w:val="center"/>
                </w:tcPr>
                <w:p w14:paraId="15581D3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透气度</w:t>
                  </w:r>
                </w:p>
                <w:p w14:paraId="20EBE58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.min)]</w:t>
                  </w:r>
                </w:p>
              </w:tc>
              <w:tc>
                <w:tcPr>
                  <w:tcW w:w="633" w:type="pct"/>
                  <w:vAlign w:val="center"/>
                </w:tcPr>
                <w:p w14:paraId="19A909D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w:t>
                  </w:r>
                </w:p>
              </w:tc>
              <w:tc>
                <w:tcPr>
                  <w:tcW w:w="687" w:type="pct"/>
                  <w:vAlign w:val="center"/>
                </w:tcPr>
                <w:p w14:paraId="1B316A4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w:t>
                  </w:r>
                </w:p>
              </w:tc>
              <w:tc>
                <w:tcPr>
                  <w:tcW w:w="476" w:type="pct"/>
                  <w:vAlign w:val="center"/>
                </w:tcPr>
                <w:p w14:paraId="0E0C0A4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w:t>
                  </w:r>
                </w:p>
              </w:tc>
              <w:tc>
                <w:tcPr>
                  <w:tcW w:w="468" w:type="pct"/>
                  <w:vAlign w:val="center"/>
                </w:tcPr>
                <w:p w14:paraId="057CAB3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w:t>
                  </w:r>
                </w:p>
              </w:tc>
              <w:tc>
                <w:tcPr>
                  <w:tcW w:w="468" w:type="pct"/>
                  <w:vAlign w:val="center"/>
                </w:tcPr>
                <w:p w14:paraId="3917764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w:t>
                  </w:r>
                </w:p>
              </w:tc>
              <w:tc>
                <w:tcPr>
                  <w:tcW w:w="466" w:type="pct"/>
                  <w:vAlign w:val="center"/>
                </w:tcPr>
                <w:p w14:paraId="6F759C5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w:t>
                  </w:r>
                </w:p>
              </w:tc>
              <w:tc>
                <w:tcPr>
                  <w:tcW w:w="457" w:type="pct"/>
                  <w:vAlign w:val="center"/>
                </w:tcPr>
                <w:p w14:paraId="6365183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1.25</w:t>
                  </w:r>
                </w:p>
              </w:tc>
            </w:tr>
            <w:tr w14:paraId="7DA4B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7" w:type="pct"/>
                  <w:vMerge w:val="continue"/>
                  <w:vAlign w:val="center"/>
                </w:tcPr>
                <w:p w14:paraId="5C9E89EA">
                  <w:pPr>
                    <w:pStyle w:val="138"/>
                    <w:rPr>
                      <w:rFonts w:cs="Times New Roman"/>
                      <w:color w:val="000000" w:themeColor="text1"/>
                      <w14:textFill>
                        <w14:solidFill>
                          <w14:schemeClr w14:val="tx1"/>
                        </w14:solidFill>
                      </w14:textFill>
                    </w:rPr>
                  </w:pPr>
                </w:p>
              </w:tc>
              <w:tc>
                <w:tcPr>
                  <w:tcW w:w="944" w:type="pct"/>
                  <w:gridSpan w:val="2"/>
                  <w:vAlign w:val="center"/>
                </w:tcPr>
                <w:p w14:paraId="4513EA3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透气性偏差%</w:t>
                  </w:r>
                </w:p>
              </w:tc>
              <w:tc>
                <w:tcPr>
                  <w:tcW w:w="633" w:type="pct"/>
                  <w:vAlign w:val="center"/>
                </w:tcPr>
                <w:p w14:paraId="620F618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687" w:type="pct"/>
                  <w:vAlign w:val="center"/>
                </w:tcPr>
                <w:p w14:paraId="4140706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476" w:type="pct"/>
                  <w:vAlign w:val="center"/>
                </w:tcPr>
                <w:p w14:paraId="25B81E0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468" w:type="pct"/>
                  <w:vAlign w:val="center"/>
                </w:tcPr>
                <w:p w14:paraId="368AF90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468" w:type="pct"/>
                  <w:vAlign w:val="center"/>
                </w:tcPr>
                <w:p w14:paraId="2C76BF5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466" w:type="pct"/>
                  <w:vAlign w:val="center"/>
                </w:tcPr>
                <w:p w14:paraId="75993B1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457" w:type="pct"/>
                  <w:vAlign w:val="center"/>
                </w:tcPr>
                <w:p w14:paraId="2732BE5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r>
            <w:tr w14:paraId="45273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7" w:type="pct"/>
                  <w:vAlign w:val="center"/>
                </w:tcPr>
                <w:p w14:paraId="7BFDAA7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阻力</w:t>
                  </w:r>
                </w:p>
              </w:tc>
              <w:tc>
                <w:tcPr>
                  <w:tcW w:w="944" w:type="pct"/>
                  <w:gridSpan w:val="2"/>
                  <w:vAlign w:val="center"/>
                </w:tcPr>
                <w:p w14:paraId="2CE6DC7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动态滤尘阻力 Pa</w:t>
                  </w:r>
                </w:p>
              </w:tc>
              <w:tc>
                <w:tcPr>
                  <w:tcW w:w="633" w:type="pct"/>
                  <w:vAlign w:val="center"/>
                </w:tcPr>
                <w:p w14:paraId="060A855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≤200</w:t>
                  </w:r>
                </w:p>
              </w:tc>
              <w:tc>
                <w:tcPr>
                  <w:tcW w:w="687" w:type="pct"/>
                  <w:vAlign w:val="center"/>
                </w:tcPr>
                <w:p w14:paraId="1D65EA6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≤150</w:t>
                  </w:r>
                </w:p>
              </w:tc>
              <w:tc>
                <w:tcPr>
                  <w:tcW w:w="476" w:type="pct"/>
                  <w:vAlign w:val="center"/>
                </w:tcPr>
                <w:p w14:paraId="033E5DF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≤180</w:t>
                  </w:r>
                </w:p>
              </w:tc>
              <w:tc>
                <w:tcPr>
                  <w:tcW w:w="468" w:type="pct"/>
                  <w:vAlign w:val="center"/>
                </w:tcPr>
                <w:p w14:paraId="32354B8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≤220</w:t>
                  </w:r>
                </w:p>
              </w:tc>
              <w:tc>
                <w:tcPr>
                  <w:tcW w:w="468" w:type="pct"/>
                  <w:vAlign w:val="center"/>
                </w:tcPr>
                <w:p w14:paraId="7C15E74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≤130</w:t>
                  </w:r>
                </w:p>
              </w:tc>
              <w:tc>
                <w:tcPr>
                  <w:tcW w:w="466" w:type="pct"/>
                  <w:vAlign w:val="center"/>
                </w:tcPr>
                <w:p w14:paraId="04A1954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≤200</w:t>
                  </w:r>
                </w:p>
              </w:tc>
              <w:tc>
                <w:tcPr>
                  <w:tcW w:w="457" w:type="pct"/>
                  <w:vAlign w:val="center"/>
                </w:tcPr>
                <w:p w14:paraId="12E14B5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≤140</w:t>
                  </w:r>
                </w:p>
              </w:tc>
            </w:tr>
            <w:tr w14:paraId="767DB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jc w:val="center"/>
              </w:trPr>
              <w:tc>
                <w:tcPr>
                  <w:tcW w:w="397" w:type="pct"/>
                  <w:vAlign w:val="center"/>
                </w:tcPr>
                <w:p w14:paraId="2ACC851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滤尘</w:t>
                  </w:r>
                </w:p>
              </w:tc>
              <w:tc>
                <w:tcPr>
                  <w:tcW w:w="944" w:type="pct"/>
                  <w:gridSpan w:val="2"/>
                  <w:vAlign w:val="center"/>
                </w:tcPr>
                <w:p w14:paraId="7B4E9EA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除尘效率%</w:t>
                  </w:r>
                </w:p>
              </w:tc>
              <w:tc>
                <w:tcPr>
                  <w:tcW w:w="633" w:type="pct"/>
                  <w:vAlign w:val="center"/>
                </w:tcPr>
                <w:p w14:paraId="3E32A65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≥99.99</w:t>
                  </w:r>
                </w:p>
              </w:tc>
              <w:tc>
                <w:tcPr>
                  <w:tcW w:w="687" w:type="pct"/>
                  <w:vAlign w:val="center"/>
                </w:tcPr>
                <w:p w14:paraId="4CBE9EB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≥99.99</w:t>
                  </w:r>
                </w:p>
              </w:tc>
              <w:tc>
                <w:tcPr>
                  <w:tcW w:w="476" w:type="pct"/>
                  <w:vAlign w:val="center"/>
                </w:tcPr>
                <w:p w14:paraId="0547C08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≥99.99</w:t>
                  </w:r>
                </w:p>
              </w:tc>
              <w:tc>
                <w:tcPr>
                  <w:tcW w:w="468" w:type="pct"/>
                  <w:vAlign w:val="center"/>
                </w:tcPr>
                <w:p w14:paraId="5D287A3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≥99.99</w:t>
                  </w:r>
                </w:p>
              </w:tc>
              <w:tc>
                <w:tcPr>
                  <w:tcW w:w="468" w:type="pct"/>
                  <w:vAlign w:val="center"/>
                </w:tcPr>
                <w:p w14:paraId="0639367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≥99.99</w:t>
                  </w:r>
                </w:p>
              </w:tc>
              <w:tc>
                <w:tcPr>
                  <w:tcW w:w="466" w:type="pct"/>
                  <w:vAlign w:val="center"/>
                </w:tcPr>
                <w:p w14:paraId="4E4D66C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≥99.99</w:t>
                  </w:r>
                </w:p>
              </w:tc>
              <w:tc>
                <w:tcPr>
                  <w:tcW w:w="457" w:type="pct"/>
                  <w:vAlign w:val="center"/>
                </w:tcPr>
                <w:p w14:paraId="6F91DE2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≥99.99</w:t>
                  </w:r>
                </w:p>
              </w:tc>
            </w:tr>
            <w:tr w14:paraId="09CA2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7" w:type="pct"/>
                  <w:vAlign w:val="center"/>
                </w:tcPr>
                <w:p w14:paraId="3DAC4D8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清灰</w:t>
                  </w:r>
                </w:p>
              </w:tc>
              <w:tc>
                <w:tcPr>
                  <w:tcW w:w="944" w:type="pct"/>
                  <w:gridSpan w:val="2"/>
                  <w:vAlign w:val="center"/>
                </w:tcPr>
                <w:p w14:paraId="39EBF02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粉尘剥离率%</w:t>
                  </w:r>
                </w:p>
              </w:tc>
              <w:tc>
                <w:tcPr>
                  <w:tcW w:w="633" w:type="pct"/>
                  <w:vAlign w:val="center"/>
                </w:tcPr>
                <w:p w14:paraId="76C5836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≥92</w:t>
                  </w:r>
                </w:p>
              </w:tc>
              <w:tc>
                <w:tcPr>
                  <w:tcW w:w="687" w:type="pct"/>
                  <w:vAlign w:val="center"/>
                </w:tcPr>
                <w:p w14:paraId="6463B01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w:t>
                  </w:r>
                </w:p>
              </w:tc>
              <w:tc>
                <w:tcPr>
                  <w:tcW w:w="476" w:type="pct"/>
                  <w:vAlign w:val="center"/>
                </w:tcPr>
                <w:p w14:paraId="0570039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w:t>
                  </w:r>
                </w:p>
              </w:tc>
              <w:tc>
                <w:tcPr>
                  <w:tcW w:w="468" w:type="pct"/>
                  <w:vAlign w:val="center"/>
                </w:tcPr>
                <w:p w14:paraId="6E83B8B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w:t>
                  </w:r>
                </w:p>
              </w:tc>
              <w:tc>
                <w:tcPr>
                  <w:tcW w:w="468" w:type="pct"/>
                  <w:vAlign w:val="center"/>
                </w:tcPr>
                <w:p w14:paraId="0A29E85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≥92</w:t>
                  </w:r>
                </w:p>
              </w:tc>
              <w:tc>
                <w:tcPr>
                  <w:tcW w:w="466" w:type="pct"/>
                  <w:vAlign w:val="center"/>
                </w:tcPr>
                <w:p w14:paraId="15F2E90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≥92</w:t>
                  </w:r>
                </w:p>
              </w:tc>
              <w:tc>
                <w:tcPr>
                  <w:tcW w:w="457" w:type="pct"/>
                  <w:vAlign w:val="center"/>
                </w:tcPr>
                <w:p w14:paraId="7C29D62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≥95</w:t>
                  </w:r>
                </w:p>
              </w:tc>
            </w:tr>
            <w:tr w14:paraId="45E39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7" w:type="pct"/>
                  <w:vMerge w:val="restart"/>
                  <w:vAlign w:val="center"/>
                </w:tcPr>
                <w:p w14:paraId="06C7EA8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疏水</w:t>
                  </w:r>
                </w:p>
              </w:tc>
              <w:tc>
                <w:tcPr>
                  <w:tcW w:w="944" w:type="pct"/>
                  <w:gridSpan w:val="2"/>
                  <w:vAlign w:val="center"/>
                </w:tcPr>
                <w:p w14:paraId="62B663F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浸润角(°)</w:t>
                  </w:r>
                </w:p>
              </w:tc>
              <w:tc>
                <w:tcPr>
                  <w:tcW w:w="633" w:type="pct"/>
                  <w:vAlign w:val="center"/>
                </w:tcPr>
                <w:p w14:paraId="68638A1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687" w:type="pct"/>
                  <w:vAlign w:val="center"/>
                </w:tcPr>
                <w:p w14:paraId="38CBDDF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476" w:type="pct"/>
                  <w:vAlign w:val="center"/>
                </w:tcPr>
                <w:p w14:paraId="387DA02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468" w:type="pct"/>
                  <w:vAlign w:val="center"/>
                </w:tcPr>
                <w:p w14:paraId="15844ED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468" w:type="pct"/>
                  <w:vAlign w:val="center"/>
                </w:tcPr>
                <w:p w14:paraId="2B0A820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466" w:type="pct"/>
                  <w:vAlign w:val="center"/>
                </w:tcPr>
                <w:p w14:paraId="552B616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457" w:type="pct"/>
                  <w:vAlign w:val="center"/>
                </w:tcPr>
                <w:p w14:paraId="7B2124C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r>
            <w:tr w14:paraId="00F91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7" w:type="pct"/>
                  <w:vMerge w:val="continue"/>
                  <w:vAlign w:val="center"/>
                </w:tcPr>
                <w:p w14:paraId="379E76D6">
                  <w:pPr>
                    <w:pStyle w:val="138"/>
                    <w:rPr>
                      <w:rFonts w:cs="Times New Roman"/>
                      <w:color w:val="000000" w:themeColor="text1"/>
                      <w14:textFill>
                        <w14:solidFill>
                          <w14:schemeClr w14:val="tx1"/>
                        </w14:solidFill>
                      </w14:textFill>
                    </w:rPr>
                  </w:pPr>
                </w:p>
              </w:tc>
              <w:tc>
                <w:tcPr>
                  <w:tcW w:w="944" w:type="pct"/>
                  <w:gridSpan w:val="2"/>
                  <w:vAlign w:val="center"/>
                </w:tcPr>
                <w:p w14:paraId="3491635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沾水等级</w:t>
                  </w:r>
                </w:p>
              </w:tc>
              <w:tc>
                <w:tcPr>
                  <w:tcW w:w="633" w:type="pct"/>
                  <w:vAlign w:val="center"/>
                </w:tcPr>
                <w:p w14:paraId="3E1E09E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w:t>
                  </w:r>
                </w:p>
              </w:tc>
              <w:tc>
                <w:tcPr>
                  <w:tcW w:w="687" w:type="pct"/>
                  <w:vAlign w:val="center"/>
                </w:tcPr>
                <w:p w14:paraId="335AA39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w:t>
                  </w:r>
                </w:p>
              </w:tc>
              <w:tc>
                <w:tcPr>
                  <w:tcW w:w="476" w:type="pct"/>
                  <w:vAlign w:val="center"/>
                </w:tcPr>
                <w:p w14:paraId="0DBD1F0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w:t>
                  </w:r>
                </w:p>
              </w:tc>
              <w:tc>
                <w:tcPr>
                  <w:tcW w:w="468" w:type="pct"/>
                  <w:vAlign w:val="center"/>
                </w:tcPr>
                <w:p w14:paraId="1A6A320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w:t>
                  </w:r>
                </w:p>
              </w:tc>
              <w:tc>
                <w:tcPr>
                  <w:tcW w:w="468" w:type="pct"/>
                  <w:vAlign w:val="center"/>
                </w:tcPr>
                <w:p w14:paraId="4DE08C5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w:t>
                  </w:r>
                </w:p>
              </w:tc>
              <w:tc>
                <w:tcPr>
                  <w:tcW w:w="466" w:type="pct"/>
                  <w:vAlign w:val="center"/>
                </w:tcPr>
                <w:p w14:paraId="2762AD4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w:t>
                  </w:r>
                </w:p>
              </w:tc>
              <w:tc>
                <w:tcPr>
                  <w:tcW w:w="457" w:type="pct"/>
                  <w:vAlign w:val="center"/>
                </w:tcPr>
                <w:p w14:paraId="6FA0D15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w:t>
                  </w:r>
                </w:p>
              </w:tc>
            </w:tr>
            <w:tr w14:paraId="1FE5A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397" w:type="pct"/>
                  <w:vAlign w:val="center"/>
                </w:tcPr>
                <w:p w14:paraId="4E5C5A5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覆膜</w:t>
                  </w:r>
                </w:p>
                <w:p w14:paraId="51D457D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牢度</w:t>
                  </w:r>
                </w:p>
              </w:tc>
              <w:tc>
                <w:tcPr>
                  <w:tcW w:w="944" w:type="pct"/>
                  <w:gridSpan w:val="2"/>
                  <w:vAlign w:val="center"/>
                </w:tcPr>
                <w:p w14:paraId="483A40C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覆膜牢度 Mpa</w:t>
                  </w:r>
                </w:p>
              </w:tc>
              <w:tc>
                <w:tcPr>
                  <w:tcW w:w="633" w:type="pct"/>
                  <w:vAlign w:val="center"/>
                </w:tcPr>
                <w:p w14:paraId="40E1F47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0.03</w:t>
                  </w:r>
                </w:p>
              </w:tc>
              <w:tc>
                <w:tcPr>
                  <w:tcW w:w="687" w:type="pct"/>
                  <w:vAlign w:val="center"/>
                </w:tcPr>
                <w:p w14:paraId="5B744D9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0.03</w:t>
                  </w:r>
                </w:p>
              </w:tc>
              <w:tc>
                <w:tcPr>
                  <w:tcW w:w="476" w:type="pct"/>
                  <w:vAlign w:val="center"/>
                </w:tcPr>
                <w:p w14:paraId="099A181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0.03</w:t>
                  </w:r>
                </w:p>
              </w:tc>
              <w:tc>
                <w:tcPr>
                  <w:tcW w:w="468" w:type="pct"/>
                  <w:vAlign w:val="center"/>
                </w:tcPr>
                <w:p w14:paraId="1202700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0.03</w:t>
                  </w:r>
                </w:p>
              </w:tc>
              <w:tc>
                <w:tcPr>
                  <w:tcW w:w="468" w:type="pct"/>
                  <w:vAlign w:val="center"/>
                </w:tcPr>
                <w:p w14:paraId="5437281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0.03</w:t>
                  </w:r>
                </w:p>
              </w:tc>
              <w:tc>
                <w:tcPr>
                  <w:tcW w:w="466" w:type="pct"/>
                  <w:vAlign w:val="center"/>
                </w:tcPr>
                <w:p w14:paraId="3BEC0D6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0.03</w:t>
                  </w:r>
                </w:p>
              </w:tc>
              <w:tc>
                <w:tcPr>
                  <w:tcW w:w="457" w:type="pct"/>
                  <w:vAlign w:val="center"/>
                </w:tcPr>
                <w:p w14:paraId="17D5F94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0.03</w:t>
                  </w:r>
                </w:p>
              </w:tc>
            </w:tr>
          </w:tbl>
          <w:p w14:paraId="09D2507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（4）脉冲袋式除尘器净化效率论证</w:t>
            </w:r>
          </w:p>
          <w:p w14:paraId="15499C6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根据《覆膜滤料过滤性能的试验研究》的试验研究成果，覆膜滤料除尘效率可高达99.998%以上，而普通滤料除尘效率约为99.98%，覆膜滤料与普通滤料的处理效果、清灰效率比较见下表。</w:t>
            </w:r>
          </w:p>
          <w:p w14:paraId="1D9693E8">
            <w:pPr>
              <w:pStyle w:val="351"/>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覆膜滤料与普通滤料的处理效果、清灰效率比较</w:t>
            </w:r>
          </w:p>
          <w:tbl>
            <w:tblPr>
              <w:tblStyle w:val="4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15"/>
              <w:gridCol w:w="2552"/>
              <w:gridCol w:w="1733"/>
              <w:gridCol w:w="1865"/>
              <w:gridCol w:w="1868"/>
            </w:tblGrid>
            <w:tr w14:paraId="3B69A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 w:hRule="atLeast"/>
                <w:jc w:val="center"/>
              </w:trPr>
              <w:tc>
                <w:tcPr>
                  <w:tcW w:w="1315" w:type="dxa"/>
                  <w:vAlign w:val="center"/>
                </w:tcPr>
                <w:p w14:paraId="2B7D5B8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特性</w:t>
                  </w:r>
                </w:p>
              </w:tc>
              <w:tc>
                <w:tcPr>
                  <w:tcW w:w="2552" w:type="dxa"/>
                  <w:vAlign w:val="center"/>
                </w:tcPr>
                <w:p w14:paraId="23B5A3A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检测项目</w:t>
                  </w:r>
                </w:p>
              </w:tc>
              <w:tc>
                <w:tcPr>
                  <w:tcW w:w="1733" w:type="dxa"/>
                  <w:vAlign w:val="center"/>
                </w:tcPr>
                <w:p w14:paraId="581AB9F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普通滤料</w:t>
                  </w:r>
                </w:p>
              </w:tc>
              <w:tc>
                <w:tcPr>
                  <w:tcW w:w="1865" w:type="dxa"/>
                  <w:vAlign w:val="center"/>
                </w:tcPr>
                <w:p w14:paraId="6EA517C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覆膜滤料</w:t>
                  </w:r>
                </w:p>
              </w:tc>
              <w:tc>
                <w:tcPr>
                  <w:tcW w:w="1868" w:type="dxa"/>
                  <w:vAlign w:val="center"/>
                </w:tcPr>
                <w:p w14:paraId="5819650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备注</w:t>
                  </w:r>
                </w:p>
              </w:tc>
            </w:tr>
            <w:tr w14:paraId="465BA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jc w:val="center"/>
              </w:trPr>
              <w:tc>
                <w:tcPr>
                  <w:tcW w:w="1315" w:type="dxa"/>
                  <w:vMerge w:val="restart"/>
                  <w:vAlign w:val="center"/>
                </w:tcPr>
                <w:p w14:paraId="2C1EFB8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阻力特性</w:t>
                  </w:r>
                </w:p>
              </w:tc>
              <w:tc>
                <w:tcPr>
                  <w:tcW w:w="2552" w:type="dxa"/>
                  <w:vAlign w:val="center"/>
                </w:tcPr>
                <w:p w14:paraId="1ACC495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初始阻力（Pa）</w:t>
                  </w:r>
                </w:p>
              </w:tc>
              <w:tc>
                <w:tcPr>
                  <w:tcW w:w="1733" w:type="dxa"/>
                  <w:vAlign w:val="center"/>
                </w:tcPr>
                <w:p w14:paraId="035B16E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23.0</w:t>
                  </w:r>
                </w:p>
              </w:tc>
              <w:tc>
                <w:tcPr>
                  <w:tcW w:w="1865" w:type="dxa"/>
                  <w:vAlign w:val="center"/>
                </w:tcPr>
                <w:p w14:paraId="34BBA32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92.0</w:t>
                  </w:r>
                </w:p>
              </w:tc>
              <w:tc>
                <w:tcPr>
                  <w:tcW w:w="1868" w:type="dxa"/>
                  <w:vAlign w:val="center"/>
                </w:tcPr>
                <w:p w14:paraId="4A2A8ED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洁净滤料</w:t>
                  </w:r>
                </w:p>
              </w:tc>
            </w:tr>
            <w:tr w14:paraId="5B346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jc w:val="center"/>
              </w:trPr>
              <w:tc>
                <w:tcPr>
                  <w:tcW w:w="1315" w:type="dxa"/>
                  <w:vMerge w:val="continue"/>
                  <w:vAlign w:val="center"/>
                </w:tcPr>
                <w:p w14:paraId="22781520">
                  <w:pPr>
                    <w:pStyle w:val="138"/>
                    <w:rPr>
                      <w:rFonts w:cs="Times New Roman"/>
                      <w:color w:val="000000" w:themeColor="text1"/>
                      <w14:textFill>
                        <w14:solidFill>
                          <w14:schemeClr w14:val="tx1"/>
                        </w14:solidFill>
                      </w14:textFill>
                    </w:rPr>
                  </w:pPr>
                </w:p>
              </w:tc>
              <w:tc>
                <w:tcPr>
                  <w:tcW w:w="2552" w:type="dxa"/>
                  <w:vAlign w:val="center"/>
                </w:tcPr>
                <w:p w14:paraId="60C1D9F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残余阻力（Pa）</w:t>
                  </w:r>
                </w:p>
              </w:tc>
              <w:tc>
                <w:tcPr>
                  <w:tcW w:w="1733" w:type="dxa"/>
                  <w:vAlign w:val="center"/>
                </w:tcPr>
                <w:p w14:paraId="2324958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720.6</w:t>
                  </w:r>
                </w:p>
              </w:tc>
              <w:tc>
                <w:tcPr>
                  <w:tcW w:w="1865" w:type="dxa"/>
                  <w:vAlign w:val="center"/>
                </w:tcPr>
                <w:p w14:paraId="371C3A0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339.7</w:t>
                  </w:r>
                </w:p>
              </w:tc>
              <w:tc>
                <w:tcPr>
                  <w:tcW w:w="1868" w:type="dxa"/>
                  <w:vAlign w:val="center"/>
                </w:tcPr>
                <w:p w14:paraId="02E6F74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最终试验阶段</w:t>
                  </w:r>
                </w:p>
              </w:tc>
            </w:tr>
            <w:tr w14:paraId="6E1FE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 w:hRule="atLeast"/>
                <w:jc w:val="center"/>
              </w:trPr>
              <w:tc>
                <w:tcPr>
                  <w:tcW w:w="1315" w:type="dxa"/>
                  <w:vAlign w:val="center"/>
                </w:tcPr>
                <w:p w14:paraId="0B7C7CB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除尘特性</w:t>
                  </w:r>
                </w:p>
              </w:tc>
              <w:tc>
                <w:tcPr>
                  <w:tcW w:w="2552" w:type="dxa"/>
                  <w:vAlign w:val="center"/>
                </w:tcPr>
                <w:p w14:paraId="487D053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除尘效率</w:t>
                  </w:r>
                </w:p>
              </w:tc>
              <w:tc>
                <w:tcPr>
                  <w:tcW w:w="1733" w:type="dxa"/>
                  <w:vAlign w:val="center"/>
                </w:tcPr>
                <w:p w14:paraId="69C177C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99.981</w:t>
                  </w:r>
                </w:p>
              </w:tc>
              <w:tc>
                <w:tcPr>
                  <w:tcW w:w="1865" w:type="dxa"/>
                  <w:vAlign w:val="center"/>
                </w:tcPr>
                <w:p w14:paraId="5C64365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99.998</w:t>
                  </w:r>
                </w:p>
              </w:tc>
              <w:tc>
                <w:tcPr>
                  <w:tcW w:w="1868" w:type="dxa"/>
                  <w:vAlign w:val="center"/>
                </w:tcPr>
                <w:p w14:paraId="7716E84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最终试验阶段</w:t>
                  </w:r>
                </w:p>
              </w:tc>
            </w:tr>
            <w:tr w14:paraId="271CE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jc w:val="center"/>
              </w:trPr>
              <w:tc>
                <w:tcPr>
                  <w:tcW w:w="1315" w:type="dxa"/>
                  <w:vMerge w:val="restart"/>
                  <w:vAlign w:val="center"/>
                </w:tcPr>
                <w:p w14:paraId="4646BB5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清灰特性</w:t>
                  </w:r>
                </w:p>
              </w:tc>
              <w:tc>
                <w:tcPr>
                  <w:tcW w:w="2552" w:type="dxa"/>
                  <w:vAlign w:val="center"/>
                </w:tcPr>
                <w:p w14:paraId="346A757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粉尘剥离率（%）</w:t>
                  </w:r>
                </w:p>
              </w:tc>
              <w:tc>
                <w:tcPr>
                  <w:tcW w:w="1733" w:type="dxa"/>
                  <w:vAlign w:val="center"/>
                </w:tcPr>
                <w:p w14:paraId="6069569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28.6</w:t>
                  </w:r>
                </w:p>
              </w:tc>
              <w:tc>
                <w:tcPr>
                  <w:tcW w:w="1865" w:type="dxa"/>
                  <w:vAlign w:val="center"/>
                </w:tcPr>
                <w:p w14:paraId="14DA138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72.7</w:t>
                  </w:r>
                </w:p>
              </w:tc>
              <w:tc>
                <w:tcPr>
                  <w:tcW w:w="1868" w:type="dxa"/>
                  <w:vAlign w:val="center"/>
                </w:tcPr>
                <w:p w14:paraId="2EBB31E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最终试验阶段</w:t>
                  </w:r>
                </w:p>
              </w:tc>
            </w:tr>
            <w:tr w14:paraId="66A74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jc w:val="center"/>
              </w:trPr>
              <w:tc>
                <w:tcPr>
                  <w:tcW w:w="1315" w:type="dxa"/>
                  <w:vMerge w:val="continue"/>
                  <w:vAlign w:val="center"/>
                </w:tcPr>
                <w:p w14:paraId="6B11E047">
                  <w:pPr>
                    <w:pStyle w:val="138"/>
                    <w:rPr>
                      <w:rFonts w:cs="Times New Roman"/>
                      <w:color w:val="000000" w:themeColor="text1"/>
                      <w14:textFill>
                        <w14:solidFill>
                          <w14:schemeClr w14:val="tx1"/>
                        </w14:solidFill>
                      </w14:textFill>
                    </w:rPr>
                  </w:pPr>
                </w:p>
              </w:tc>
              <w:tc>
                <w:tcPr>
                  <w:tcW w:w="2552" w:type="dxa"/>
                  <w:vAlign w:val="center"/>
                </w:tcPr>
                <w:p w14:paraId="757C5C6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周期</w:t>
                  </w:r>
                </w:p>
              </w:tc>
              <w:tc>
                <w:tcPr>
                  <w:tcW w:w="1733" w:type="dxa"/>
                  <w:vAlign w:val="center"/>
                </w:tcPr>
                <w:p w14:paraId="6031491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44 分 18 秒</w:t>
                  </w:r>
                </w:p>
              </w:tc>
              <w:tc>
                <w:tcPr>
                  <w:tcW w:w="1865" w:type="dxa"/>
                  <w:vAlign w:val="center"/>
                </w:tcPr>
                <w:p w14:paraId="7CF7CFA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 分 19 秒</w:t>
                  </w:r>
                </w:p>
              </w:tc>
              <w:tc>
                <w:tcPr>
                  <w:tcW w:w="1868" w:type="dxa"/>
                  <w:vAlign w:val="center"/>
                </w:tcPr>
                <w:p w14:paraId="329704A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第一个周期</w:t>
                  </w:r>
                </w:p>
              </w:tc>
            </w:tr>
            <w:tr w14:paraId="06352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 w:hRule="atLeast"/>
                <w:jc w:val="center"/>
              </w:trPr>
              <w:tc>
                <w:tcPr>
                  <w:tcW w:w="1315" w:type="dxa"/>
                  <w:vMerge w:val="continue"/>
                  <w:vAlign w:val="center"/>
                </w:tcPr>
                <w:p w14:paraId="73F1C0A5">
                  <w:pPr>
                    <w:pStyle w:val="138"/>
                    <w:rPr>
                      <w:rFonts w:cs="Times New Roman"/>
                      <w:color w:val="000000" w:themeColor="text1"/>
                      <w14:textFill>
                        <w14:solidFill>
                          <w14:schemeClr w14:val="tx1"/>
                        </w14:solidFill>
                      </w14:textFill>
                    </w:rPr>
                  </w:pPr>
                </w:p>
              </w:tc>
              <w:tc>
                <w:tcPr>
                  <w:tcW w:w="2552" w:type="dxa"/>
                  <w:vAlign w:val="center"/>
                </w:tcPr>
                <w:p w14:paraId="6C07DB9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周期</w:t>
                  </w:r>
                </w:p>
              </w:tc>
              <w:tc>
                <w:tcPr>
                  <w:tcW w:w="1733" w:type="dxa"/>
                  <w:vAlign w:val="center"/>
                </w:tcPr>
                <w:p w14:paraId="396A86E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 分 57 秒</w:t>
                  </w:r>
                </w:p>
              </w:tc>
              <w:tc>
                <w:tcPr>
                  <w:tcW w:w="1865" w:type="dxa"/>
                  <w:vAlign w:val="center"/>
                </w:tcPr>
                <w:p w14:paraId="0FACCC3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 分 35 秒</w:t>
                  </w:r>
                </w:p>
              </w:tc>
              <w:tc>
                <w:tcPr>
                  <w:tcW w:w="1868" w:type="dxa"/>
                  <w:vAlign w:val="center"/>
                </w:tcPr>
                <w:p w14:paraId="3ABAE45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最后一个周期</w:t>
                  </w:r>
                </w:p>
              </w:tc>
            </w:tr>
          </w:tbl>
          <w:p w14:paraId="455D8906">
            <w:pPr>
              <w:spacing w:before="120"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拟建项目燃气锅炉烟尘收集后采用袋式除尘器（覆膜滤料）净化处理后颗粒物的排放浓度≤5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，符合《污染源源强核算技术指南 火电》（HJ888-2018），能够达到《关于推进实施钢铁行业超低排放的意见》（环大气[2019]35号）超低排放要求，其治理措施可行。</w:t>
            </w:r>
          </w:p>
          <w:p w14:paraId="635B5419">
            <w:pPr>
              <w:pStyle w:val="5"/>
              <w:rPr>
                <w:color w:val="000000" w:themeColor="text1"/>
                <w14:textFill>
                  <w14:solidFill>
                    <w14:schemeClr w14:val="tx1"/>
                  </w14:solidFill>
                </w14:textFill>
              </w:rPr>
            </w:pPr>
            <w:r>
              <w:rPr>
                <w:color w:val="000000" w:themeColor="text1"/>
                <w14:textFill>
                  <w14:solidFill>
                    <w14:schemeClr w14:val="tx1"/>
                  </w14:solidFill>
                </w14:textFill>
              </w:rPr>
              <w:t>脱硝治理措施</w:t>
            </w:r>
          </w:p>
          <w:p w14:paraId="1C023E0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（1）低氮燃烧技术分析</w:t>
            </w:r>
          </w:p>
          <w:p w14:paraId="25F13FB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低氮燃烧技术特征是采用燃烧优化、空气和燃料的分级燃烧、烟气再循环以及低氮燃烧器等多种型式，控制燃烧区域的温度、过剩空气量及燃料量，抑制或还原燃烧过程中生成的NO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，从而降低NO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排放。本项目采用低氮燃烧器，基于燃烧温度和燃料特性，从源头控制NOx排放浓度，NOx减排率在20~50%之间。低氮燃烧技术是通过合理配置炉内流场、温度场及物料分布以改变NOx的生成环境，从而降低炉膛出口NOx排放的技术。低氮燃烧器技术是通过特殊设计的燃烧器结构，控制燃烧器喉部燃料和空气的动量及流动方向，使燃烧器出口实现分级送风并与燃料合理配比，减少NOx生成的技术。</w:t>
            </w:r>
          </w:p>
          <w:p w14:paraId="191B1EC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（2）SCR脱氮技术分析</w:t>
            </w:r>
          </w:p>
          <w:p w14:paraId="03C9CD8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拟建项目烟气末端治理采用选择性催化还原脱硝技术（SCR），利用还原剂NH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将NOx还原为N</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该技术成熟可靠、运行稳定，具有较高的脱硝效率，目前已被广泛应用在火力发电锅炉及燃气发电机组烟气净化脱硝。SCR所用的催化剂为锰系催化剂，这种类催化剂在300~400℃温度下对NO具有很高的活性，在锅炉烟气条件下，脱硝效率可达到85%以上。选择性催化还原烟气脱硝系统一般与脱硫系统配套成烟气综合治理设施进行应用，具有系统简单，占地少，建设投资省等优点。</w:t>
            </w:r>
          </w:p>
          <w:p w14:paraId="1429C63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在锅炉燃烧的烟气中氮氧化物包含了NO和NO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，而NO占到烟气中NOx的90%以上，SCR系统脱硝原理为SCR脱硝系统是向催化剂上游的烟气中喷入氨或其它合适的还原剂，利用催化剂将烟气中的NOx转化为氮气和水，系统内化学反应主要为：NO+NO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+2NH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→2N</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+3H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在通常的设计中，使用液态无水氨或氨水（氨的水溶液），利用喷氨格栅将其喷入SCR反应器上游的烟气中，喷入到烟气中的氨几乎完全和NOx反应。有少量氨不反应而是作为氨逃逸离开了反应器。对于新的催化剂，氨逃逸量很低，但随着催化剂失活或者表面被飞灰覆盖或堵塞，氨逃逸量就会增加，为了维持需要的NOx脱除率，就必须增加反应器中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/NOx 摩尔比。</w:t>
            </w:r>
          </w:p>
          <w:p w14:paraId="4D19BE9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（3）氨逃逸控制措施分析</w:t>
            </w:r>
          </w:p>
          <w:p w14:paraId="0728D2F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根据《火电厂烟气脱硝工程技术规范》《工业锅炉烟气治理工程技术规范》，氨水（2%～10%）为规范推荐的 SCR 脱硝还原剂。本项目SCR脱硝采用5%浓度氨水作为还原剂，相较于20%-25%高浓度氨水，5% 氨水具有安全性高、挥发性小、脱硝效率稳定、氨逃逸易于控制、系统简单、投资运行费用适中的特点，与本项目煤气锅炉、余热锅炉烟气条件匹配性好。但因单耗更大、喷射量更高，若控制不当，仍会存在氨逃逸超标风险，进而导致设备腐蚀、二次污染、监测数据失真等问题。结合本项目烟气工况及5%浓度氨水的特性，从工程控制、污染防治、应急处置三个维度，细化氨逃逸管控措施，确保氨逃逸浓度稳定达标，规避相关风险，同时补充氨逃逸达标排放可行性分析，明确管控逻辑和达标保障。</w:t>
            </w:r>
          </w:p>
          <w:p w14:paraId="7094F32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①氨逃逸工程控制措施</w:t>
            </w:r>
          </w:p>
          <w:p w14:paraId="68FD8FF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 精准控制氨水喷射量，优化氨氮摩尔比（适配5%浓度氨水）：采用“在线监测+智能调节+双重校核”联动控制模式，在脱硝反应器入口、出口分别设置NOₓ在线监测仪、氨逃逸在线监测仪，实时采集烟气中NOₓ浓度、氨逃逸浓度数据，传输至PLC控制系统。结合5%浓度氨水单耗高、调节响应快的特点，系统根据监测数据，自动调节氨水计量泵的输送量（采用变频计量泵，调节精度≤0.1L/min），将氨氮摩尔比精准控制在1.05-1.1（最佳反应比例），既确保脱硝效率，又避免氨水过量导致氨逃逸。同时，设置手动调节备用模式和流量复核装置，实时核对喷射流量与理论需求量的偏差（偏差≤5%），应对突发工况波动（如NOₓ浓度骤降、烟气流量突变），确保控制精准性。针对5%浓度氨水喷射量较大的特点，优化喷射时序，采用“分时段、分区域”喷射模式，避免局部氨水积聚。</w:t>
            </w:r>
          </w:p>
          <w:p w14:paraId="54CD284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 优化氨水喷射工艺，提升混合均匀性（适配5%浓度氨水）：采用多点均布喷射格栅（喷射点数量较20%-25%浓度氨水增加30%），将5%浓度氨水均匀喷射至脱硝反应器入口烟道，确保氨水与烟气充分混合（混合时间≥2.5s，较常规要求延长0.5s），避免局部氨水过量或不足。喷射格栅采用耐腐蚀、耐高温不锈钢材质，喷嘴选用大口径防堵塞型（孔径≥5mm），适配5%浓度氨水无明显杂质、不易结晶的特点，可灵活调节角度，适配烟气流量、流速变化；每周清理喷嘴1次，每月检查喷射格栅喷射均匀性，防止堵塞、喷射偏移导致局部氨逃逸。同时，在喷射格栅前端设置静态混合器，进一步提升5%浓度氨水与烟气的混合效果，减少局部氨水过量问题。</w:t>
            </w:r>
          </w:p>
          <w:p w14:paraId="5525F61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 优化脱硝工况，保障反应充分（从源头降低氨逃逸）：SCR脱硝最佳反应温度为280-400℃，本项目烟气温度为140-210℃，需在脱硝反应器入口设置烟气加热装置（采用蒸汽加热，能耗低、加热均匀），将烟气温度稳定提升至280℃以上，确保脱硝反应充分，减少5%浓度氨水消耗，从源头降低氨逃逸风险。同时，定期清理脱硝催化剂表面积灰（每月1次），每季度检测催化剂活性，避免催化剂活性下降导致反应不充分，进而引发氨水过量喷射；针对5%浓度氨水喷射量较大的特点，优化催化剂布置方式，增加催化剂层数（采用2-3层催化剂），提升反应效率，减少未反应氨水残留。</w:t>
            </w:r>
          </w:p>
          <w:p w14:paraId="1C8F171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 加强设备运维，保障系统稳定（适配5%浓度氨水设备需求）：定期检查5%浓度氨水储存罐、计量泵、喷射管道、阀门等设备，重点检查管道接口、阀门密封处（每周1次），排查泄漏隐患，确保设备密封良好；5%浓度氨水腐蚀性较低，管道、阀门可采用普通防腐材质，但需定期检查防腐层完整性（每半年1次），发现破损及时修复。定期校准NOₓ在线监测仪、氨逃逸在线监测仪（每月校准1次，校准误差≤±5%），确保监测数据精准；每季度检查喷射格栅、喷嘴，及时更换损坏、堵塞的部件；每年对脱硝催化剂进行检测，根据活性情况更换或再生，保障脱硝效率稳定，避免因催化剂失效导致氨逃逸超标。同时，定期检查计量泵的输送精度（每月1次），确保5%浓度氨水喷射量精准，避免因计量偏差导致氨逃逸。</w:t>
            </w:r>
          </w:p>
          <w:p w14:paraId="4C66BF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②氨逃逸污染防治措施</w:t>
            </w:r>
          </w:p>
          <w:p w14:paraId="1FAE883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严格控制氨水质量，选用纯度≥99%、浓度误差≤±0.5%的工业5%浓度氨水，避免杂质影响脱硝反应，减少氨水消耗；5%浓度氨水储存采用常压密闭式储存罐（材质选用FRP玻璃钢或碳钢防腐），设置围堰（容积≥1.2倍储存罐容积），围堰底部铺设简易防渗层（无需高压防渗），防止氨水泄漏污染土壤、水体；氨水输送采用密闭防腐管道，设置泄漏检测装置（检测精度≤1ppm），一旦发生泄漏，立即切断输送阀门，启动应急收集措施，避免氨水挥发引发氨逃逸。储存区域设置通风设施，及时排出挥发的氨气，避免积聚。</w:t>
            </w:r>
          </w:p>
          <w:p w14:paraId="285D6D5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拟建项目采用低氮燃烧器，根据《火电厂污染防治可行技术指南》（HJ2301-2017），锅炉低氮燃烧技术作为火电厂NOx 控制的首选技术，与烟气脱硝技术配合使用实现NOx达标排放或超低排放。低氮燃烧器技术通过合理配置炉内流场、温度场及物料分布以改变NOx的生成环境，从而降低炉膛出口NOx排放，NOx减排率可达20%～50%；烟气NOx再经末端SCR选择性催化还原脱硝工艺处理后排放值不高于50 mg/Nm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，可以满足《关于推进实施钢铁行业超低排放的意见》（环大气[2019]35号）中氮氧化物浓度≤50mg/m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的排放标准要求。SCR脱硝治理设施采用“在线监测+智能调节+双重校核”联动控制模式，在脱硝反应器入口、出口分别设置NOₓ在线监测仪、氨逃逸在线监测仪可有效保障氨逃逸浓度</w:t>
            </w:r>
            <w:r>
              <w:rPr>
                <w:rFonts w:cs="Times New Roman"/>
                <w:color w:val="000000" w:themeColor="text1"/>
                <w:lang w:val="zh-CN"/>
                <w14:textFill>
                  <w14:solidFill>
                    <w14:schemeClr w14:val="tx1"/>
                  </w14:solidFill>
                </w14:textFill>
              </w:rPr>
              <w:t>≤8</w:t>
            </w:r>
            <w:r>
              <w:rPr>
                <w:rFonts w:cs="Times New Roman"/>
                <w:color w:val="000000" w:themeColor="text1"/>
                <w14:textFill>
                  <w14:solidFill>
                    <w14:schemeClr w14:val="tx1"/>
                  </w14:solidFill>
                </w14:textFill>
              </w:rPr>
              <w:t xml:space="preserve"> mg/m</w:t>
            </w:r>
            <w:r>
              <w:rPr>
                <w:rFonts w:cs="Times New Roman"/>
                <w:color w:val="000000" w:themeColor="text1"/>
                <w:szCs w:val="21"/>
                <w:vertAlign w:val="superscript"/>
                <w14:textFill>
                  <w14:solidFill>
                    <w14:schemeClr w14:val="tx1"/>
                  </w14:solidFill>
                </w14:textFill>
              </w:rPr>
              <w:t>3</w:t>
            </w:r>
            <w:r>
              <w:rPr>
                <w:rFonts w:cs="Times New Roman"/>
                <w:color w:val="000000" w:themeColor="text1"/>
                <w14:textFill>
                  <w14:solidFill>
                    <w14:schemeClr w14:val="tx1"/>
                  </w14:solidFill>
                </w14:textFill>
              </w:rPr>
              <w:t>，满足《火电厂及锅炉大气污染物排放标准（征求意见稿）》（GB 13223 修订版，2026）对氨逃逸浓度的控制要求。</w:t>
            </w:r>
          </w:p>
          <w:p w14:paraId="7C917583">
            <w:pPr>
              <w:pStyle w:val="5"/>
              <w:rPr>
                <w:color w:val="000000" w:themeColor="text1"/>
                <w14:textFill>
                  <w14:solidFill>
                    <w14:schemeClr w14:val="tx1"/>
                  </w14:solidFill>
                </w14:textFill>
              </w:rPr>
            </w:pPr>
            <w:r>
              <w:rPr>
                <w:color w:val="000000" w:themeColor="text1"/>
                <w14:textFill>
                  <w14:solidFill>
                    <w14:schemeClr w14:val="tx1"/>
                  </w14:solidFill>
                </w14:textFill>
              </w:rPr>
              <w:t>脱硫治理措施</w:t>
            </w:r>
          </w:p>
          <w:p w14:paraId="25564C3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（1）脱硫工艺比选</w:t>
            </w:r>
          </w:p>
          <w:p w14:paraId="73C0BB9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目前脱硫工艺多种多样，达数百种之多，按脱硫工艺在生产中所处的部位不同可分为：燃烧前脱硫、燃烧中脱硫和燃烧后脱硫即烟气脱硫，烟气脱硫主流工艺主要包括石灰（石）-石膏湿法脱硫工艺、循环流化床半干法、小苏打干法烟气脱硫工艺和活性焦干法烟气脱硫工艺等；上述脱硫工艺方案对比如下：</w:t>
            </w:r>
          </w:p>
          <w:p w14:paraId="5A6682C9">
            <w:pPr>
              <w:pStyle w:val="351"/>
              <w:spacing w:before="120"/>
              <w:rPr>
                <w:color w:val="000000" w:themeColor="text1"/>
                <w:szCs w:val="22"/>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szCs w:val="32"/>
                <w14:textFill>
                  <w14:solidFill>
                    <w14:schemeClr w14:val="tx1"/>
                  </w14:solidFill>
                </w14:textFill>
              </w:rPr>
              <w:t>脱硫工艺方案比较一览表表</w:t>
            </w:r>
          </w:p>
          <w:tbl>
            <w:tblPr>
              <w:tblStyle w:val="46"/>
              <w:tblW w:w="8717" w:type="dxa"/>
              <w:tblInd w:w="5"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009"/>
              <w:gridCol w:w="1742"/>
              <w:gridCol w:w="1843"/>
              <w:gridCol w:w="1701"/>
              <w:gridCol w:w="2422"/>
            </w:tblGrid>
            <w:tr w14:paraId="47DCD92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009" w:type="dxa"/>
                  <w:shd w:val="clear" w:color="auto" w:fill="FFFFFF"/>
                  <w:vAlign w:val="center"/>
                </w:tcPr>
                <w:p w14:paraId="33FAD98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类别</w:t>
                  </w:r>
                </w:p>
              </w:tc>
              <w:tc>
                <w:tcPr>
                  <w:tcW w:w="1742" w:type="dxa"/>
                  <w:shd w:val="clear" w:color="auto" w:fill="FFFFFF"/>
                  <w:vAlign w:val="center"/>
                </w:tcPr>
                <w:p w14:paraId="352B420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湿法</w:t>
                  </w:r>
                </w:p>
              </w:tc>
              <w:tc>
                <w:tcPr>
                  <w:tcW w:w="1843" w:type="dxa"/>
                  <w:shd w:val="clear" w:color="auto" w:fill="FFFFFF"/>
                  <w:vAlign w:val="center"/>
                </w:tcPr>
                <w:p w14:paraId="37B0434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半干法</w:t>
                  </w:r>
                </w:p>
              </w:tc>
              <w:tc>
                <w:tcPr>
                  <w:tcW w:w="4123" w:type="dxa"/>
                  <w:gridSpan w:val="2"/>
                  <w:shd w:val="clear" w:color="auto" w:fill="FFFFFF"/>
                  <w:vAlign w:val="center"/>
                </w:tcPr>
                <w:p w14:paraId="7FEEA85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干法</w:t>
                  </w:r>
                </w:p>
              </w:tc>
            </w:tr>
            <w:tr w14:paraId="18EE1CA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009" w:type="dxa"/>
                  <w:shd w:val="clear" w:color="auto" w:fill="FFFFFF"/>
                  <w:vAlign w:val="center"/>
                </w:tcPr>
                <w:p w14:paraId="77121FE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比较项目</w:t>
                  </w:r>
                </w:p>
              </w:tc>
              <w:tc>
                <w:tcPr>
                  <w:tcW w:w="1742" w:type="dxa"/>
                  <w:shd w:val="clear" w:color="auto" w:fill="FFFFFF"/>
                  <w:vAlign w:val="center"/>
                </w:tcPr>
                <w:p w14:paraId="3F9F5E0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石灰（石）－石膏法</w:t>
                  </w:r>
                </w:p>
              </w:tc>
              <w:tc>
                <w:tcPr>
                  <w:tcW w:w="1843" w:type="dxa"/>
                  <w:shd w:val="clear" w:color="auto" w:fill="FFFFFF"/>
                  <w:vAlign w:val="center"/>
                </w:tcPr>
                <w:p w14:paraId="26394D2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循环流化床</w:t>
                  </w:r>
                </w:p>
              </w:tc>
              <w:tc>
                <w:tcPr>
                  <w:tcW w:w="1701" w:type="dxa"/>
                  <w:shd w:val="clear" w:color="auto" w:fill="FFFFFF"/>
                  <w:vAlign w:val="center"/>
                </w:tcPr>
                <w:p w14:paraId="2A835D78">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小苏打干法脱硫</w:t>
                  </w:r>
                </w:p>
              </w:tc>
              <w:tc>
                <w:tcPr>
                  <w:tcW w:w="2422" w:type="dxa"/>
                  <w:shd w:val="clear" w:color="auto" w:fill="FFFFFF"/>
                  <w:vAlign w:val="center"/>
                </w:tcPr>
                <w:p w14:paraId="35B5DB7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活性焦干法脱硫</w:t>
                  </w:r>
                </w:p>
              </w:tc>
            </w:tr>
            <w:tr w14:paraId="4177B54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3EC7FDC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技术成熟程度</w:t>
                  </w:r>
                </w:p>
              </w:tc>
              <w:tc>
                <w:tcPr>
                  <w:tcW w:w="1742" w:type="dxa"/>
                  <w:shd w:val="clear" w:color="auto" w:fill="FFFFFF"/>
                  <w:vAlign w:val="center"/>
                </w:tcPr>
                <w:p w14:paraId="1C66057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成熟</w:t>
                  </w:r>
                </w:p>
              </w:tc>
              <w:tc>
                <w:tcPr>
                  <w:tcW w:w="1843" w:type="dxa"/>
                  <w:shd w:val="clear" w:color="auto" w:fill="FFFFFF"/>
                  <w:vAlign w:val="center"/>
                </w:tcPr>
                <w:p w14:paraId="676BCAB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成熟</w:t>
                  </w:r>
                </w:p>
              </w:tc>
              <w:tc>
                <w:tcPr>
                  <w:tcW w:w="1701" w:type="dxa"/>
                  <w:shd w:val="clear" w:color="auto" w:fill="FFFFFF"/>
                  <w:vAlign w:val="center"/>
                </w:tcPr>
                <w:p w14:paraId="1665379D">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成熟</w:t>
                  </w:r>
                </w:p>
              </w:tc>
              <w:tc>
                <w:tcPr>
                  <w:tcW w:w="2422" w:type="dxa"/>
                  <w:shd w:val="clear" w:color="auto" w:fill="FFFFFF"/>
                  <w:vAlign w:val="center"/>
                </w:tcPr>
                <w:p w14:paraId="5C30F0E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成熟</w:t>
                  </w:r>
                </w:p>
              </w:tc>
            </w:tr>
            <w:tr w14:paraId="7A7AAB2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6F12E12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应用规模</w:t>
                  </w:r>
                </w:p>
              </w:tc>
              <w:tc>
                <w:tcPr>
                  <w:tcW w:w="1742" w:type="dxa"/>
                  <w:shd w:val="clear" w:color="auto" w:fill="FFFFFF"/>
                  <w:vAlign w:val="center"/>
                </w:tcPr>
                <w:p w14:paraId="1FDDD91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没有限制</w:t>
                  </w:r>
                </w:p>
              </w:tc>
              <w:tc>
                <w:tcPr>
                  <w:tcW w:w="1843" w:type="dxa"/>
                  <w:shd w:val="clear" w:color="auto" w:fill="FFFFFF"/>
                  <w:vAlign w:val="center"/>
                </w:tcPr>
                <w:p w14:paraId="2961C2F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业绩多为中小型机组</w:t>
                  </w:r>
                </w:p>
              </w:tc>
              <w:tc>
                <w:tcPr>
                  <w:tcW w:w="1701" w:type="dxa"/>
                  <w:shd w:val="clear" w:color="auto" w:fill="FFFFFF"/>
                  <w:vAlign w:val="center"/>
                </w:tcPr>
                <w:p w14:paraId="16FBFE68">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没有限制</w:t>
                  </w:r>
                </w:p>
              </w:tc>
              <w:tc>
                <w:tcPr>
                  <w:tcW w:w="2422" w:type="dxa"/>
                  <w:shd w:val="clear" w:color="auto" w:fill="FFFFFF"/>
                  <w:vAlign w:val="center"/>
                </w:tcPr>
                <w:p w14:paraId="245510A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业绩多大中型燃煤机组或烧结烟气</w:t>
                  </w:r>
                </w:p>
              </w:tc>
            </w:tr>
            <w:tr w14:paraId="1D92DF1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2E80B1D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脱硫效率</w:t>
                  </w:r>
                </w:p>
              </w:tc>
              <w:tc>
                <w:tcPr>
                  <w:tcW w:w="1742" w:type="dxa"/>
                  <w:shd w:val="clear" w:color="auto" w:fill="FFFFFF"/>
                  <w:vAlign w:val="center"/>
                </w:tcPr>
                <w:p w14:paraId="275CA36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90%以上</w:t>
                  </w:r>
                </w:p>
              </w:tc>
              <w:tc>
                <w:tcPr>
                  <w:tcW w:w="1843" w:type="dxa"/>
                  <w:shd w:val="clear" w:color="auto" w:fill="FFFFFF"/>
                  <w:vAlign w:val="center"/>
                </w:tcPr>
                <w:p w14:paraId="270C6E7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80~90%</w:t>
                  </w:r>
                </w:p>
              </w:tc>
              <w:tc>
                <w:tcPr>
                  <w:tcW w:w="1701" w:type="dxa"/>
                  <w:shd w:val="clear" w:color="auto" w:fill="FFFFFF"/>
                  <w:vAlign w:val="center"/>
                </w:tcPr>
                <w:p w14:paraId="5971BEEA">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90%以上</w:t>
                  </w:r>
                </w:p>
              </w:tc>
              <w:tc>
                <w:tcPr>
                  <w:tcW w:w="2422" w:type="dxa"/>
                  <w:shd w:val="clear" w:color="auto" w:fill="FFFFFF"/>
                  <w:vAlign w:val="center"/>
                </w:tcPr>
                <w:p w14:paraId="6AB1D7F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90%以上</w:t>
                  </w:r>
                </w:p>
              </w:tc>
            </w:tr>
            <w:tr w14:paraId="3F3F072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68904C1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吸收剂种类</w:t>
                  </w:r>
                </w:p>
              </w:tc>
              <w:tc>
                <w:tcPr>
                  <w:tcW w:w="1742" w:type="dxa"/>
                  <w:shd w:val="clear" w:color="auto" w:fill="FFFFFF"/>
                  <w:vAlign w:val="center"/>
                </w:tcPr>
                <w:p w14:paraId="2ED146F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石灰石粉/石灰粉</w:t>
                  </w:r>
                </w:p>
              </w:tc>
              <w:tc>
                <w:tcPr>
                  <w:tcW w:w="1843" w:type="dxa"/>
                  <w:shd w:val="clear" w:color="auto" w:fill="FFFFFF"/>
                  <w:vAlign w:val="center"/>
                </w:tcPr>
                <w:p w14:paraId="1318A11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石灰</w:t>
                  </w:r>
                </w:p>
              </w:tc>
              <w:tc>
                <w:tcPr>
                  <w:tcW w:w="1701" w:type="dxa"/>
                  <w:shd w:val="clear" w:color="auto" w:fill="FFFFFF"/>
                  <w:vAlign w:val="center"/>
                </w:tcPr>
                <w:p w14:paraId="187F36A7">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小苏打</w:t>
                  </w:r>
                </w:p>
              </w:tc>
              <w:tc>
                <w:tcPr>
                  <w:tcW w:w="2422" w:type="dxa"/>
                  <w:shd w:val="clear" w:color="auto" w:fill="FFFFFF"/>
                  <w:vAlign w:val="center"/>
                </w:tcPr>
                <w:p w14:paraId="0CFFB12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活性焦</w:t>
                  </w:r>
                </w:p>
              </w:tc>
            </w:tr>
            <w:tr w14:paraId="20F0C97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10FB63A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吸收剂来源</w:t>
                  </w:r>
                </w:p>
              </w:tc>
              <w:tc>
                <w:tcPr>
                  <w:tcW w:w="1742" w:type="dxa"/>
                  <w:shd w:val="clear" w:color="auto" w:fill="FFFFFF"/>
                  <w:vAlign w:val="center"/>
                </w:tcPr>
                <w:p w14:paraId="67092E9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当地可以满足</w:t>
                  </w:r>
                </w:p>
              </w:tc>
              <w:tc>
                <w:tcPr>
                  <w:tcW w:w="1843" w:type="dxa"/>
                  <w:shd w:val="clear" w:color="auto" w:fill="FFFFFF"/>
                  <w:vAlign w:val="center"/>
                </w:tcPr>
                <w:p w14:paraId="2D1A4E1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当地可以满足</w:t>
                  </w:r>
                </w:p>
              </w:tc>
              <w:tc>
                <w:tcPr>
                  <w:tcW w:w="1701" w:type="dxa"/>
                  <w:shd w:val="clear" w:color="auto" w:fill="FFFFFF"/>
                  <w:vAlign w:val="center"/>
                </w:tcPr>
                <w:p w14:paraId="48F6BDB5">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进口或国产</w:t>
                  </w:r>
                </w:p>
              </w:tc>
              <w:tc>
                <w:tcPr>
                  <w:tcW w:w="2422" w:type="dxa"/>
                  <w:shd w:val="clear" w:color="auto" w:fill="FFFFFF"/>
                  <w:vAlign w:val="center"/>
                </w:tcPr>
                <w:p w14:paraId="2C0639F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宁夏、山西等地</w:t>
                  </w:r>
                </w:p>
              </w:tc>
            </w:tr>
            <w:tr w14:paraId="54C1045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4D82843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副产物种类</w:t>
                  </w:r>
                </w:p>
              </w:tc>
              <w:tc>
                <w:tcPr>
                  <w:tcW w:w="1742" w:type="dxa"/>
                  <w:shd w:val="clear" w:color="auto" w:fill="FFFFFF"/>
                  <w:vAlign w:val="center"/>
                </w:tcPr>
                <w:p w14:paraId="180586E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石膏</w:t>
                  </w:r>
                </w:p>
              </w:tc>
              <w:tc>
                <w:tcPr>
                  <w:tcW w:w="1843" w:type="dxa"/>
                  <w:shd w:val="clear" w:color="auto" w:fill="FFFFFF"/>
                  <w:vAlign w:val="center"/>
                </w:tcPr>
                <w:p w14:paraId="709D1F4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脱硫废渣（亚硫酸钙等）</w:t>
                  </w:r>
                </w:p>
              </w:tc>
              <w:tc>
                <w:tcPr>
                  <w:tcW w:w="1701" w:type="dxa"/>
                  <w:shd w:val="clear" w:color="auto" w:fill="FFFFFF"/>
                  <w:vAlign w:val="center"/>
                </w:tcPr>
                <w:p w14:paraId="15DC64C3">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硫酸钠</w:t>
                  </w:r>
                </w:p>
              </w:tc>
              <w:tc>
                <w:tcPr>
                  <w:tcW w:w="2422" w:type="dxa"/>
                  <w:shd w:val="clear" w:color="auto" w:fill="FFFFFF"/>
                  <w:vAlign w:val="center"/>
                </w:tcPr>
                <w:p w14:paraId="725C412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液态SO2</w:t>
                  </w:r>
                </w:p>
              </w:tc>
            </w:tr>
            <w:tr w14:paraId="48ECBA0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70688EF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副产物综合利用</w:t>
                  </w:r>
                </w:p>
              </w:tc>
              <w:tc>
                <w:tcPr>
                  <w:tcW w:w="1742" w:type="dxa"/>
                  <w:shd w:val="clear" w:color="auto" w:fill="FFFFFF"/>
                  <w:vAlign w:val="center"/>
                </w:tcPr>
                <w:p w14:paraId="05B2BBD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可作水泥缓凝剂等</w:t>
                  </w:r>
                </w:p>
              </w:tc>
              <w:tc>
                <w:tcPr>
                  <w:tcW w:w="1843" w:type="dxa"/>
                  <w:shd w:val="clear" w:color="auto" w:fill="FFFFFF"/>
                  <w:vAlign w:val="center"/>
                </w:tcPr>
                <w:p w14:paraId="2C7975D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综合利用难度大</w:t>
                  </w:r>
                </w:p>
              </w:tc>
              <w:tc>
                <w:tcPr>
                  <w:tcW w:w="1701" w:type="dxa"/>
                  <w:shd w:val="clear" w:color="auto" w:fill="FFFFFF"/>
                  <w:vAlign w:val="center"/>
                </w:tcPr>
                <w:p w14:paraId="445FA3D5">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可作水泥早强剂等，商业运用市场有待开发</w:t>
                  </w:r>
                </w:p>
              </w:tc>
              <w:tc>
                <w:tcPr>
                  <w:tcW w:w="2422" w:type="dxa"/>
                  <w:shd w:val="clear" w:color="auto" w:fill="FFFFFF"/>
                  <w:vAlign w:val="center"/>
                </w:tcPr>
                <w:p w14:paraId="5C7E5D7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综合利用市场较好</w:t>
                  </w:r>
                </w:p>
              </w:tc>
            </w:tr>
            <w:tr w14:paraId="6EC46AA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14E141F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工程投资</w:t>
                  </w:r>
                </w:p>
              </w:tc>
              <w:tc>
                <w:tcPr>
                  <w:tcW w:w="1742" w:type="dxa"/>
                  <w:shd w:val="clear" w:color="auto" w:fill="FFFFFF"/>
                  <w:vAlign w:val="center"/>
                </w:tcPr>
                <w:p w14:paraId="4436329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中等</w:t>
                  </w:r>
                </w:p>
              </w:tc>
              <w:tc>
                <w:tcPr>
                  <w:tcW w:w="1843" w:type="dxa"/>
                  <w:shd w:val="clear" w:color="auto" w:fill="FFFFFF"/>
                  <w:vAlign w:val="center"/>
                </w:tcPr>
                <w:p w14:paraId="346DA61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w:t>
                  </w:r>
                </w:p>
              </w:tc>
              <w:tc>
                <w:tcPr>
                  <w:tcW w:w="1701" w:type="dxa"/>
                  <w:shd w:val="clear" w:color="auto" w:fill="FFFFFF"/>
                  <w:vAlign w:val="center"/>
                </w:tcPr>
                <w:p w14:paraId="6604DDDE">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中等</w:t>
                  </w:r>
                </w:p>
              </w:tc>
              <w:tc>
                <w:tcPr>
                  <w:tcW w:w="2422" w:type="dxa"/>
                  <w:shd w:val="clear" w:color="auto" w:fill="FFFFFF"/>
                  <w:vAlign w:val="center"/>
                </w:tcPr>
                <w:p w14:paraId="78C8752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w:t>
                  </w:r>
                </w:p>
              </w:tc>
            </w:tr>
            <w:tr w14:paraId="59E2D01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37D94D0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综合运行成本</w:t>
                  </w:r>
                </w:p>
              </w:tc>
              <w:tc>
                <w:tcPr>
                  <w:tcW w:w="1742" w:type="dxa"/>
                  <w:shd w:val="clear" w:color="auto" w:fill="FFFFFF"/>
                  <w:vAlign w:val="center"/>
                </w:tcPr>
                <w:p w14:paraId="1BCBF33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中等</w:t>
                  </w:r>
                </w:p>
              </w:tc>
              <w:tc>
                <w:tcPr>
                  <w:tcW w:w="1843" w:type="dxa"/>
                  <w:shd w:val="clear" w:color="auto" w:fill="FFFFFF"/>
                  <w:vAlign w:val="center"/>
                </w:tcPr>
                <w:p w14:paraId="5F08A19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w:t>
                  </w:r>
                </w:p>
              </w:tc>
              <w:tc>
                <w:tcPr>
                  <w:tcW w:w="1701" w:type="dxa"/>
                  <w:shd w:val="clear" w:color="auto" w:fill="FFFFFF"/>
                  <w:vAlign w:val="center"/>
                </w:tcPr>
                <w:p w14:paraId="6A793884">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中等（吸收剂高于前面两种）</w:t>
                  </w:r>
                </w:p>
              </w:tc>
              <w:tc>
                <w:tcPr>
                  <w:tcW w:w="2422" w:type="dxa"/>
                  <w:shd w:val="clear" w:color="auto" w:fill="FFFFFF"/>
                  <w:vAlign w:val="center"/>
                </w:tcPr>
                <w:p w14:paraId="6450BAA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w:t>
                  </w:r>
                </w:p>
              </w:tc>
            </w:tr>
            <w:tr w14:paraId="4316005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7C7A0D3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建设周期</w:t>
                  </w:r>
                </w:p>
              </w:tc>
              <w:tc>
                <w:tcPr>
                  <w:tcW w:w="1742" w:type="dxa"/>
                  <w:shd w:val="clear" w:color="auto" w:fill="FFFFFF"/>
                  <w:vAlign w:val="center"/>
                </w:tcPr>
                <w:p w14:paraId="5B98C7F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w:t>
                  </w:r>
                </w:p>
              </w:tc>
              <w:tc>
                <w:tcPr>
                  <w:tcW w:w="1843" w:type="dxa"/>
                  <w:shd w:val="clear" w:color="auto" w:fill="FFFFFF"/>
                  <w:vAlign w:val="center"/>
                </w:tcPr>
                <w:p w14:paraId="4FB2C96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较长</w:t>
                  </w:r>
                </w:p>
              </w:tc>
              <w:tc>
                <w:tcPr>
                  <w:tcW w:w="1701" w:type="dxa"/>
                  <w:shd w:val="clear" w:color="auto" w:fill="FFFFFF"/>
                  <w:vAlign w:val="center"/>
                </w:tcPr>
                <w:p w14:paraId="23724EBA">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短</w:t>
                  </w:r>
                </w:p>
              </w:tc>
              <w:tc>
                <w:tcPr>
                  <w:tcW w:w="2422" w:type="dxa"/>
                  <w:shd w:val="clear" w:color="auto" w:fill="FFFFFF"/>
                  <w:vAlign w:val="center"/>
                </w:tcPr>
                <w:p w14:paraId="275838A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短</w:t>
                  </w:r>
                </w:p>
              </w:tc>
            </w:tr>
            <w:tr w14:paraId="5B20F69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1A3AFF0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使用业绩</w:t>
                  </w:r>
                </w:p>
              </w:tc>
              <w:tc>
                <w:tcPr>
                  <w:tcW w:w="1742" w:type="dxa"/>
                  <w:shd w:val="clear" w:color="auto" w:fill="FFFFFF"/>
                  <w:vAlign w:val="center"/>
                </w:tcPr>
                <w:p w14:paraId="67F89DF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多，电力业绩比较多</w:t>
                  </w:r>
                </w:p>
              </w:tc>
              <w:tc>
                <w:tcPr>
                  <w:tcW w:w="1843" w:type="dxa"/>
                  <w:shd w:val="clear" w:color="auto" w:fill="FFFFFF"/>
                  <w:vAlign w:val="center"/>
                </w:tcPr>
                <w:p w14:paraId="4F211D9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中等</w:t>
                  </w:r>
                </w:p>
              </w:tc>
              <w:tc>
                <w:tcPr>
                  <w:tcW w:w="1701" w:type="dxa"/>
                  <w:shd w:val="clear" w:color="auto" w:fill="FFFFFF"/>
                  <w:vAlign w:val="center"/>
                </w:tcPr>
                <w:p w14:paraId="1E7B5155">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中等</w:t>
                  </w:r>
                </w:p>
              </w:tc>
              <w:tc>
                <w:tcPr>
                  <w:tcW w:w="2422" w:type="dxa"/>
                  <w:shd w:val="clear" w:color="auto" w:fill="FFFFFF"/>
                  <w:vAlign w:val="center"/>
                </w:tcPr>
                <w:p w14:paraId="3953CF6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中等</w:t>
                  </w:r>
                </w:p>
              </w:tc>
            </w:tr>
            <w:tr w14:paraId="102B7750">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7E2D6F1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优点</w:t>
                  </w:r>
                </w:p>
              </w:tc>
              <w:tc>
                <w:tcPr>
                  <w:tcW w:w="1742" w:type="dxa"/>
                  <w:shd w:val="clear" w:color="auto" w:fill="FFFFFF"/>
                  <w:vAlign w:val="center"/>
                </w:tcPr>
                <w:p w14:paraId="6DFAE3D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（1）技术成熟，市场占有率高；（2）脱硫效率高，一般可达95％以上；（3）副产物为石膏，有一定的利用价值；（4）投资低、占地少；（5）操作运行维护工作量少</w:t>
                  </w:r>
                </w:p>
              </w:tc>
              <w:tc>
                <w:tcPr>
                  <w:tcW w:w="1843" w:type="dxa"/>
                  <w:shd w:val="clear" w:color="auto" w:fill="FFFFFF"/>
                  <w:vAlign w:val="center"/>
                </w:tcPr>
                <w:p w14:paraId="7F8DB11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1）脱硫效率较高，可达90％以上；（2）无废水产生；（3）配套设置有除尘器，出口粉尘浓度有保障；（4）脱硫装置出口温度高于湿法脱硫，对设备无腐蚀。</w:t>
                  </w:r>
                </w:p>
              </w:tc>
              <w:tc>
                <w:tcPr>
                  <w:tcW w:w="1701" w:type="dxa"/>
                  <w:shd w:val="clear" w:color="auto" w:fill="FFFFFF"/>
                  <w:vAlign w:val="center"/>
                </w:tcPr>
                <w:p w14:paraId="2A5A76E1">
                  <w:pPr>
                    <w:pStyle w:val="138"/>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（1）技术成熟；（2）脱硫效率高，一般可达90％以上；（3）视觉效果优</w:t>
                  </w:r>
                </w:p>
              </w:tc>
              <w:tc>
                <w:tcPr>
                  <w:tcW w:w="2422" w:type="dxa"/>
                  <w:shd w:val="clear" w:color="auto" w:fill="FFFFFF"/>
                  <w:vAlign w:val="center"/>
                </w:tcPr>
                <w:p w14:paraId="3F8DF84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（1）脱硫的同时还可脱硝、除尘及脱除有害金属；</w:t>
                  </w:r>
                </w:p>
                <w:p w14:paraId="04961E4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（2）脱硫剂以煤炭为原料生产，可再生循环利用；</w:t>
                  </w:r>
                </w:p>
                <w:p w14:paraId="4391C3A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（3）副产品SO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可用于制取浓硫酸，是用途广泛的化工原料，实现资源化利用；</w:t>
                  </w:r>
                </w:p>
                <w:p w14:paraId="5258727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（4）具有良好的环保性能，无废水排放，对环境不会造成二次污染。</w:t>
                  </w:r>
                </w:p>
              </w:tc>
            </w:tr>
            <w:tr w14:paraId="2203E8F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 w:type="dxa"/>
                  <w:shd w:val="clear" w:color="auto" w:fill="FFFFFF"/>
                  <w:vAlign w:val="center"/>
                </w:tcPr>
                <w:p w14:paraId="4EB7A42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缺点</w:t>
                  </w:r>
                </w:p>
              </w:tc>
              <w:tc>
                <w:tcPr>
                  <w:tcW w:w="1742" w:type="dxa"/>
                  <w:shd w:val="clear" w:color="auto" w:fill="FFFFFF"/>
                  <w:vAlign w:val="center"/>
                </w:tcPr>
                <w:p w14:paraId="1B19E2C0">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（1）有废水产生；（2）冬天极端寒冷时视觉效果差</w:t>
                  </w:r>
                </w:p>
              </w:tc>
              <w:tc>
                <w:tcPr>
                  <w:tcW w:w="1843" w:type="dxa"/>
                  <w:shd w:val="clear" w:color="auto" w:fill="FFFFFF"/>
                  <w:vAlign w:val="center"/>
                </w:tcPr>
                <w:p w14:paraId="721D2AF4">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（1）终产物利用价值不高，需落实终产物利用途径；</w:t>
                  </w:r>
                </w:p>
                <w:p w14:paraId="3D1CDC47">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（2）占地大、投资高；</w:t>
                  </w:r>
                </w:p>
                <w:p w14:paraId="1CF00F26">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（3）运行、维护工作量较大；</w:t>
                  </w:r>
                </w:p>
                <w:p w14:paraId="65016C1B">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（4）冬天极端寒冷时视觉效果差</w:t>
                  </w:r>
                </w:p>
              </w:tc>
              <w:tc>
                <w:tcPr>
                  <w:tcW w:w="1701" w:type="dxa"/>
                  <w:shd w:val="clear" w:color="auto" w:fill="FFFFFF"/>
                  <w:vAlign w:val="center"/>
                </w:tcPr>
                <w:p w14:paraId="7D249EE3">
                  <w:pPr>
                    <w:pStyle w:val="138"/>
                    <w:jc w:val="lef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（1）布袋除尘器占地面积大，与半干法相当；</w:t>
                  </w:r>
                </w:p>
                <w:p w14:paraId="5A0B756E">
                  <w:pPr>
                    <w:pStyle w:val="138"/>
                    <w:jc w:val="left"/>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（2）吸收剂价格较高</w:t>
                  </w:r>
                </w:p>
              </w:tc>
              <w:tc>
                <w:tcPr>
                  <w:tcW w:w="2422" w:type="dxa"/>
                  <w:shd w:val="clear" w:color="auto" w:fill="FFFFFF"/>
                  <w:vAlign w:val="center"/>
                </w:tcPr>
                <w:p w14:paraId="53530D49">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（1）工艺系统复杂，包含吸附系统、再生系统、物料输送系统及其他公辅系统，工艺系统占地面积大，项目的一次性投资成本高；</w:t>
                  </w:r>
                </w:p>
                <w:p w14:paraId="0894B1D0">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（2）活性焦的价格高，物料输送过程中会产生损耗，且活性焦再生过程中需要大量能耗，工艺系统运行费用高；</w:t>
                  </w:r>
                </w:p>
                <w:p w14:paraId="679B3265">
                  <w:pPr>
                    <w:pStyle w:val="138"/>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（3）工艺在运行过程中容易产生焦粉，烟气将产生二次携带，如要达到煤气发电机组5mg/m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颗粒物排放要求，则必须加装下游除尘设施，增加了投资及运行成本。</w:t>
                  </w:r>
                </w:p>
              </w:tc>
            </w:tr>
          </w:tbl>
          <w:p w14:paraId="10BB1C1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根据以上脱硫工艺比较，可以得出以下结论：</w:t>
            </w:r>
          </w:p>
          <w:p w14:paraId="7E98C7F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①对于钢铁煤气发电，一般烟气入口的SO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浓度较低，采用活性焦干法脱硫，制酸系统难以匹配选型，本项目只能制取高浓度液态SO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作为副产品，且设备投资高、系统占地大、系统运维难度高，该工艺更适宜于烧结烟气处理，本项目不推荐。</w:t>
            </w:r>
          </w:p>
          <w:p w14:paraId="2E9B899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②循环流化床半干法脱硫工艺脱硫效率基本满足本项目，脱硫效率可达到85~90%，技术较为成熟；但相比而言，其投资费用较高，占地面积大。</w:t>
            </w:r>
          </w:p>
          <w:p w14:paraId="0D6577D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③石灰（石）－石膏湿法脱硫工艺产生的废水需增加额外的处理成本，增加“三废”处理难度。</w:t>
            </w:r>
          </w:p>
          <w:p w14:paraId="37383D5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小苏打干法脱硫工艺技术成熟，近期应用的业绩越来越多，市场占有率逐步提高，该脱硫工艺适用广泛，脱硫效率高，反应速度快，吸收剂利用率高。相比湿法脱硫工艺其在废水后续处理与“白烟”等视觉上有明显的优势。因此，本项目拟采用小苏打干法脱硫工艺。</w:t>
            </w:r>
          </w:p>
          <w:p w14:paraId="661A69B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（2）工艺反应机理</w:t>
            </w:r>
          </w:p>
          <w:p w14:paraId="19B180A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碳酸氢钠（小苏打）用作烟气脱硫的吸附剂，通过化学吸附去除烟气中的SO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，同时，它还可通过物理吸附去除一些无机和有机微量物质，其吸收速率高于钙基等吸收剂。此工艺将碳酸氢钠细粉直接喷入高温烟气中，在高温下碳酸氢钠分解生成碳酸钠Na</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CO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O和CO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w:t>
            </w:r>
          </w:p>
          <w:p w14:paraId="511A271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2NaHCO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 Na</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CO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 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p>
          <w:p w14:paraId="4A11F27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新产生的碳酸钠Na</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CO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在生成瞬间有高度的反应活性，可自发地与烟气中的硫氧化物进行下列反应：</w:t>
            </w:r>
          </w:p>
          <w:p w14:paraId="7D79C77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Na</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CO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+1/2O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=Na</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4</w:t>
            </w:r>
            <w:r>
              <w:rPr>
                <w:rFonts w:cs="Times New Roman"/>
                <w:color w:val="000000" w:themeColor="text1"/>
                <w14:textFill>
                  <w14:solidFill>
                    <w14:schemeClr w14:val="tx1"/>
                  </w14:solidFill>
                </w14:textFill>
              </w:rPr>
              <w:t>+CO</w:t>
            </w:r>
            <w:r>
              <w:rPr>
                <w:rFonts w:cs="Times New Roman"/>
                <w:color w:val="000000" w:themeColor="text1"/>
                <w:vertAlign w:val="subscript"/>
                <w14:textFill>
                  <w14:solidFill>
                    <w14:schemeClr w14:val="tx1"/>
                  </w14:solidFill>
                </w14:textFill>
              </w:rPr>
              <w:t>2</w:t>
            </w:r>
          </w:p>
          <w:p w14:paraId="5DD04C8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Na</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CO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 xml:space="preserve"> =Na</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4</w:t>
            </w:r>
            <w:r>
              <w:rPr>
                <w:rFonts w:cs="Times New Roman"/>
                <w:color w:val="000000" w:themeColor="text1"/>
                <w14:textFill>
                  <w14:solidFill>
                    <w14:schemeClr w14:val="tx1"/>
                  </w14:solidFill>
                </w14:textFill>
              </w:rPr>
              <w:t>+CO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w:t>
            </w:r>
          </w:p>
          <w:p w14:paraId="1A1DE2FF">
            <w:pPr>
              <w:pStyle w:val="44"/>
              <w:ind w:left="720"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（3）技术可行性分析</w:t>
            </w:r>
          </w:p>
          <w:p w14:paraId="366C5E7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小苏打干法脱硫</w:t>
            </w:r>
            <w:r>
              <w:rPr>
                <w:rFonts w:cs="Times New Roman"/>
                <w:color w:val="000000" w:themeColor="text1"/>
                <w:lang w:bidi="ar"/>
                <w14:textFill>
                  <w14:solidFill>
                    <w14:schemeClr w14:val="tx1"/>
                  </w14:solidFill>
                </w14:textFill>
              </w:rPr>
              <w:t>工艺技术成熟、无技术瓶颈，小苏打干法脱硫工艺自20世纪90年代开始应用，经过数十年的技术迭代，已形成成熟、完善的工艺体系，核心设备</w:t>
            </w:r>
            <w:r>
              <w:rPr>
                <w:rFonts w:cs="Times New Roman"/>
                <w:color w:val="000000" w:themeColor="text1"/>
                <w14:textFill>
                  <w14:solidFill>
                    <w14:schemeClr w14:val="tx1"/>
                  </w14:solidFill>
                </w14:textFill>
              </w:rPr>
              <w:t>（研磨机、喷射器、控制系统）均实现国产化，技术可靠性高，无核心技术瓶颈。目前，该工艺广泛应用于钢铁、电力、化工等行业的锅炉烟气脱硫，尤其是燃气锅炉、余热锅炉的中低浓度SO₂治理，技术应用案例丰富。用小苏打吸收烟气中的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是气-固相反应，反应速度快，吸收剂利用率高，且小苏打干法脱硫对烟气流量、SO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浓度等工况的变化适应性较强；在脱硫反应区内烟气流速和停留时间考虑一定的余量，以适应锅炉快速负荷的变化。</w:t>
            </w:r>
          </w:p>
          <w:p w14:paraId="283D70A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核心设备可满足项目需求，供货有保障，本工艺核心设备（小苏打储存仓、研磨机、多点喷射器、PLC控制系统）均有成熟的生产厂家，可根据本项目烟气流量、SO₂浓度等参数定制，设备供货周期短（1-2个月），安装调试简单，可与项目整体建设进度同步，不会影响项目投产时间。同时，设备维护便捷，易损件（滤袋、给料螺旋）可快速更换，保障系统连续稳定运行。</w:t>
            </w:r>
          </w:p>
          <w:p w14:paraId="7817AA0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前国家大力推行“减污降碳、绿色发展”，鼓励采用高效、节能、无废的环境治理工艺。小苏打干法脱硫无废水排放、副产物可资源化利用，符合“无废城市”建设要求，也契合钢铁行业超低排放改造政策；治理后尾气</w:t>
            </w:r>
            <w:r>
              <w:rPr>
                <w:rFonts w:cs="Times New Roman"/>
                <w:color w:val="000000" w:themeColor="text1"/>
                <w:lang w:bidi="ar"/>
                <w14:textFill>
                  <w14:solidFill>
                    <w14:schemeClr w14:val="tx1"/>
                  </w14:solidFill>
                </w14:textFill>
              </w:rPr>
              <w:t>可稳定实现</w:t>
            </w:r>
            <w:r>
              <w:rPr>
                <w:rFonts w:cs="Times New Roman"/>
                <w:color w:val="000000" w:themeColor="text1"/>
                <w14:textFill>
                  <w14:solidFill>
                    <w14:schemeClr w14:val="tx1"/>
                  </w14:solidFill>
                </w14:textFill>
              </w:rPr>
              <w:t>SO₂排放≤35mg/Nm³，满足《关于推进实施钢铁行业超低排放的意见》（环大气[2019]35号）的排放标准要求。</w:t>
            </w:r>
          </w:p>
          <w:p w14:paraId="03428ECA">
            <w:pPr>
              <w:pStyle w:val="1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（4）小苏打干法脱硫工艺系统及设备</w:t>
            </w:r>
          </w:p>
          <w:p w14:paraId="617EFB43">
            <w:pPr>
              <w:pStyle w:val="1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小苏打干法脱硫工艺系统主要由吸收剂制备系统、上料装置、粉仓系统、给料系统组成。</w:t>
            </w:r>
          </w:p>
          <w:p w14:paraId="7571B21C">
            <w:pPr>
              <w:pStyle w:val="1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①吸收剂制备系统</w:t>
            </w:r>
          </w:p>
          <w:p w14:paraId="497F70F3">
            <w:pPr>
              <w:pStyle w:val="1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拟采用外购成品小苏打。外购的小苏打（袋装）运至研磨机房内，通过设置在研磨机房顶部电动单梁悬挂起重机将小苏打粉吨袋吊运至仓顶，人工破袋完成卸料，通过设置在仓底的星型给料机将小苏打粉送入研磨机进行研磨，每台研磨机配置一座粉仓。小苏打粉（吨袋）运送至研磨机房附近时，其堆存、转运过程中需叉车配合操作。本项目设计小苏打纯度按98%计，所需的小苏打量见下表。</w:t>
            </w:r>
          </w:p>
          <w:p w14:paraId="55BCD063">
            <w:pPr>
              <w:pStyle w:val="351"/>
              <w:spacing w:before="120"/>
              <w:rPr>
                <w:snapToGrid w:val="0"/>
                <w:color w:val="000000" w:themeColor="text1"/>
                <w:sz w:val="28"/>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color w:val="000000" w:themeColor="text1"/>
                <w14:textFill>
                  <w14:solidFill>
                    <w14:schemeClr w14:val="tx1"/>
                  </w14:solidFill>
                </w14:textFill>
              </w:rPr>
              <w:t>小苏打消耗量</w:t>
            </w:r>
          </w:p>
          <w:tbl>
            <w:tblPr>
              <w:tblStyle w:val="46"/>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01"/>
              <w:gridCol w:w="1649"/>
              <w:gridCol w:w="1708"/>
              <w:gridCol w:w="1646"/>
              <w:gridCol w:w="1600"/>
            </w:tblGrid>
            <w:tr w14:paraId="2C648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17" w:type="pct"/>
                  <w:shd w:val="clear" w:color="auto" w:fill="FFFFFF"/>
                  <w:vAlign w:val="center"/>
                </w:tcPr>
                <w:p w14:paraId="489C4879">
                  <w:pPr>
                    <w:pStyle w:val="138"/>
                    <w:rPr>
                      <w:rFonts w:cs="Times New Roman"/>
                      <w:color w:val="000000" w:themeColor="text1"/>
                      <w14:textFill>
                        <w14:solidFill>
                          <w14:schemeClr w14:val="tx1"/>
                        </w14:solidFill>
                      </w14:textFill>
                    </w:rPr>
                  </w:pPr>
                </w:p>
              </w:tc>
              <w:tc>
                <w:tcPr>
                  <w:tcW w:w="969" w:type="pct"/>
                  <w:shd w:val="clear" w:color="auto" w:fill="FFFFFF"/>
                  <w:vAlign w:val="center"/>
                </w:tcPr>
                <w:p w14:paraId="4039450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烟气SO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浓度（mg/Nm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c>
                <w:tcPr>
                  <w:tcW w:w="1004" w:type="pct"/>
                  <w:shd w:val="clear" w:color="auto" w:fill="FFFFFF"/>
                  <w:vAlign w:val="center"/>
                </w:tcPr>
                <w:p w14:paraId="3F3F63E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小时耗量（t/h）</w:t>
                  </w:r>
                </w:p>
              </w:tc>
              <w:tc>
                <w:tcPr>
                  <w:tcW w:w="968" w:type="pct"/>
                  <w:shd w:val="clear" w:color="auto" w:fill="FFFFFF"/>
                  <w:vAlign w:val="center"/>
                </w:tcPr>
                <w:p w14:paraId="687CA4A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日耗量（t/d）</w:t>
                  </w:r>
                </w:p>
              </w:tc>
              <w:tc>
                <w:tcPr>
                  <w:tcW w:w="941" w:type="pct"/>
                  <w:shd w:val="clear" w:color="auto" w:fill="FFFFFF"/>
                  <w:vAlign w:val="center"/>
                </w:tcPr>
                <w:p w14:paraId="51FB55A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年耗量（t/a）</w:t>
                  </w:r>
                </w:p>
              </w:tc>
            </w:tr>
            <w:tr w14:paraId="42482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17" w:type="pct"/>
                  <w:shd w:val="clear" w:color="auto" w:fill="FFFFFF"/>
                  <w:vAlign w:val="center"/>
                </w:tcPr>
                <w:p w14:paraId="2DBF768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170t/h燃气锅炉</w:t>
                  </w:r>
                </w:p>
              </w:tc>
              <w:tc>
                <w:tcPr>
                  <w:tcW w:w="969" w:type="pct"/>
                  <w:shd w:val="clear" w:color="auto" w:fill="FFFFFF"/>
                  <w:vAlign w:val="center"/>
                </w:tcPr>
                <w:p w14:paraId="7C51E2F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200</w:t>
                  </w:r>
                </w:p>
              </w:tc>
              <w:tc>
                <w:tcPr>
                  <w:tcW w:w="1004" w:type="pct"/>
                  <w:shd w:val="clear" w:color="auto" w:fill="FFFFFF"/>
                  <w:vAlign w:val="center"/>
                </w:tcPr>
                <w:p w14:paraId="214069C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0.21</w:t>
                  </w:r>
                </w:p>
              </w:tc>
              <w:tc>
                <w:tcPr>
                  <w:tcW w:w="968" w:type="pct"/>
                  <w:shd w:val="clear" w:color="auto" w:fill="FFFFFF"/>
                  <w:vAlign w:val="center"/>
                </w:tcPr>
                <w:p w14:paraId="3EEE306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5.10</w:t>
                  </w:r>
                </w:p>
              </w:tc>
              <w:tc>
                <w:tcPr>
                  <w:tcW w:w="941" w:type="pct"/>
                  <w:shd w:val="clear" w:color="auto" w:fill="FFFFFF"/>
                  <w:vAlign w:val="center"/>
                </w:tcPr>
                <w:p w14:paraId="04B7F1D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1700</w:t>
                  </w:r>
                </w:p>
              </w:tc>
            </w:tr>
          </w:tbl>
          <w:p w14:paraId="3483456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②上料装置</w:t>
            </w:r>
          </w:p>
          <w:p w14:paraId="35AD2C9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小苏打粉上料装置为设置在研磨机房内的电动单梁悬挂起重机。通过电动单梁悬挂起重机将小苏打粉（吨袋）吊至小苏打粉仓正上方落料口处，通过人工拆袋完成卸料工作。</w:t>
            </w:r>
          </w:p>
          <w:p w14:paraId="07F54E9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③粉仓系统</w:t>
            </w:r>
          </w:p>
          <w:p w14:paraId="1FBA1DC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小苏打粉仓系统主要设备包括粉仓本体、料位计、仓壁振打器。小苏打粉仓为圆筒形。本工程共设2套小苏打粉仓，粉仓容积约为3m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，小苏打粉仓顶部开有卸料口；小苏打粉仓锥段设有低料位计，料位信号与给料装置连锁；同时为防止小苏打粉在仓内板结，在每座粉仓仓壁上配有仓壁振打器；粉仓顶部等需检修维护处设有必要的楼梯平台。</w:t>
            </w:r>
          </w:p>
          <w:p w14:paraId="0759215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④给料装置</w:t>
            </w:r>
          </w:p>
          <w:p w14:paraId="14CCE40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小苏打粉仓出口设置手动插板阀以及星型给料机，星型给料机由变频电机驱动，且与料位计、研磨机连锁，能根据现场工况快速调整送粉量以满足脱硫工艺的要求。</w:t>
            </w:r>
          </w:p>
          <w:p w14:paraId="3B4A590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本项目要求实施超低排放，对脱硫系统稳定性要求极高，综合考虑排放达标、技术可靠、投资、占地、运行成本、安全等因素，本项目采用小苏打干法烟气脱硫工艺处理，能确保二氧化硫达标排放。</w:t>
            </w:r>
          </w:p>
          <w:p w14:paraId="3FB8A46A">
            <w:pPr>
              <w:pStyle w:val="5"/>
              <w:rPr>
                <w:color w:val="000000" w:themeColor="text1"/>
                <w14:textFill>
                  <w14:solidFill>
                    <w14:schemeClr w14:val="tx1"/>
                  </w14:solidFill>
                </w14:textFill>
              </w:rPr>
            </w:pPr>
            <w:r>
              <w:rPr>
                <w:color w:val="000000" w:themeColor="text1"/>
                <w14:textFill>
                  <w14:solidFill>
                    <w14:schemeClr w14:val="tx1"/>
                  </w14:solidFill>
                </w14:textFill>
              </w:rPr>
              <w:t>小结</w:t>
            </w:r>
          </w:p>
          <w:p w14:paraId="6495A75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本项目燃气锅炉采用低氮燃烧技术，运行时的烟气经过SCR脱硝装置、干法脱硫反应塔、袋式除尘器后通过一根新建60m高、内径3.2m的烟囱排放。烟气中排放的颗粒物、SO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、NOx和氨可满足《关于推进实施钢铁行业超低排放的意见》（环大气[2019]35号）、《火电厂大气污染物排放标准》（GB 13223—2011）和《火电厂及锅炉大气污染物排放标准（征求意见稿）》（GB 13223修订版，2026）排放标准的要求。</w:t>
            </w:r>
          </w:p>
          <w:p w14:paraId="146F68B5">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废气采样口规范建设</w:t>
            </w:r>
          </w:p>
          <w:p w14:paraId="016C3BF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依据《排污许可证申请与核发技术规范 总则》（HJ 942—2018）《排污单位污染物排放口监测点位设置技术规范》（HJ 1405—2024）及《排污口规范化整治技术要求（试行）》等法律法规及标准，拟建</w:t>
            </w:r>
            <w:r>
              <w:rPr>
                <w:rFonts w:cs="Times New Roman"/>
                <w:color w:val="000000" w:themeColor="text1"/>
                <w:lang w:bidi="ar"/>
                <w14:textFill>
                  <w14:solidFill>
                    <w14:schemeClr w14:val="tx1"/>
                  </w14:solidFill>
                </w14:textFill>
              </w:rPr>
              <w:t>项目烟气</w:t>
            </w:r>
            <w:r>
              <w:rPr>
                <w:rFonts w:cs="Times New Roman"/>
                <w:color w:val="000000" w:themeColor="text1"/>
                <w14:textFill>
                  <w14:solidFill>
                    <w14:schemeClr w14:val="tx1"/>
                  </w14:solidFill>
                </w14:textFill>
              </w:rPr>
              <w:t>采样口规范建设做如下要求</w:t>
            </w:r>
            <w:r>
              <w:rPr>
                <w:rFonts w:cs="Times New Roman"/>
                <w:color w:val="000000" w:themeColor="text1"/>
                <w:lang w:bidi="ar"/>
                <w14:textFill>
                  <w14:solidFill>
                    <w14:schemeClr w14:val="tx1"/>
                  </w14:solidFill>
                </w14:textFill>
              </w:rPr>
              <w:t>。</w:t>
            </w:r>
          </w:p>
          <w:p w14:paraId="50DF1EB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（1）采样口位置规范</w:t>
            </w:r>
          </w:p>
          <w:p w14:paraId="5F3F2A1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样断面选择：优先设置在烟气管道垂直管段，避开烟道弯头、阀门、变径管等易产生涡流、断面急剧变化的部位，确保采样断面烟气流速均匀、污染物分布均匀，避免监测数据失真。具体位置需满足：距弯头、阀门、变径管下游方向不小于6倍管道直径，距上述部件上游方向不小于3倍管道直径；若受场地限制无法满足上述要求，需在采样断面设置导流装置，确保烟气流场稳定。</w:t>
            </w:r>
          </w:p>
          <w:p w14:paraId="67AE679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（2）采样口结构规范</w:t>
            </w:r>
          </w:p>
          <w:p w14:paraId="7477F73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采样孔规格：采样孔内径不小于80mm，采样孔管长不大于50mm，采用不锈钢材质（耐腐蚀、耐高温，适配脱硫后烟气温和含尘特性），避免锈蚀影响采样精度。采样孔需垂直于烟道壁开设，确保采样枪可垂直插入烟道中心位置，采集代表性烟气样品。</w:t>
            </w:r>
          </w:p>
          <w:p w14:paraId="5D2E21A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密封与防护：采样孔不使用时，需采用密封盖板、管堵或管帽封闭，确保烟道密封性，防止烟气泄漏；密封部件需采用耐高温、耐腐蚀材质，与采样孔贴合紧密，避免漏风导致监测数据偏低。同时，采样口需设置防雨、防尘装置，防止雨水、粉尘进入采样孔，污染采样管道及监测仪器。</w:t>
            </w:r>
          </w:p>
          <w:p w14:paraId="7B24219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（3）配套设施规范</w:t>
            </w:r>
          </w:p>
          <w:p w14:paraId="2426989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采样平台：每个采样口均需配套建设采样平台，平台面积不小于1.5平方米，确保监测人员可安全、便捷地操作采样设备；平台需采用防滑钢板铺设，边缘设置高度不低于1.1米的防护护栏（护栏间距不大于10cm），保障监测人员人身安全。采样孔距平台面高度控制在1.2—1.3米，便于采样操作，符合“便于采集样品、便于监测计量”的要求。</w:t>
            </w:r>
          </w:p>
          <w:p w14:paraId="4473F9E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爬梯与通道：采样平台需设置专用爬梯（或楼梯），爬梯角度控制在45°-60°，踏步宽度不小于30cm，两侧设置扶手，便于监测人员上下平台；爬梯需固定牢固，与排气筒（或烟道）连接紧密，做好防腐处理，确保长期稳定使用。若采样平台高度超过2m，需设置休息平台，缓解攀爬疲劳。</w:t>
            </w:r>
          </w:p>
          <w:p w14:paraId="1C5283D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标识与二维码：采样口旁需设置规范化信息标志牌，标志牌采用耐腐蚀材质（不锈钢或玻璃钢），尺寸不小于40cm×30cm，字体清晰、醒目，内容需包含排放口名称、污染物类型（SO₂、颗粒物、NOₓ等）、采样口编号、监测频次、执行标准、排污单位名称及联系方式等。同时，需按照《排污单位污染物排放口二维码标识技术规范》（HJ 1297—2023）要求，设置二维码标识，扫码可查看排放口基本信息、监测数据等内容，便于环保部门监管及公众监督。</w:t>
            </w:r>
          </w:p>
          <w:p w14:paraId="106F6D85">
            <w:pPr>
              <w:pStyle w:val="3"/>
              <w:rPr>
                <w:rFonts w:cs="Times New Roman"/>
                <w:color w:val="000000" w:themeColor="text1"/>
                <w14:textFill>
                  <w14:solidFill>
                    <w14:schemeClr w14:val="tx1"/>
                  </w14:solidFill>
                </w14:textFill>
              </w:rPr>
            </w:pPr>
            <w:bookmarkStart w:id="155" w:name="_Toc1246494270"/>
            <w:bookmarkStart w:id="156" w:name="_Toc230448053"/>
            <w:r>
              <w:rPr>
                <w:rFonts w:cs="Times New Roman"/>
                <w:color w:val="000000" w:themeColor="text1"/>
                <w14:textFill>
                  <w14:solidFill>
                    <w14:schemeClr w14:val="tx1"/>
                  </w14:solidFill>
                </w14:textFill>
              </w:rPr>
              <w:t>废水环境影响及保护措施</w:t>
            </w:r>
            <w:bookmarkEnd w:id="155"/>
            <w:bookmarkEnd w:id="156"/>
          </w:p>
          <w:p w14:paraId="11DD025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拟建项目废水产生源来自于净循环水系统排水、除盐水系统排水、锅炉排污水和生活污水。</w:t>
            </w:r>
          </w:p>
          <w:p w14:paraId="5EF842EE">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废水污染源</w:t>
            </w:r>
          </w:p>
          <w:p w14:paraId="6FA2981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（1）项目净循环水系统总循环水量为22480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/h，生产补水量为248m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/h，循环系统中设有旁滤过滤器及自清洗管道过滤器，旁滤水量为总循环量的5%；净循环冷却系统间歇性反冲洗水经收集后由泵提升至中央污水处理站处理后进工业新水管网回用。</w:t>
            </w:r>
          </w:p>
          <w:p w14:paraId="4E94261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净循环水冷水池强排口、旁滤过滤器反冲洗排水口、自清洗管道过滤器反冲洗排水口，均单独设置收集管道，明确标识，避免与其他废水混流。</w:t>
            </w:r>
          </w:p>
          <w:p w14:paraId="5F8CB2A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（2）项目除盐水系统产水量40m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/h，除盐水站浓水排放量为2m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w:t>
            </w:r>
          </w:p>
          <w:p w14:paraId="605672F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除盐水站RO系统浓水排放口，单独设置专用收集管道，直接接入中央污水处理站深度处理单元，避免与其他废水混合导致处理难度增加。</w:t>
            </w:r>
          </w:p>
          <w:p w14:paraId="5EB9660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（3）煤气锅炉、余热锅炉运行过程中，为控制锅水水质、防止结垢，定期排放的少量污水，属于纯水冷凝水后续排放，无其他污染物混入；锅炉排污水17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w:t>
            </w:r>
          </w:p>
          <w:p w14:paraId="04B7BD1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锅炉排污口，单独设置收集管道，并配套降温装置（冷却至40℃以下），避免高温废水对管道及处理设施造成损坏，单独接入中央污水处理站回用预处理单元。</w:t>
            </w:r>
          </w:p>
          <w:p w14:paraId="12C930FA">
            <w:pPr>
              <w:numPr>
                <w:ilvl w:val="0"/>
                <w:numId w:val="4"/>
              </w:numPr>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拟建项目初期雨水24.3m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次，具体测算过程如下：</w:t>
            </w:r>
          </w:p>
          <w:p w14:paraId="64AF3C2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初期雨水按《室外排水设计规范》（GB50014-2016）中公式推算：</w:t>
            </w:r>
          </w:p>
          <w:p w14:paraId="4B0AD198">
            <w:pPr>
              <w:pStyle w:val="138"/>
              <w:rPr>
                <w:rFonts w:cs="Times New Roman"/>
                <w:color w:val="000000" w:themeColor="text1"/>
                <w:sz w:val="24"/>
                <w:szCs w:val="32"/>
                <w14:textFill>
                  <w14:solidFill>
                    <w14:schemeClr w14:val="tx1"/>
                  </w14:solidFill>
                </w14:textFill>
              </w:rPr>
            </w:pPr>
            <w:r>
              <w:rPr>
                <w:rFonts w:cs="Times New Roman"/>
                <w:color w:val="000000" w:themeColor="text1"/>
                <w:sz w:val="24"/>
                <w:szCs w:val="32"/>
                <w14:textFill>
                  <w14:solidFill>
                    <w14:schemeClr w14:val="tx1"/>
                  </w14:solidFill>
                </w14:textFill>
              </w:rPr>
              <w:t>Q=qFψT</w:t>
            </w:r>
          </w:p>
          <w:p w14:paraId="7AB9464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式中：Q—初期雨水排水量；</w:t>
            </w:r>
          </w:p>
          <w:p w14:paraId="17A80CF9">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q—暴雨强度（L/S hm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），引用《城市及部分县城暴雨强度公式》（DBJ13-52-2003），其中罗源县暴雨强度数据q为199.97 L/S hm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p w14:paraId="67694E76">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F—汇水面积（hm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r>
              <w:rPr>
                <w:rFonts w:cs="Times New Roman"/>
                <w:color w:val="000000" w:themeColor="text1"/>
                <w:szCs w:val="18"/>
                <w14:textFill>
                  <w14:solidFill>
                    <w14:schemeClr w14:val="tx1"/>
                  </w14:solidFill>
                </w14:textFill>
              </w:rPr>
              <w:t>屋面的雨水通过雨水管道独立收集排放，露天硬化路面初期雨水进行收集处理。汇水面积F=0.15</w:t>
            </w:r>
            <w:r>
              <w:rPr>
                <w:rFonts w:cs="Times New Roman"/>
                <w:color w:val="000000" w:themeColor="text1"/>
                <w14:textFill>
                  <w14:solidFill>
                    <w14:schemeClr w14:val="tx1"/>
                  </w14:solidFill>
                </w14:textFill>
              </w:rPr>
              <w:t>hm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p w14:paraId="3D7B4F0F">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ψ—径流系数，（地面构造为混凝土地面，取0.9）；</w:t>
            </w:r>
          </w:p>
          <w:p w14:paraId="7DD446CF">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T—收集时间，一般为15min。</w:t>
            </w:r>
          </w:p>
          <w:p w14:paraId="73A9FB8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（5）生活污水：项目职工人数定员46人，生活用水定额为每人每日180 L/人•d，据此计算，新增生活用水8.28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/d，产污系数以0.85计，生活污水量为7.038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p>
          <w:p w14:paraId="68AA2E8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办公区域、卫生间排水口，单独设置生活污水收集管道，经预处理设施处理后，接入中央污水处理站综合处理单元，严禁与生产废水混流，避免污染生产废水回用水质。</w:t>
            </w:r>
          </w:p>
          <w:p w14:paraId="75D6D54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本项目废水污染源及治理措施见下表。</w:t>
            </w:r>
          </w:p>
          <w:p w14:paraId="4DD954EF">
            <w:pPr>
              <w:pStyle w:val="98"/>
              <w:spacing w:before="24" w:after="24"/>
              <w:rPr>
                <w:rFonts w:eastAsia="黑体"/>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废水污染物产生、治理措施及排放情况一览表</w:t>
            </w:r>
          </w:p>
          <w:tbl>
            <w:tblPr>
              <w:tblStyle w:val="46"/>
              <w:tblW w:w="85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266"/>
              <w:gridCol w:w="528"/>
              <w:gridCol w:w="622"/>
              <w:gridCol w:w="458"/>
              <w:gridCol w:w="666"/>
              <w:gridCol w:w="720"/>
              <w:gridCol w:w="676"/>
              <w:gridCol w:w="731"/>
              <w:gridCol w:w="513"/>
              <w:gridCol w:w="673"/>
              <w:gridCol w:w="872"/>
              <w:gridCol w:w="931"/>
              <w:gridCol w:w="851"/>
            </w:tblGrid>
            <w:tr w14:paraId="221C6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266" w:type="dxa"/>
                  <w:vMerge w:val="restart"/>
                  <w:vAlign w:val="center"/>
                </w:tcPr>
                <w:p w14:paraId="6433AC89">
                  <w:pPr>
                    <w:pStyle w:val="90"/>
                    <w:rPr>
                      <w:color w:val="000000" w:themeColor="text1"/>
                      <w14:textFill>
                        <w14:solidFill>
                          <w14:schemeClr w14:val="tx1"/>
                        </w14:solidFill>
                      </w14:textFill>
                    </w:rPr>
                  </w:pPr>
                  <w:bookmarkStart w:id="157" w:name="_Hlk140072935"/>
                  <w:r>
                    <w:rPr>
                      <w:color w:val="000000" w:themeColor="text1"/>
                      <w14:textFill>
                        <w14:solidFill>
                          <w14:schemeClr w14:val="tx1"/>
                        </w14:solidFill>
                      </w14:textFill>
                    </w:rPr>
                    <w:t>装置</w:t>
                  </w:r>
                </w:p>
              </w:tc>
              <w:tc>
                <w:tcPr>
                  <w:tcW w:w="528" w:type="dxa"/>
                  <w:vMerge w:val="restart"/>
                  <w:vAlign w:val="center"/>
                </w:tcPr>
                <w:p w14:paraId="3A39C186">
                  <w:pPr>
                    <w:pStyle w:val="90"/>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622" w:type="dxa"/>
                  <w:vMerge w:val="restart"/>
                  <w:vAlign w:val="center"/>
                </w:tcPr>
                <w:p w14:paraId="33951AF5">
                  <w:pPr>
                    <w:pStyle w:val="90"/>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520" w:type="dxa"/>
                  <w:gridSpan w:val="4"/>
                  <w:vAlign w:val="center"/>
                </w:tcPr>
                <w:p w14:paraId="0D779010">
                  <w:pPr>
                    <w:pStyle w:val="90"/>
                    <w:rPr>
                      <w:color w:val="000000" w:themeColor="text1"/>
                      <w14:textFill>
                        <w14:solidFill>
                          <w14:schemeClr w14:val="tx1"/>
                        </w14:solidFill>
                      </w14:textFill>
                    </w:rPr>
                  </w:pPr>
                  <w:r>
                    <w:rPr>
                      <w:color w:val="000000" w:themeColor="text1"/>
                      <w14:textFill>
                        <w14:solidFill>
                          <w14:schemeClr w14:val="tx1"/>
                        </w14:solidFill>
                      </w14:textFill>
                    </w:rPr>
                    <w:t>污染物产生</w:t>
                  </w:r>
                </w:p>
              </w:tc>
              <w:tc>
                <w:tcPr>
                  <w:tcW w:w="1244" w:type="dxa"/>
                  <w:gridSpan w:val="2"/>
                  <w:tcBorders>
                    <w:right w:val="single" w:color="auto" w:sz="6" w:space="0"/>
                  </w:tcBorders>
                  <w:vAlign w:val="center"/>
                </w:tcPr>
                <w:p w14:paraId="4C960003">
                  <w:pPr>
                    <w:pStyle w:val="90"/>
                    <w:rPr>
                      <w:color w:val="000000" w:themeColor="text1"/>
                      <w14:textFill>
                        <w14:solidFill>
                          <w14:schemeClr w14:val="tx1"/>
                        </w14:solidFill>
                      </w14:textFill>
                    </w:rPr>
                  </w:pPr>
                  <w:r>
                    <w:rPr>
                      <w:color w:val="000000" w:themeColor="text1"/>
                      <w14:textFill>
                        <w14:solidFill>
                          <w14:schemeClr w14:val="tx1"/>
                        </w14:solidFill>
                      </w14:textFill>
                    </w:rPr>
                    <w:t>治理措施</w:t>
                  </w:r>
                </w:p>
              </w:tc>
              <w:tc>
                <w:tcPr>
                  <w:tcW w:w="3327" w:type="dxa"/>
                  <w:gridSpan w:val="4"/>
                  <w:tcBorders>
                    <w:top w:val="single" w:color="auto" w:sz="6" w:space="0"/>
                    <w:left w:val="single" w:color="auto" w:sz="6" w:space="0"/>
                    <w:bottom w:val="single" w:color="auto" w:sz="6" w:space="0"/>
                    <w:right w:val="single" w:color="auto" w:sz="6" w:space="0"/>
                  </w:tcBorders>
                  <w:vAlign w:val="center"/>
                </w:tcPr>
                <w:p w14:paraId="4AB76880">
                  <w:pPr>
                    <w:pStyle w:val="90"/>
                    <w:rPr>
                      <w:color w:val="000000" w:themeColor="text1"/>
                      <w14:textFill>
                        <w14:solidFill>
                          <w14:schemeClr w14:val="tx1"/>
                        </w14:solidFill>
                      </w14:textFill>
                    </w:rPr>
                  </w:pPr>
                  <w:r>
                    <w:rPr>
                      <w:color w:val="000000" w:themeColor="text1"/>
                      <w14:textFill>
                        <w14:solidFill>
                          <w14:schemeClr w14:val="tx1"/>
                        </w14:solidFill>
                      </w14:textFill>
                    </w:rPr>
                    <w:t>污染物排放</w:t>
                  </w:r>
                </w:p>
              </w:tc>
            </w:tr>
            <w:tr w14:paraId="07C0F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266" w:type="dxa"/>
                  <w:vMerge w:val="continue"/>
                  <w:vAlign w:val="center"/>
                </w:tcPr>
                <w:p w14:paraId="6CEFA984">
                  <w:pPr>
                    <w:pStyle w:val="90"/>
                    <w:rPr>
                      <w:color w:val="000000" w:themeColor="text1"/>
                      <w14:textFill>
                        <w14:solidFill>
                          <w14:schemeClr w14:val="tx1"/>
                        </w14:solidFill>
                      </w14:textFill>
                    </w:rPr>
                  </w:pPr>
                </w:p>
              </w:tc>
              <w:tc>
                <w:tcPr>
                  <w:tcW w:w="528" w:type="dxa"/>
                  <w:vMerge w:val="continue"/>
                  <w:vAlign w:val="center"/>
                </w:tcPr>
                <w:p w14:paraId="7D643CB9">
                  <w:pPr>
                    <w:pStyle w:val="90"/>
                    <w:rPr>
                      <w:color w:val="000000" w:themeColor="text1"/>
                      <w14:textFill>
                        <w14:solidFill>
                          <w14:schemeClr w14:val="tx1"/>
                        </w14:solidFill>
                      </w14:textFill>
                    </w:rPr>
                  </w:pPr>
                </w:p>
              </w:tc>
              <w:tc>
                <w:tcPr>
                  <w:tcW w:w="622" w:type="dxa"/>
                  <w:vMerge w:val="continue"/>
                  <w:vAlign w:val="center"/>
                </w:tcPr>
                <w:p w14:paraId="355EBE0A">
                  <w:pPr>
                    <w:pStyle w:val="90"/>
                    <w:rPr>
                      <w:color w:val="000000" w:themeColor="text1"/>
                      <w14:textFill>
                        <w14:solidFill>
                          <w14:schemeClr w14:val="tx1"/>
                        </w14:solidFill>
                      </w14:textFill>
                    </w:rPr>
                  </w:pPr>
                </w:p>
              </w:tc>
              <w:tc>
                <w:tcPr>
                  <w:tcW w:w="458" w:type="dxa"/>
                  <w:vAlign w:val="center"/>
                </w:tcPr>
                <w:p w14:paraId="55E7D688">
                  <w:pPr>
                    <w:pStyle w:val="90"/>
                    <w:rPr>
                      <w:color w:val="000000" w:themeColor="text1"/>
                      <w14:textFill>
                        <w14:solidFill>
                          <w14:schemeClr w14:val="tx1"/>
                        </w14:solidFill>
                      </w14:textFill>
                    </w:rPr>
                  </w:pPr>
                  <w:r>
                    <w:rPr>
                      <w:color w:val="000000" w:themeColor="text1"/>
                      <w14:textFill>
                        <w14:solidFill>
                          <w14:schemeClr w14:val="tx1"/>
                        </w14:solidFill>
                      </w14:textFill>
                    </w:rPr>
                    <w:t>核算方法</w:t>
                  </w:r>
                </w:p>
              </w:tc>
              <w:tc>
                <w:tcPr>
                  <w:tcW w:w="666" w:type="dxa"/>
                  <w:vAlign w:val="center"/>
                </w:tcPr>
                <w:p w14:paraId="0B4E9C79">
                  <w:pPr>
                    <w:pStyle w:val="90"/>
                    <w:rPr>
                      <w:color w:val="000000" w:themeColor="text1"/>
                      <w14:textFill>
                        <w14:solidFill>
                          <w14:schemeClr w14:val="tx1"/>
                        </w14:solidFill>
                      </w14:textFill>
                    </w:rPr>
                  </w:pPr>
                  <w:r>
                    <w:rPr>
                      <w:color w:val="000000" w:themeColor="text1"/>
                      <w14:textFill>
                        <w14:solidFill>
                          <w14:schemeClr w14:val="tx1"/>
                        </w14:solidFill>
                      </w14:textFill>
                    </w:rPr>
                    <w:t>产生废水量/</w:t>
                  </w:r>
                </w:p>
                <w:p w14:paraId="41597D7B">
                  <w:pPr>
                    <w:pStyle w:val="9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720" w:type="dxa"/>
                  <w:vAlign w:val="center"/>
                </w:tcPr>
                <w:p w14:paraId="53D8A3D6">
                  <w:pPr>
                    <w:pStyle w:val="90"/>
                    <w:rPr>
                      <w:color w:val="000000" w:themeColor="text1"/>
                      <w14:textFill>
                        <w14:solidFill>
                          <w14:schemeClr w14:val="tx1"/>
                        </w14:solidFill>
                      </w14:textFill>
                    </w:rPr>
                  </w:pPr>
                  <w:r>
                    <w:rPr>
                      <w:color w:val="000000" w:themeColor="text1"/>
                      <w14:textFill>
                        <w14:solidFill>
                          <w14:schemeClr w14:val="tx1"/>
                        </w14:solidFill>
                      </w14:textFill>
                    </w:rPr>
                    <w:t>产生质量浓度/</w:t>
                  </w:r>
                </w:p>
                <w:p w14:paraId="1510AA35">
                  <w:pPr>
                    <w:pStyle w:val="9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676" w:type="dxa"/>
                  <w:vAlign w:val="center"/>
                </w:tcPr>
                <w:p w14:paraId="4A03680D">
                  <w:pPr>
                    <w:pStyle w:val="90"/>
                    <w:rPr>
                      <w:color w:val="000000" w:themeColor="text1"/>
                      <w14:textFill>
                        <w14:solidFill>
                          <w14:schemeClr w14:val="tx1"/>
                        </w14:solidFill>
                      </w14:textFill>
                    </w:rPr>
                  </w:pPr>
                  <w:r>
                    <w:rPr>
                      <w:color w:val="000000" w:themeColor="text1"/>
                      <w14:textFill>
                        <w14:solidFill>
                          <w14:schemeClr w14:val="tx1"/>
                        </w14:solidFill>
                      </w14:textFill>
                    </w:rPr>
                    <w:t>产生量/（kg/h）</w:t>
                  </w:r>
                </w:p>
              </w:tc>
              <w:tc>
                <w:tcPr>
                  <w:tcW w:w="731" w:type="dxa"/>
                  <w:vAlign w:val="center"/>
                </w:tcPr>
                <w:p w14:paraId="056A474A">
                  <w:pPr>
                    <w:pStyle w:val="90"/>
                    <w:rPr>
                      <w:color w:val="000000" w:themeColor="text1"/>
                      <w14:textFill>
                        <w14:solidFill>
                          <w14:schemeClr w14:val="tx1"/>
                        </w14:solidFill>
                      </w14:textFill>
                    </w:rPr>
                  </w:pPr>
                  <w:r>
                    <w:rPr>
                      <w:color w:val="000000" w:themeColor="text1"/>
                      <w14:textFill>
                        <w14:solidFill>
                          <w14:schemeClr w14:val="tx1"/>
                        </w14:solidFill>
                      </w14:textFill>
                    </w:rPr>
                    <w:t>工艺</w:t>
                  </w:r>
                </w:p>
              </w:tc>
              <w:tc>
                <w:tcPr>
                  <w:tcW w:w="513" w:type="dxa"/>
                  <w:vAlign w:val="center"/>
                </w:tcPr>
                <w:p w14:paraId="62EF7E78">
                  <w:pPr>
                    <w:pStyle w:val="90"/>
                    <w:rPr>
                      <w:color w:val="000000" w:themeColor="text1"/>
                      <w14:textFill>
                        <w14:solidFill>
                          <w14:schemeClr w14:val="tx1"/>
                        </w14:solidFill>
                      </w14:textFill>
                    </w:rPr>
                  </w:pPr>
                  <w:r>
                    <w:rPr>
                      <w:color w:val="000000" w:themeColor="text1"/>
                      <w14:textFill>
                        <w14:solidFill>
                          <w14:schemeClr w14:val="tx1"/>
                        </w14:solidFill>
                      </w14:textFill>
                    </w:rPr>
                    <w:t>效率/</w:t>
                  </w:r>
                </w:p>
                <w:p w14:paraId="3357E2DE">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673" w:type="dxa"/>
                  <w:tcBorders>
                    <w:top w:val="single" w:color="auto" w:sz="6" w:space="0"/>
                  </w:tcBorders>
                  <w:vAlign w:val="center"/>
                </w:tcPr>
                <w:p w14:paraId="48FE9AF0">
                  <w:pPr>
                    <w:pStyle w:val="90"/>
                    <w:rPr>
                      <w:color w:val="000000" w:themeColor="text1"/>
                      <w14:textFill>
                        <w14:solidFill>
                          <w14:schemeClr w14:val="tx1"/>
                        </w14:solidFill>
                      </w14:textFill>
                    </w:rPr>
                  </w:pPr>
                  <w:r>
                    <w:rPr>
                      <w:color w:val="000000" w:themeColor="text1"/>
                      <w14:textFill>
                        <w14:solidFill>
                          <w14:schemeClr w14:val="tx1"/>
                        </w14:solidFill>
                      </w14:textFill>
                    </w:rPr>
                    <w:t>回用废水量/</w:t>
                  </w:r>
                </w:p>
                <w:p w14:paraId="4F9B2587">
                  <w:pPr>
                    <w:pStyle w:val="9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872" w:type="dxa"/>
                  <w:tcBorders>
                    <w:top w:val="single" w:color="auto" w:sz="6" w:space="0"/>
                  </w:tcBorders>
                  <w:vAlign w:val="center"/>
                </w:tcPr>
                <w:p w14:paraId="43DFA2CC">
                  <w:pPr>
                    <w:pStyle w:val="90"/>
                    <w:rPr>
                      <w:color w:val="000000" w:themeColor="text1"/>
                      <w14:textFill>
                        <w14:solidFill>
                          <w14:schemeClr w14:val="tx1"/>
                        </w14:solidFill>
                      </w14:textFill>
                    </w:rPr>
                  </w:pPr>
                  <w:r>
                    <w:rPr>
                      <w:color w:val="000000" w:themeColor="text1"/>
                      <w14:textFill>
                        <w14:solidFill>
                          <w14:schemeClr w14:val="tx1"/>
                        </w14:solidFill>
                      </w14:textFill>
                    </w:rPr>
                    <w:t>排放废水量/（m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931" w:type="dxa"/>
                  <w:tcBorders>
                    <w:top w:val="single" w:color="auto" w:sz="6" w:space="0"/>
                  </w:tcBorders>
                  <w:vAlign w:val="center"/>
                </w:tcPr>
                <w:p w14:paraId="547F8661">
                  <w:pPr>
                    <w:pStyle w:val="90"/>
                    <w:rPr>
                      <w:color w:val="000000" w:themeColor="text1"/>
                      <w14:textFill>
                        <w14:solidFill>
                          <w14:schemeClr w14:val="tx1"/>
                        </w14:solidFill>
                      </w14:textFill>
                    </w:rPr>
                  </w:pPr>
                  <w:r>
                    <w:rPr>
                      <w:color w:val="000000" w:themeColor="text1"/>
                      <w14:textFill>
                        <w14:solidFill>
                          <w14:schemeClr w14:val="tx1"/>
                        </w14:solidFill>
                      </w14:textFill>
                    </w:rPr>
                    <w:t>排放质量浓度/</w:t>
                  </w:r>
                </w:p>
                <w:p w14:paraId="643457E6">
                  <w:pPr>
                    <w:pStyle w:val="90"/>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851" w:type="dxa"/>
                  <w:vAlign w:val="center"/>
                </w:tcPr>
                <w:p w14:paraId="72301894">
                  <w:pPr>
                    <w:pStyle w:val="90"/>
                    <w:rPr>
                      <w:color w:val="000000" w:themeColor="text1"/>
                      <w14:textFill>
                        <w14:solidFill>
                          <w14:schemeClr w14:val="tx1"/>
                        </w14:solidFill>
                      </w14:textFill>
                    </w:rPr>
                  </w:pPr>
                  <w:r>
                    <w:rPr>
                      <w:color w:val="000000" w:themeColor="text1"/>
                      <w14:textFill>
                        <w14:solidFill>
                          <w14:schemeClr w14:val="tx1"/>
                        </w14:solidFill>
                      </w14:textFill>
                    </w:rPr>
                    <w:t>排放量/</w:t>
                  </w:r>
                </w:p>
                <w:p w14:paraId="764909F9">
                  <w:pPr>
                    <w:pStyle w:val="90"/>
                    <w:rPr>
                      <w:color w:val="000000" w:themeColor="text1"/>
                      <w14:textFill>
                        <w14:solidFill>
                          <w14:schemeClr w14:val="tx1"/>
                        </w14:solidFill>
                      </w14:textFill>
                    </w:rPr>
                  </w:pPr>
                  <w:r>
                    <w:rPr>
                      <w:color w:val="000000" w:themeColor="text1"/>
                      <w14:textFill>
                        <w14:solidFill>
                          <w14:schemeClr w14:val="tx1"/>
                        </w14:solidFill>
                      </w14:textFill>
                    </w:rPr>
                    <w:t>（kg/h）</w:t>
                  </w:r>
                </w:p>
              </w:tc>
            </w:tr>
            <w:bookmarkEnd w:id="157"/>
            <w:tr w14:paraId="1D589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43" w:hRule="atLeast"/>
                <w:jc w:val="center"/>
              </w:trPr>
              <w:tc>
                <w:tcPr>
                  <w:tcW w:w="266" w:type="dxa"/>
                  <w:vMerge w:val="restart"/>
                  <w:vAlign w:val="center"/>
                </w:tcPr>
                <w:p w14:paraId="6AB58BE5">
                  <w:pPr>
                    <w:pStyle w:val="90"/>
                    <w:rPr>
                      <w:color w:val="000000" w:themeColor="text1"/>
                      <w14:textFill>
                        <w14:solidFill>
                          <w14:schemeClr w14:val="tx1"/>
                        </w14:solidFill>
                      </w14:textFill>
                    </w:rPr>
                  </w:pPr>
                  <w:r>
                    <w:rPr>
                      <w:color w:val="000000" w:themeColor="text1"/>
                      <w14:textFill>
                        <w14:solidFill>
                          <w14:schemeClr w14:val="tx1"/>
                        </w14:solidFill>
                      </w14:textFill>
                    </w:rPr>
                    <w:t>净循环水系统</w:t>
                  </w:r>
                </w:p>
              </w:tc>
              <w:tc>
                <w:tcPr>
                  <w:tcW w:w="528" w:type="dxa"/>
                  <w:vMerge w:val="restart"/>
                  <w:vAlign w:val="center"/>
                </w:tcPr>
                <w:p w14:paraId="49D8F746">
                  <w:pPr>
                    <w:pStyle w:val="90"/>
                    <w:rPr>
                      <w:color w:val="000000" w:themeColor="text1"/>
                      <w14:textFill>
                        <w14:solidFill>
                          <w14:schemeClr w14:val="tx1"/>
                        </w14:solidFill>
                      </w14:textFill>
                    </w:rPr>
                  </w:pPr>
                  <w:r>
                    <w:rPr>
                      <w:color w:val="000000" w:themeColor="text1"/>
                      <w14:textFill>
                        <w14:solidFill>
                          <w14:schemeClr w14:val="tx1"/>
                        </w14:solidFill>
                      </w14:textFill>
                    </w:rPr>
                    <w:t>净循环冷却系统排污水</w:t>
                  </w:r>
                </w:p>
              </w:tc>
              <w:tc>
                <w:tcPr>
                  <w:tcW w:w="622" w:type="dxa"/>
                  <w:vAlign w:val="center"/>
                </w:tcPr>
                <w:p w14:paraId="0056915B">
                  <w:pPr>
                    <w:pStyle w:val="90"/>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458" w:type="dxa"/>
                  <w:vMerge w:val="restart"/>
                  <w:vAlign w:val="center"/>
                </w:tcPr>
                <w:p w14:paraId="31C3F2AC">
                  <w:pPr>
                    <w:pStyle w:val="90"/>
                    <w:rPr>
                      <w:color w:val="000000" w:themeColor="text1"/>
                      <w14:textFill>
                        <w14:solidFill>
                          <w14:schemeClr w14:val="tx1"/>
                        </w14:solidFill>
                      </w14:textFill>
                    </w:rPr>
                  </w:pPr>
                  <w:r>
                    <w:rPr>
                      <w:color w:val="000000" w:themeColor="text1"/>
                      <w14:textFill>
                        <w14:solidFill>
                          <w14:schemeClr w14:val="tx1"/>
                        </w14:solidFill>
                      </w14:textFill>
                    </w:rPr>
                    <w:t>类比法</w:t>
                  </w:r>
                </w:p>
              </w:tc>
              <w:tc>
                <w:tcPr>
                  <w:tcW w:w="666" w:type="dxa"/>
                  <w:vMerge w:val="restart"/>
                  <w:vAlign w:val="center"/>
                </w:tcPr>
                <w:p w14:paraId="34298450">
                  <w:pPr>
                    <w:pStyle w:val="90"/>
                    <w:rPr>
                      <w:color w:val="000000" w:themeColor="text1"/>
                      <w14:textFill>
                        <w14:solidFill>
                          <w14:schemeClr w14:val="tx1"/>
                        </w14:solidFill>
                      </w14:textFill>
                    </w:rPr>
                  </w:pPr>
                  <w:r>
                    <w:rPr>
                      <w:color w:val="000000" w:themeColor="text1"/>
                      <w14:textFill>
                        <w14:solidFill>
                          <w14:schemeClr w14:val="tx1"/>
                        </w14:solidFill>
                      </w14:textFill>
                    </w:rPr>
                    <w:t>57.3</w:t>
                  </w:r>
                </w:p>
              </w:tc>
              <w:tc>
                <w:tcPr>
                  <w:tcW w:w="720" w:type="dxa"/>
                  <w:vAlign w:val="center"/>
                </w:tcPr>
                <w:p w14:paraId="0184BF01">
                  <w:pPr>
                    <w:pStyle w:val="9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676" w:type="dxa"/>
                  <w:vAlign w:val="center"/>
                </w:tcPr>
                <w:p w14:paraId="2CBBECB4">
                  <w:pPr>
                    <w:pStyle w:val="90"/>
                    <w:rPr>
                      <w:color w:val="000000" w:themeColor="text1"/>
                      <w14:textFill>
                        <w14:solidFill>
                          <w14:schemeClr w14:val="tx1"/>
                        </w14:solidFill>
                      </w14:textFill>
                    </w:rPr>
                  </w:pPr>
                  <w:r>
                    <w:rPr>
                      <w:color w:val="000000" w:themeColor="text1"/>
                      <w14:textFill>
                        <w14:solidFill>
                          <w14:schemeClr w14:val="tx1"/>
                        </w14:solidFill>
                      </w14:textFill>
                    </w:rPr>
                    <w:t>2.292</w:t>
                  </w:r>
                </w:p>
              </w:tc>
              <w:tc>
                <w:tcPr>
                  <w:tcW w:w="731" w:type="dxa"/>
                  <w:vMerge w:val="restart"/>
                  <w:vAlign w:val="center"/>
                </w:tcPr>
                <w:p w14:paraId="70BB9B53">
                  <w:pPr>
                    <w:pStyle w:val="90"/>
                    <w:rPr>
                      <w:color w:val="000000" w:themeColor="text1"/>
                      <w14:textFill>
                        <w14:solidFill>
                          <w14:schemeClr w14:val="tx1"/>
                        </w14:solidFill>
                      </w14:textFill>
                    </w:rPr>
                  </w:pPr>
                  <w:r>
                    <w:rPr>
                      <w:color w:val="000000" w:themeColor="text1"/>
                      <w14:textFill>
                        <w14:solidFill>
                          <w14:schemeClr w14:val="tx1"/>
                        </w14:solidFill>
                      </w14:textFill>
                    </w:rPr>
                    <w:t>中央污水站处理后回用（澄清+沉淀+多介质过滤+UF+一级RO+二级RO+浓水RO）</w:t>
                  </w:r>
                </w:p>
              </w:tc>
              <w:tc>
                <w:tcPr>
                  <w:tcW w:w="513" w:type="dxa"/>
                  <w:vMerge w:val="restart"/>
                  <w:vAlign w:val="center"/>
                </w:tcPr>
                <w:p w14:paraId="5B4C7231">
                  <w:pPr>
                    <w:pStyle w:val="90"/>
                    <w:rPr>
                      <w:color w:val="000000" w:themeColor="text1"/>
                      <w14:textFill>
                        <w14:solidFill>
                          <w14:schemeClr w14:val="tx1"/>
                        </w14:solidFill>
                      </w14:textFill>
                    </w:rPr>
                  </w:pPr>
                  <w:r>
                    <w:rPr>
                      <w:color w:val="000000" w:themeColor="text1"/>
                      <w14:textFill>
                        <w14:solidFill>
                          <w14:schemeClr w14:val="tx1"/>
                        </w14:solidFill>
                      </w14:textFill>
                    </w:rPr>
                    <w:t>~85</w:t>
                  </w:r>
                </w:p>
              </w:tc>
              <w:tc>
                <w:tcPr>
                  <w:tcW w:w="673" w:type="dxa"/>
                  <w:vMerge w:val="restart"/>
                  <w:vAlign w:val="center"/>
                </w:tcPr>
                <w:p w14:paraId="12AE287C">
                  <w:pPr>
                    <w:pStyle w:val="90"/>
                    <w:rPr>
                      <w:color w:val="000000" w:themeColor="text1"/>
                      <w14:textFill>
                        <w14:solidFill>
                          <w14:schemeClr w14:val="tx1"/>
                        </w14:solidFill>
                      </w14:textFill>
                    </w:rPr>
                  </w:pPr>
                  <w:r>
                    <w:rPr>
                      <w:color w:val="000000" w:themeColor="text1"/>
                      <w14:textFill>
                        <w14:solidFill>
                          <w14:schemeClr w14:val="tx1"/>
                        </w14:solidFill>
                      </w14:textFill>
                    </w:rPr>
                    <w:t>57.3</w:t>
                  </w:r>
                </w:p>
              </w:tc>
              <w:tc>
                <w:tcPr>
                  <w:tcW w:w="872" w:type="dxa"/>
                  <w:vAlign w:val="center"/>
                </w:tcPr>
                <w:p w14:paraId="20ABA9E8">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11C3878F">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0EC1252C">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r w14:paraId="4DB60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3" w:hRule="atLeast"/>
                <w:jc w:val="center"/>
              </w:trPr>
              <w:tc>
                <w:tcPr>
                  <w:tcW w:w="266" w:type="dxa"/>
                  <w:vMerge w:val="continue"/>
                  <w:vAlign w:val="center"/>
                </w:tcPr>
                <w:p w14:paraId="6069D2BD">
                  <w:pPr>
                    <w:pStyle w:val="90"/>
                    <w:rPr>
                      <w:color w:val="000000" w:themeColor="text1"/>
                      <w14:textFill>
                        <w14:solidFill>
                          <w14:schemeClr w14:val="tx1"/>
                        </w14:solidFill>
                      </w14:textFill>
                    </w:rPr>
                  </w:pPr>
                </w:p>
              </w:tc>
              <w:tc>
                <w:tcPr>
                  <w:tcW w:w="528" w:type="dxa"/>
                  <w:vMerge w:val="continue"/>
                  <w:vAlign w:val="center"/>
                </w:tcPr>
                <w:p w14:paraId="020371B7">
                  <w:pPr>
                    <w:pStyle w:val="90"/>
                    <w:rPr>
                      <w:color w:val="000000" w:themeColor="text1"/>
                      <w14:textFill>
                        <w14:solidFill>
                          <w14:schemeClr w14:val="tx1"/>
                        </w14:solidFill>
                      </w14:textFill>
                    </w:rPr>
                  </w:pPr>
                </w:p>
              </w:tc>
              <w:tc>
                <w:tcPr>
                  <w:tcW w:w="622" w:type="dxa"/>
                  <w:vAlign w:val="center"/>
                </w:tcPr>
                <w:p w14:paraId="79E23F4F">
                  <w:pPr>
                    <w:pStyle w:val="90"/>
                    <w:rPr>
                      <w:color w:val="000000" w:themeColor="text1"/>
                      <w14:textFill>
                        <w14:solidFill>
                          <w14:schemeClr w14:val="tx1"/>
                        </w14:solidFill>
                      </w14:textFill>
                    </w:rPr>
                  </w:pPr>
                  <w:r>
                    <w:rPr>
                      <w:color w:val="000000" w:themeColor="text1"/>
                      <w14:textFill>
                        <w14:solidFill>
                          <w14:schemeClr w14:val="tx1"/>
                        </w14:solidFill>
                      </w14:textFill>
                    </w:rPr>
                    <w:t>SS</w:t>
                  </w:r>
                </w:p>
              </w:tc>
              <w:tc>
                <w:tcPr>
                  <w:tcW w:w="458" w:type="dxa"/>
                  <w:vMerge w:val="continue"/>
                  <w:vAlign w:val="center"/>
                </w:tcPr>
                <w:p w14:paraId="649740D9">
                  <w:pPr>
                    <w:pStyle w:val="90"/>
                    <w:rPr>
                      <w:color w:val="000000" w:themeColor="text1"/>
                      <w14:textFill>
                        <w14:solidFill>
                          <w14:schemeClr w14:val="tx1"/>
                        </w14:solidFill>
                      </w14:textFill>
                    </w:rPr>
                  </w:pPr>
                </w:p>
              </w:tc>
              <w:tc>
                <w:tcPr>
                  <w:tcW w:w="666" w:type="dxa"/>
                  <w:vMerge w:val="continue"/>
                  <w:vAlign w:val="center"/>
                </w:tcPr>
                <w:p w14:paraId="69405D0C">
                  <w:pPr>
                    <w:pStyle w:val="90"/>
                    <w:rPr>
                      <w:color w:val="000000" w:themeColor="text1"/>
                      <w14:textFill>
                        <w14:solidFill>
                          <w14:schemeClr w14:val="tx1"/>
                        </w14:solidFill>
                      </w14:textFill>
                    </w:rPr>
                  </w:pPr>
                </w:p>
              </w:tc>
              <w:tc>
                <w:tcPr>
                  <w:tcW w:w="720" w:type="dxa"/>
                  <w:vAlign w:val="center"/>
                </w:tcPr>
                <w:p w14:paraId="4B5339DB">
                  <w:pPr>
                    <w:pStyle w:val="9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676" w:type="dxa"/>
                  <w:vAlign w:val="center"/>
                </w:tcPr>
                <w:p w14:paraId="6D28DA7F">
                  <w:pPr>
                    <w:pStyle w:val="90"/>
                    <w:rPr>
                      <w:color w:val="000000" w:themeColor="text1"/>
                      <w14:textFill>
                        <w14:solidFill>
                          <w14:schemeClr w14:val="tx1"/>
                        </w14:solidFill>
                      </w14:textFill>
                    </w:rPr>
                  </w:pPr>
                  <w:r>
                    <w:rPr>
                      <w:color w:val="000000" w:themeColor="text1"/>
                      <w14:textFill>
                        <w14:solidFill>
                          <w14:schemeClr w14:val="tx1"/>
                        </w14:solidFill>
                      </w14:textFill>
                    </w:rPr>
                    <w:t>2.292</w:t>
                  </w:r>
                </w:p>
              </w:tc>
              <w:tc>
                <w:tcPr>
                  <w:tcW w:w="731" w:type="dxa"/>
                  <w:vMerge w:val="continue"/>
                  <w:vAlign w:val="center"/>
                </w:tcPr>
                <w:p w14:paraId="0038A894">
                  <w:pPr>
                    <w:pStyle w:val="90"/>
                    <w:rPr>
                      <w:color w:val="000000" w:themeColor="text1"/>
                      <w14:textFill>
                        <w14:solidFill>
                          <w14:schemeClr w14:val="tx1"/>
                        </w14:solidFill>
                      </w14:textFill>
                    </w:rPr>
                  </w:pPr>
                </w:p>
              </w:tc>
              <w:tc>
                <w:tcPr>
                  <w:tcW w:w="513" w:type="dxa"/>
                  <w:vMerge w:val="continue"/>
                  <w:vAlign w:val="center"/>
                </w:tcPr>
                <w:p w14:paraId="11935739">
                  <w:pPr>
                    <w:pStyle w:val="90"/>
                    <w:rPr>
                      <w:color w:val="000000" w:themeColor="text1"/>
                      <w14:textFill>
                        <w14:solidFill>
                          <w14:schemeClr w14:val="tx1"/>
                        </w14:solidFill>
                      </w14:textFill>
                    </w:rPr>
                  </w:pPr>
                </w:p>
              </w:tc>
              <w:tc>
                <w:tcPr>
                  <w:tcW w:w="673" w:type="dxa"/>
                  <w:vMerge w:val="continue"/>
                  <w:vAlign w:val="center"/>
                </w:tcPr>
                <w:p w14:paraId="573A55F4">
                  <w:pPr>
                    <w:pStyle w:val="90"/>
                    <w:rPr>
                      <w:color w:val="000000" w:themeColor="text1"/>
                      <w14:textFill>
                        <w14:solidFill>
                          <w14:schemeClr w14:val="tx1"/>
                        </w14:solidFill>
                      </w14:textFill>
                    </w:rPr>
                  </w:pPr>
                </w:p>
              </w:tc>
              <w:tc>
                <w:tcPr>
                  <w:tcW w:w="872" w:type="dxa"/>
                  <w:vAlign w:val="center"/>
                </w:tcPr>
                <w:p w14:paraId="0AFBF7FD">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2F5FC23A">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4297CAF2">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r w14:paraId="76A7E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95" w:hRule="atLeast"/>
                <w:jc w:val="center"/>
              </w:trPr>
              <w:tc>
                <w:tcPr>
                  <w:tcW w:w="266" w:type="dxa"/>
                  <w:vMerge w:val="restart"/>
                  <w:vAlign w:val="center"/>
                </w:tcPr>
                <w:p w14:paraId="75C326ED">
                  <w:pPr>
                    <w:pStyle w:val="90"/>
                    <w:rPr>
                      <w:color w:val="000000" w:themeColor="text1"/>
                      <w14:textFill>
                        <w14:solidFill>
                          <w14:schemeClr w14:val="tx1"/>
                        </w14:solidFill>
                      </w14:textFill>
                    </w:rPr>
                  </w:pPr>
                  <w:r>
                    <w:rPr>
                      <w:color w:val="000000" w:themeColor="text1"/>
                      <w14:textFill>
                        <w14:solidFill>
                          <w14:schemeClr w14:val="tx1"/>
                        </w14:solidFill>
                      </w14:textFill>
                    </w:rPr>
                    <w:t>除盐水系统</w:t>
                  </w:r>
                </w:p>
              </w:tc>
              <w:tc>
                <w:tcPr>
                  <w:tcW w:w="528" w:type="dxa"/>
                  <w:vMerge w:val="restart"/>
                  <w:vAlign w:val="center"/>
                </w:tcPr>
                <w:p w14:paraId="3F8B1A42">
                  <w:pPr>
                    <w:pStyle w:val="90"/>
                    <w:rPr>
                      <w:color w:val="000000" w:themeColor="text1"/>
                      <w14:textFill>
                        <w14:solidFill>
                          <w14:schemeClr w14:val="tx1"/>
                        </w14:solidFill>
                      </w14:textFill>
                    </w:rPr>
                  </w:pPr>
                  <w:r>
                    <w:rPr>
                      <w:color w:val="000000" w:themeColor="text1"/>
                      <w14:textFill>
                        <w14:solidFill>
                          <w14:schemeClr w14:val="tx1"/>
                        </w14:solidFill>
                      </w14:textFill>
                    </w:rPr>
                    <w:t>除盐水系统排污水</w:t>
                  </w:r>
                </w:p>
              </w:tc>
              <w:tc>
                <w:tcPr>
                  <w:tcW w:w="622" w:type="dxa"/>
                  <w:vAlign w:val="center"/>
                </w:tcPr>
                <w:p w14:paraId="480984DF">
                  <w:pPr>
                    <w:pStyle w:val="90"/>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458" w:type="dxa"/>
                  <w:vMerge w:val="restart"/>
                  <w:vAlign w:val="center"/>
                </w:tcPr>
                <w:p w14:paraId="2700A0A1">
                  <w:pPr>
                    <w:pStyle w:val="90"/>
                    <w:rPr>
                      <w:color w:val="000000" w:themeColor="text1"/>
                      <w14:textFill>
                        <w14:solidFill>
                          <w14:schemeClr w14:val="tx1"/>
                        </w14:solidFill>
                      </w14:textFill>
                    </w:rPr>
                  </w:pPr>
                  <w:r>
                    <w:rPr>
                      <w:color w:val="000000" w:themeColor="text1"/>
                      <w14:textFill>
                        <w14:solidFill>
                          <w14:schemeClr w14:val="tx1"/>
                        </w14:solidFill>
                      </w14:textFill>
                    </w:rPr>
                    <w:t>类比法</w:t>
                  </w:r>
                </w:p>
              </w:tc>
              <w:tc>
                <w:tcPr>
                  <w:tcW w:w="666" w:type="dxa"/>
                  <w:vMerge w:val="restart"/>
                  <w:vAlign w:val="center"/>
                </w:tcPr>
                <w:p w14:paraId="5427A46E">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720" w:type="dxa"/>
                  <w:vAlign w:val="center"/>
                </w:tcPr>
                <w:p w14:paraId="746299DC">
                  <w:pPr>
                    <w:pStyle w:val="9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676" w:type="dxa"/>
                  <w:vAlign w:val="center"/>
                </w:tcPr>
                <w:p w14:paraId="4B7B459A">
                  <w:pPr>
                    <w:pStyle w:val="90"/>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731" w:type="dxa"/>
                  <w:vMerge w:val="continue"/>
                  <w:vAlign w:val="center"/>
                </w:tcPr>
                <w:p w14:paraId="2F55D6D3">
                  <w:pPr>
                    <w:pStyle w:val="90"/>
                    <w:rPr>
                      <w:color w:val="000000" w:themeColor="text1"/>
                      <w14:textFill>
                        <w14:solidFill>
                          <w14:schemeClr w14:val="tx1"/>
                        </w14:solidFill>
                      </w14:textFill>
                    </w:rPr>
                  </w:pPr>
                </w:p>
              </w:tc>
              <w:tc>
                <w:tcPr>
                  <w:tcW w:w="513" w:type="dxa"/>
                  <w:vMerge w:val="continue"/>
                  <w:vAlign w:val="center"/>
                </w:tcPr>
                <w:p w14:paraId="7F6061F9">
                  <w:pPr>
                    <w:pStyle w:val="90"/>
                    <w:rPr>
                      <w:color w:val="000000" w:themeColor="text1"/>
                      <w14:textFill>
                        <w14:solidFill>
                          <w14:schemeClr w14:val="tx1"/>
                        </w14:solidFill>
                      </w14:textFill>
                    </w:rPr>
                  </w:pPr>
                </w:p>
              </w:tc>
              <w:tc>
                <w:tcPr>
                  <w:tcW w:w="673" w:type="dxa"/>
                  <w:vMerge w:val="restart"/>
                  <w:vAlign w:val="center"/>
                </w:tcPr>
                <w:p w14:paraId="420F0903">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872" w:type="dxa"/>
                  <w:vAlign w:val="center"/>
                </w:tcPr>
                <w:p w14:paraId="7B674290">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238FD1AD">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1EB113D1">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r w14:paraId="47F1B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266" w:type="dxa"/>
                  <w:vMerge w:val="continue"/>
                  <w:vAlign w:val="center"/>
                </w:tcPr>
                <w:p w14:paraId="49CADAE1">
                  <w:pPr>
                    <w:pStyle w:val="90"/>
                    <w:rPr>
                      <w:color w:val="000000" w:themeColor="text1"/>
                      <w14:textFill>
                        <w14:solidFill>
                          <w14:schemeClr w14:val="tx1"/>
                        </w14:solidFill>
                      </w14:textFill>
                    </w:rPr>
                  </w:pPr>
                </w:p>
              </w:tc>
              <w:tc>
                <w:tcPr>
                  <w:tcW w:w="528" w:type="dxa"/>
                  <w:vMerge w:val="continue"/>
                  <w:vAlign w:val="center"/>
                </w:tcPr>
                <w:p w14:paraId="5402141A">
                  <w:pPr>
                    <w:pStyle w:val="90"/>
                    <w:rPr>
                      <w:color w:val="000000" w:themeColor="text1"/>
                      <w14:textFill>
                        <w14:solidFill>
                          <w14:schemeClr w14:val="tx1"/>
                        </w14:solidFill>
                      </w14:textFill>
                    </w:rPr>
                  </w:pPr>
                </w:p>
              </w:tc>
              <w:tc>
                <w:tcPr>
                  <w:tcW w:w="622" w:type="dxa"/>
                  <w:vAlign w:val="center"/>
                </w:tcPr>
                <w:p w14:paraId="2456A05E">
                  <w:pPr>
                    <w:pStyle w:val="90"/>
                    <w:rPr>
                      <w:color w:val="000000" w:themeColor="text1"/>
                      <w14:textFill>
                        <w14:solidFill>
                          <w14:schemeClr w14:val="tx1"/>
                        </w14:solidFill>
                      </w14:textFill>
                    </w:rPr>
                  </w:pPr>
                  <w:r>
                    <w:rPr>
                      <w:color w:val="000000" w:themeColor="text1"/>
                      <w14:textFill>
                        <w14:solidFill>
                          <w14:schemeClr w14:val="tx1"/>
                        </w14:solidFill>
                      </w14:textFill>
                    </w:rPr>
                    <w:t>SS</w:t>
                  </w:r>
                </w:p>
              </w:tc>
              <w:tc>
                <w:tcPr>
                  <w:tcW w:w="458" w:type="dxa"/>
                  <w:vMerge w:val="continue"/>
                  <w:vAlign w:val="center"/>
                </w:tcPr>
                <w:p w14:paraId="74A4F01E">
                  <w:pPr>
                    <w:pStyle w:val="90"/>
                    <w:rPr>
                      <w:color w:val="000000" w:themeColor="text1"/>
                      <w14:textFill>
                        <w14:solidFill>
                          <w14:schemeClr w14:val="tx1"/>
                        </w14:solidFill>
                      </w14:textFill>
                    </w:rPr>
                  </w:pPr>
                </w:p>
              </w:tc>
              <w:tc>
                <w:tcPr>
                  <w:tcW w:w="666" w:type="dxa"/>
                  <w:vMerge w:val="continue"/>
                  <w:vAlign w:val="center"/>
                </w:tcPr>
                <w:p w14:paraId="332E1196">
                  <w:pPr>
                    <w:pStyle w:val="90"/>
                    <w:rPr>
                      <w:color w:val="000000" w:themeColor="text1"/>
                      <w14:textFill>
                        <w14:solidFill>
                          <w14:schemeClr w14:val="tx1"/>
                        </w14:solidFill>
                      </w14:textFill>
                    </w:rPr>
                  </w:pPr>
                </w:p>
              </w:tc>
              <w:tc>
                <w:tcPr>
                  <w:tcW w:w="720" w:type="dxa"/>
                  <w:vAlign w:val="center"/>
                </w:tcPr>
                <w:p w14:paraId="6BE711CA">
                  <w:pPr>
                    <w:pStyle w:val="9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676" w:type="dxa"/>
                  <w:vAlign w:val="center"/>
                </w:tcPr>
                <w:p w14:paraId="4891DA92">
                  <w:pPr>
                    <w:pStyle w:val="90"/>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731" w:type="dxa"/>
                  <w:vMerge w:val="continue"/>
                  <w:vAlign w:val="center"/>
                </w:tcPr>
                <w:p w14:paraId="3095A047">
                  <w:pPr>
                    <w:pStyle w:val="90"/>
                    <w:rPr>
                      <w:color w:val="000000" w:themeColor="text1"/>
                      <w14:textFill>
                        <w14:solidFill>
                          <w14:schemeClr w14:val="tx1"/>
                        </w14:solidFill>
                      </w14:textFill>
                    </w:rPr>
                  </w:pPr>
                </w:p>
              </w:tc>
              <w:tc>
                <w:tcPr>
                  <w:tcW w:w="513" w:type="dxa"/>
                  <w:vMerge w:val="continue"/>
                  <w:vAlign w:val="center"/>
                </w:tcPr>
                <w:p w14:paraId="76B6601D">
                  <w:pPr>
                    <w:pStyle w:val="90"/>
                    <w:rPr>
                      <w:color w:val="000000" w:themeColor="text1"/>
                      <w14:textFill>
                        <w14:solidFill>
                          <w14:schemeClr w14:val="tx1"/>
                        </w14:solidFill>
                      </w14:textFill>
                    </w:rPr>
                  </w:pPr>
                </w:p>
              </w:tc>
              <w:tc>
                <w:tcPr>
                  <w:tcW w:w="673" w:type="dxa"/>
                  <w:vMerge w:val="continue"/>
                  <w:vAlign w:val="center"/>
                </w:tcPr>
                <w:p w14:paraId="5B77DD7E">
                  <w:pPr>
                    <w:pStyle w:val="90"/>
                    <w:rPr>
                      <w:color w:val="000000" w:themeColor="text1"/>
                      <w14:textFill>
                        <w14:solidFill>
                          <w14:schemeClr w14:val="tx1"/>
                        </w14:solidFill>
                      </w14:textFill>
                    </w:rPr>
                  </w:pPr>
                </w:p>
              </w:tc>
              <w:tc>
                <w:tcPr>
                  <w:tcW w:w="872" w:type="dxa"/>
                  <w:vAlign w:val="center"/>
                </w:tcPr>
                <w:p w14:paraId="0E983F13">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77CFDBF4">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693887F9">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r w14:paraId="3CAC8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73" w:hRule="atLeast"/>
                <w:jc w:val="center"/>
              </w:trPr>
              <w:tc>
                <w:tcPr>
                  <w:tcW w:w="266" w:type="dxa"/>
                  <w:vMerge w:val="restart"/>
                  <w:vAlign w:val="center"/>
                </w:tcPr>
                <w:p w14:paraId="0B15528E">
                  <w:pPr>
                    <w:pStyle w:val="90"/>
                    <w:rPr>
                      <w:color w:val="000000" w:themeColor="text1"/>
                      <w14:textFill>
                        <w14:solidFill>
                          <w14:schemeClr w14:val="tx1"/>
                        </w14:solidFill>
                      </w14:textFill>
                    </w:rPr>
                  </w:pPr>
                  <w:r>
                    <w:rPr>
                      <w:color w:val="000000" w:themeColor="text1"/>
                      <w14:textFill>
                        <w14:solidFill>
                          <w14:schemeClr w14:val="tx1"/>
                        </w14:solidFill>
                      </w14:textFill>
                    </w:rPr>
                    <w:t>锅炉</w:t>
                  </w:r>
                </w:p>
              </w:tc>
              <w:tc>
                <w:tcPr>
                  <w:tcW w:w="528" w:type="dxa"/>
                  <w:vMerge w:val="restart"/>
                  <w:vAlign w:val="center"/>
                </w:tcPr>
                <w:p w14:paraId="0CAEEB9A">
                  <w:pPr>
                    <w:pStyle w:val="90"/>
                    <w:rPr>
                      <w:color w:val="000000" w:themeColor="text1"/>
                      <w14:textFill>
                        <w14:solidFill>
                          <w14:schemeClr w14:val="tx1"/>
                        </w14:solidFill>
                      </w14:textFill>
                    </w:rPr>
                  </w:pPr>
                  <w:r>
                    <w:rPr>
                      <w:color w:val="000000" w:themeColor="text1"/>
                      <w14:textFill>
                        <w14:solidFill>
                          <w14:schemeClr w14:val="tx1"/>
                        </w14:solidFill>
                      </w14:textFill>
                    </w:rPr>
                    <w:t>锅炉排污水</w:t>
                  </w:r>
                </w:p>
              </w:tc>
              <w:tc>
                <w:tcPr>
                  <w:tcW w:w="622" w:type="dxa"/>
                  <w:vAlign w:val="center"/>
                </w:tcPr>
                <w:p w14:paraId="1C83C1D6">
                  <w:pPr>
                    <w:pStyle w:val="90"/>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458" w:type="dxa"/>
                  <w:vMerge w:val="restart"/>
                  <w:vAlign w:val="center"/>
                </w:tcPr>
                <w:p w14:paraId="0E647063">
                  <w:pPr>
                    <w:pStyle w:val="90"/>
                    <w:rPr>
                      <w:color w:val="000000" w:themeColor="text1"/>
                      <w14:textFill>
                        <w14:solidFill>
                          <w14:schemeClr w14:val="tx1"/>
                        </w14:solidFill>
                      </w14:textFill>
                    </w:rPr>
                  </w:pPr>
                  <w:r>
                    <w:rPr>
                      <w:color w:val="000000" w:themeColor="text1"/>
                      <w14:textFill>
                        <w14:solidFill>
                          <w14:schemeClr w14:val="tx1"/>
                        </w14:solidFill>
                      </w14:textFill>
                    </w:rPr>
                    <w:t>类比法</w:t>
                  </w:r>
                </w:p>
              </w:tc>
              <w:tc>
                <w:tcPr>
                  <w:tcW w:w="666" w:type="dxa"/>
                  <w:vMerge w:val="restart"/>
                  <w:vAlign w:val="center"/>
                </w:tcPr>
                <w:p w14:paraId="0E5E25E7">
                  <w:pPr>
                    <w:pStyle w:val="90"/>
                    <w:rPr>
                      <w:color w:val="000000" w:themeColor="text1"/>
                      <w14:textFill>
                        <w14:solidFill>
                          <w14:schemeClr w14:val="tx1"/>
                        </w14:solidFill>
                      </w14:textFill>
                    </w:rPr>
                  </w:pPr>
                  <w:r>
                    <w:rPr>
                      <w:color w:val="000000" w:themeColor="text1"/>
                      <w14:textFill>
                        <w14:solidFill>
                          <w14:schemeClr w14:val="tx1"/>
                        </w14:solidFill>
                      </w14:textFill>
                    </w:rPr>
                    <w:t>17</w:t>
                  </w:r>
                </w:p>
              </w:tc>
              <w:tc>
                <w:tcPr>
                  <w:tcW w:w="720" w:type="dxa"/>
                  <w:vAlign w:val="center"/>
                </w:tcPr>
                <w:p w14:paraId="0385C1BE">
                  <w:pPr>
                    <w:pStyle w:val="9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676" w:type="dxa"/>
                  <w:vAlign w:val="center"/>
                </w:tcPr>
                <w:p w14:paraId="40FA5032">
                  <w:pPr>
                    <w:pStyle w:val="90"/>
                    <w:rPr>
                      <w:color w:val="000000" w:themeColor="text1"/>
                      <w14:textFill>
                        <w14:solidFill>
                          <w14:schemeClr w14:val="tx1"/>
                        </w14:solidFill>
                      </w14:textFill>
                    </w:rPr>
                  </w:pPr>
                  <w:r>
                    <w:rPr>
                      <w:color w:val="000000" w:themeColor="text1"/>
                      <w14:textFill>
                        <w14:solidFill>
                          <w14:schemeClr w14:val="tx1"/>
                        </w14:solidFill>
                      </w14:textFill>
                    </w:rPr>
                    <w:t>0.68</w:t>
                  </w:r>
                </w:p>
              </w:tc>
              <w:tc>
                <w:tcPr>
                  <w:tcW w:w="731" w:type="dxa"/>
                  <w:vMerge w:val="continue"/>
                  <w:vAlign w:val="center"/>
                </w:tcPr>
                <w:p w14:paraId="711C40EB">
                  <w:pPr>
                    <w:pStyle w:val="90"/>
                    <w:rPr>
                      <w:color w:val="000000" w:themeColor="text1"/>
                      <w14:textFill>
                        <w14:solidFill>
                          <w14:schemeClr w14:val="tx1"/>
                        </w14:solidFill>
                      </w14:textFill>
                    </w:rPr>
                  </w:pPr>
                </w:p>
              </w:tc>
              <w:tc>
                <w:tcPr>
                  <w:tcW w:w="513" w:type="dxa"/>
                  <w:vMerge w:val="continue"/>
                  <w:vAlign w:val="center"/>
                </w:tcPr>
                <w:p w14:paraId="6251B0B7">
                  <w:pPr>
                    <w:pStyle w:val="90"/>
                    <w:rPr>
                      <w:color w:val="000000" w:themeColor="text1"/>
                      <w14:textFill>
                        <w14:solidFill>
                          <w14:schemeClr w14:val="tx1"/>
                        </w14:solidFill>
                      </w14:textFill>
                    </w:rPr>
                  </w:pPr>
                </w:p>
              </w:tc>
              <w:tc>
                <w:tcPr>
                  <w:tcW w:w="673" w:type="dxa"/>
                  <w:vMerge w:val="restart"/>
                  <w:vAlign w:val="center"/>
                </w:tcPr>
                <w:p w14:paraId="1403CCFD">
                  <w:pPr>
                    <w:pStyle w:val="90"/>
                    <w:rPr>
                      <w:color w:val="000000" w:themeColor="text1"/>
                      <w14:textFill>
                        <w14:solidFill>
                          <w14:schemeClr w14:val="tx1"/>
                        </w14:solidFill>
                      </w14:textFill>
                    </w:rPr>
                  </w:pPr>
                  <w:r>
                    <w:rPr>
                      <w:color w:val="000000" w:themeColor="text1"/>
                      <w14:textFill>
                        <w14:solidFill>
                          <w14:schemeClr w14:val="tx1"/>
                        </w14:solidFill>
                      </w14:textFill>
                    </w:rPr>
                    <w:t>17</w:t>
                  </w:r>
                </w:p>
              </w:tc>
              <w:tc>
                <w:tcPr>
                  <w:tcW w:w="872" w:type="dxa"/>
                  <w:vAlign w:val="center"/>
                </w:tcPr>
                <w:p w14:paraId="7EB1D46B">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610632B2">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1FC496C0">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r w14:paraId="7141B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5" w:hRule="atLeast"/>
                <w:jc w:val="center"/>
              </w:trPr>
              <w:tc>
                <w:tcPr>
                  <w:tcW w:w="266" w:type="dxa"/>
                  <w:vMerge w:val="continue"/>
                  <w:vAlign w:val="center"/>
                </w:tcPr>
                <w:p w14:paraId="74293A79">
                  <w:pPr>
                    <w:pStyle w:val="90"/>
                    <w:rPr>
                      <w:color w:val="000000" w:themeColor="text1"/>
                      <w14:textFill>
                        <w14:solidFill>
                          <w14:schemeClr w14:val="tx1"/>
                        </w14:solidFill>
                      </w14:textFill>
                    </w:rPr>
                  </w:pPr>
                </w:p>
              </w:tc>
              <w:tc>
                <w:tcPr>
                  <w:tcW w:w="528" w:type="dxa"/>
                  <w:vMerge w:val="continue"/>
                  <w:vAlign w:val="center"/>
                </w:tcPr>
                <w:p w14:paraId="2834D6DF">
                  <w:pPr>
                    <w:pStyle w:val="90"/>
                    <w:rPr>
                      <w:color w:val="000000" w:themeColor="text1"/>
                      <w14:textFill>
                        <w14:solidFill>
                          <w14:schemeClr w14:val="tx1"/>
                        </w14:solidFill>
                      </w14:textFill>
                    </w:rPr>
                  </w:pPr>
                </w:p>
              </w:tc>
              <w:tc>
                <w:tcPr>
                  <w:tcW w:w="622" w:type="dxa"/>
                  <w:vAlign w:val="center"/>
                </w:tcPr>
                <w:p w14:paraId="786092CC">
                  <w:pPr>
                    <w:pStyle w:val="90"/>
                    <w:rPr>
                      <w:color w:val="000000" w:themeColor="text1"/>
                      <w14:textFill>
                        <w14:solidFill>
                          <w14:schemeClr w14:val="tx1"/>
                        </w14:solidFill>
                      </w14:textFill>
                    </w:rPr>
                  </w:pPr>
                  <w:r>
                    <w:rPr>
                      <w:color w:val="000000" w:themeColor="text1"/>
                      <w14:textFill>
                        <w14:solidFill>
                          <w14:schemeClr w14:val="tx1"/>
                        </w14:solidFill>
                      </w14:textFill>
                    </w:rPr>
                    <w:t>SS</w:t>
                  </w:r>
                </w:p>
              </w:tc>
              <w:tc>
                <w:tcPr>
                  <w:tcW w:w="458" w:type="dxa"/>
                  <w:vMerge w:val="continue"/>
                  <w:vAlign w:val="center"/>
                </w:tcPr>
                <w:p w14:paraId="50BCA19B">
                  <w:pPr>
                    <w:pStyle w:val="90"/>
                    <w:rPr>
                      <w:color w:val="000000" w:themeColor="text1"/>
                      <w14:textFill>
                        <w14:solidFill>
                          <w14:schemeClr w14:val="tx1"/>
                        </w14:solidFill>
                      </w14:textFill>
                    </w:rPr>
                  </w:pPr>
                </w:p>
              </w:tc>
              <w:tc>
                <w:tcPr>
                  <w:tcW w:w="666" w:type="dxa"/>
                  <w:vMerge w:val="continue"/>
                  <w:vAlign w:val="center"/>
                </w:tcPr>
                <w:p w14:paraId="16FCA03C">
                  <w:pPr>
                    <w:pStyle w:val="90"/>
                    <w:rPr>
                      <w:color w:val="000000" w:themeColor="text1"/>
                      <w14:textFill>
                        <w14:solidFill>
                          <w14:schemeClr w14:val="tx1"/>
                        </w14:solidFill>
                      </w14:textFill>
                    </w:rPr>
                  </w:pPr>
                </w:p>
              </w:tc>
              <w:tc>
                <w:tcPr>
                  <w:tcW w:w="720" w:type="dxa"/>
                  <w:vAlign w:val="center"/>
                </w:tcPr>
                <w:p w14:paraId="1108BBA6">
                  <w:pPr>
                    <w:pStyle w:val="9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676" w:type="dxa"/>
                  <w:vAlign w:val="center"/>
                </w:tcPr>
                <w:p w14:paraId="6EB0ED41">
                  <w:pPr>
                    <w:pStyle w:val="90"/>
                    <w:rPr>
                      <w:color w:val="000000" w:themeColor="text1"/>
                      <w14:textFill>
                        <w14:solidFill>
                          <w14:schemeClr w14:val="tx1"/>
                        </w14:solidFill>
                      </w14:textFill>
                    </w:rPr>
                  </w:pPr>
                  <w:r>
                    <w:rPr>
                      <w:color w:val="000000" w:themeColor="text1"/>
                      <w14:textFill>
                        <w14:solidFill>
                          <w14:schemeClr w14:val="tx1"/>
                        </w14:solidFill>
                      </w14:textFill>
                    </w:rPr>
                    <w:t>0.68</w:t>
                  </w:r>
                </w:p>
              </w:tc>
              <w:tc>
                <w:tcPr>
                  <w:tcW w:w="731" w:type="dxa"/>
                  <w:vMerge w:val="continue"/>
                  <w:vAlign w:val="center"/>
                </w:tcPr>
                <w:p w14:paraId="78B5C911">
                  <w:pPr>
                    <w:pStyle w:val="90"/>
                    <w:rPr>
                      <w:color w:val="000000" w:themeColor="text1"/>
                      <w14:textFill>
                        <w14:solidFill>
                          <w14:schemeClr w14:val="tx1"/>
                        </w14:solidFill>
                      </w14:textFill>
                    </w:rPr>
                  </w:pPr>
                </w:p>
              </w:tc>
              <w:tc>
                <w:tcPr>
                  <w:tcW w:w="513" w:type="dxa"/>
                  <w:vMerge w:val="continue"/>
                  <w:vAlign w:val="center"/>
                </w:tcPr>
                <w:p w14:paraId="3C0453BC">
                  <w:pPr>
                    <w:pStyle w:val="90"/>
                    <w:rPr>
                      <w:color w:val="000000" w:themeColor="text1"/>
                      <w14:textFill>
                        <w14:solidFill>
                          <w14:schemeClr w14:val="tx1"/>
                        </w14:solidFill>
                      </w14:textFill>
                    </w:rPr>
                  </w:pPr>
                </w:p>
              </w:tc>
              <w:tc>
                <w:tcPr>
                  <w:tcW w:w="673" w:type="dxa"/>
                  <w:vMerge w:val="continue"/>
                  <w:vAlign w:val="center"/>
                </w:tcPr>
                <w:p w14:paraId="6674F0EA">
                  <w:pPr>
                    <w:pStyle w:val="90"/>
                    <w:rPr>
                      <w:color w:val="000000" w:themeColor="text1"/>
                      <w14:textFill>
                        <w14:solidFill>
                          <w14:schemeClr w14:val="tx1"/>
                        </w14:solidFill>
                      </w14:textFill>
                    </w:rPr>
                  </w:pPr>
                </w:p>
              </w:tc>
              <w:tc>
                <w:tcPr>
                  <w:tcW w:w="872" w:type="dxa"/>
                  <w:vAlign w:val="center"/>
                </w:tcPr>
                <w:p w14:paraId="5204F3CD">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0BC0E9AD">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251D1267">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r w14:paraId="59315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5" w:hRule="atLeast"/>
                <w:jc w:val="center"/>
              </w:trPr>
              <w:tc>
                <w:tcPr>
                  <w:tcW w:w="266" w:type="dxa"/>
                  <w:vMerge w:val="restart"/>
                  <w:vAlign w:val="center"/>
                </w:tcPr>
                <w:p w14:paraId="5FE034E8">
                  <w:pPr>
                    <w:pStyle w:val="90"/>
                    <w:rPr>
                      <w:color w:val="000000" w:themeColor="text1"/>
                      <w14:textFill>
                        <w14:solidFill>
                          <w14:schemeClr w14:val="tx1"/>
                        </w14:solidFill>
                      </w14:textFill>
                    </w:rPr>
                  </w:pPr>
                  <w:r>
                    <w:rPr>
                      <w:color w:val="000000" w:themeColor="text1"/>
                      <w14:textFill>
                        <w14:solidFill>
                          <w14:schemeClr w14:val="tx1"/>
                        </w14:solidFill>
                      </w14:textFill>
                    </w:rPr>
                    <w:t>拟建项目</w:t>
                  </w:r>
                </w:p>
              </w:tc>
              <w:tc>
                <w:tcPr>
                  <w:tcW w:w="528" w:type="dxa"/>
                  <w:vMerge w:val="restart"/>
                  <w:vAlign w:val="center"/>
                </w:tcPr>
                <w:p w14:paraId="768BEB18">
                  <w:pPr>
                    <w:pStyle w:val="90"/>
                    <w:rPr>
                      <w:color w:val="000000" w:themeColor="text1"/>
                      <w14:textFill>
                        <w14:solidFill>
                          <w14:schemeClr w14:val="tx1"/>
                        </w14:solidFill>
                      </w14:textFill>
                    </w:rPr>
                  </w:pPr>
                  <w:r>
                    <w:rPr>
                      <w:color w:val="000000" w:themeColor="text1"/>
                      <w14:textFill>
                        <w14:solidFill>
                          <w14:schemeClr w14:val="tx1"/>
                        </w14:solidFill>
                      </w14:textFill>
                    </w:rPr>
                    <w:t>初期雨水</w:t>
                  </w:r>
                </w:p>
              </w:tc>
              <w:tc>
                <w:tcPr>
                  <w:tcW w:w="622" w:type="dxa"/>
                  <w:vAlign w:val="center"/>
                </w:tcPr>
                <w:p w14:paraId="47670CB2">
                  <w:pPr>
                    <w:pStyle w:val="90"/>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458" w:type="dxa"/>
                  <w:vMerge w:val="restart"/>
                  <w:vAlign w:val="center"/>
                </w:tcPr>
                <w:p w14:paraId="364C986A">
                  <w:pPr>
                    <w:pStyle w:val="90"/>
                    <w:rPr>
                      <w:color w:val="000000" w:themeColor="text1"/>
                      <w14:textFill>
                        <w14:solidFill>
                          <w14:schemeClr w14:val="tx1"/>
                        </w14:solidFill>
                      </w14:textFill>
                    </w:rPr>
                  </w:pPr>
                  <w:r>
                    <w:rPr>
                      <w:color w:val="000000" w:themeColor="text1"/>
                      <w14:textFill>
                        <w14:solidFill>
                          <w14:schemeClr w14:val="tx1"/>
                        </w14:solidFill>
                      </w14:textFill>
                    </w:rPr>
                    <w:t>类比法</w:t>
                  </w:r>
                </w:p>
              </w:tc>
              <w:tc>
                <w:tcPr>
                  <w:tcW w:w="666" w:type="dxa"/>
                  <w:vMerge w:val="restart"/>
                  <w:vAlign w:val="center"/>
                </w:tcPr>
                <w:p w14:paraId="6BD3B601">
                  <w:pPr>
                    <w:pStyle w:val="90"/>
                    <w:rPr>
                      <w:color w:val="000000" w:themeColor="text1"/>
                      <w14:textFill>
                        <w14:solidFill>
                          <w14:schemeClr w14:val="tx1"/>
                        </w14:solidFill>
                      </w14:textFill>
                    </w:rPr>
                  </w:pPr>
                  <w:r>
                    <w:rPr>
                      <w:color w:val="000000" w:themeColor="text1"/>
                      <w14:textFill>
                        <w14:solidFill>
                          <w14:schemeClr w14:val="tx1"/>
                        </w14:solidFill>
                      </w14:textFill>
                    </w:rPr>
                    <w:t>24.3</w:t>
                  </w:r>
                </w:p>
              </w:tc>
              <w:tc>
                <w:tcPr>
                  <w:tcW w:w="720" w:type="dxa"/>
                  <w:vAlign w:val="center"/>
                </w:tcPr>
                <w:p w14:paraId="5EABD001">
                  <w:pPr>
                    <w:pStyle w:val="90"/>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676" w:type="dxa"/>
                  <w:vAlign w:val="center"/>
                </w:tcPr>
                <w:p w14:paraId="18F06655">
                  <w:pPr>
                    <w:pStyle w:val="90"/>
                    <w:rPr>
                      <w:color w:val="000000" w:themeColor="text1"/>
                      <w14:textFill>
                        <w14:solidFill>
                          <w14:schemeClr w14:val="tx1"/>
                        </w14:solidFill>
                      </w14:textFill>
                    </w:rPr>
                  </w:pPr>
                  <w:r>
                    <w:rPr>
                      <w:color w:val="000000" w:themeColor="text1"/>
                      <w14:textFill>
                        <w14:solidFill>
                          <w14:schemeClr w14:val="tx1"/>
                        </w14:solidFill>
                      </w14:textFill>
                    </w:rPr>
                    <w:t>3.5</w:t>
                  </w:r>
                </w:p>
              </w:tc>
              <w:tc>
                <w:tcPr>
                  <w:tcW w:w="731" w:type="dxa"/>
                  <w:vMerge w:val="continue"/>
                  <w:vAlign w:val="center"/>
                </w:tcPr>
                <w:p w14:paraId="32877A40">
                  <w:pPr>
                    <w:pStyle w:val="90"/>
                    <w:rPr>
                      <w:color w:val="000000" w:themeColor="text1"/>
                      <w14:textFill>
                        <w14:solidFill>
                          <w14:schemeClr w14:val="tx1"/>
                        </w14:solidFill>
                      </w14:textFill>
                    </w:rPr>
                  </w:pPr>
                </w:p>
              </w:tc>
              <w:tc>
                <w:tcPr>
                  <w:tcW w:w="513" w:type="dxa"/>
                  <w:vMerge w:val="continue"/>
                  <w:vAlign w:val="center"/>
                </w:tcPr>
                <w:p w14:paraId="203B156E">
                  <w:pPr>
                    <w:pStyle w:val="90"/>
                    <w:rPr>
                      <w:color w:val="000000" w:themeColor="text1"/>
                      <w14:textFill>
                        <w14:solidFill>
                          <w14:schemeClr w14:val="tx1"/>
                        </w14:solidFill>
                      </w14:textFill>
                    </w:rPr>
                  </w:pPr>
                </w:p>
              </w:tc>
              <w:tc>
                <w:tcPr>
                  <w:tcW w:w="673" w:type="dxa"/>
                  <w:vMerge w:val="restart"/>
                  <w:vAlign w:val="center"/>
                </w:tcPr>
                <w:p w14:paraId="3ADB0176">
                  <w:pPr>
                    <w:pStyle w:val="90"/>
                    <w:rPr>
                      <w:color w:val="000000" w:themeColor="text1"/>
                      <w14:textFill>
                        <w14:solidFill>
                          <w14:schemeClr w14:val="tx1"/>
                        </w14:solidFill>
                      </w14:textFill>
                    </w:rPr>
                  </w:pPr>
                  <w:r>
                    <w:rPr>
                      <w:color w:val="000000" w:themeColor="text1"/>
                      <w14:textFill>
                        <w14:solidFill>
                          <w14:schemeClr w14:val="tx1"/>
                        </w14:solidFill>
                      </w14:textFill>
                    </w:rPr>
                    <w:t>24.3</w:t>
                  </w:r>
                </w:p>
              </w:tc>
              <w:tc>
                <w:tcPr>
                  <w:tcW w:w="872" w:type="dxa"/>
                  <w:vAlign w:val="center"/>
                </w:tcPr>
                <w:p w14:paraId="2886571E">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0363063B">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116A4A56">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r w14:paraId="69A0F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5" w:hRule="atLeast"/>
                <w:jc w:val="center"/>
              </w:trPr>
              <w:tc>
                <w:tcPr>
                  <w:tcW w:w="266" w:type="dxa"/>
                  <w:vMerge w:val="continue"/>
                  <w:vAlign w:val="center"/>
                </w:tcPr>
                <w:p w14:paraId="7F67EAD1">
                  <w:pPr>
                    <w:pStyle w:val="90"/>
                    <w:rPr>
                      <w:color w:val="000000" w:themeColor="text1"/>
                      <w14:textFill>
                        <w14:solidFill>
                          <w14:schemeClr w14:val="tx1"/>
                        </w14:solidFill>
                      </w14:textFill>
                    </w:rPr>
                  </w:pPr>
                </w:p>
              </w:tc>
              <w:tc>
                <w:tcPr>
                  <w:tcW w:w="528" w:type="dxa"/>
                  <w:vMerge w:val="continue"/>
                  <w:vAlign w:val="center"/>
                </w:tcPr>
                <w:p w14:paraId="3E26BDCE">
                  <w:pPr>
                    <w:pStyle w:val="90"/>
                    <w:rPr>
                      <w:color w:val="000000" w:themeColor="text1"/>
                      <w14:textFill>
                        <w14:solidFill>
                          <w14:schemeClr w14:val="tx1"/>
                        </w14:solidFill>
                      </w14:textFill>
                    </w:rPr>
                  </w:pPr>
                </w:p>
              </w:tc>
              <w:tc>
                <w:tcPr>
                  <w:tcW w:w="622" w:type="dxa"/>
                  <w:vAlign w:val="center"/>
                </w:tcPr>
                <w:p w14:paraId="09C72383">
                  <w:pPr>
                    <w:pStyle w:val="90"/>
                    <w:rPr>
                      <w:color w:val="000000" w:themeColor="text1"/>
                      <w14:textFill>
                        <w14:solidFill>
                          <w14:schemeClr w14:val="tx1"/>
                        </w14:solidFill>
                      </w14:textFill>
                    </w:rPr>
                  </w:pPr>
                  <w:r>
                    <w:rPr>
                      <w:color w:val="000000" w:themeColor="text1"/>
                      <w14:textFill>
                        <w14:solidFill>
                          <w14:schemeClr w14:val="tx1"/>
                        </w14:solidFill>
                      </w14:textFill>
                    </w:rPr>
                    <w:t>SS</w:t>
                  </w:r>
                </w:p>
              </w:tc>
              <w:tc>
                <w:tcPr>
                  <w:tcW w:w="458" w:type="dxa"/>
                  <w:vMerge w:val="continue"/>
                  <w:vAlign w:val="center"/>
                </w:tcPr>
                <w:p w14:paraId="42E7AEA6">
                  <w:pPr>
                    <w:pStyle w:val="90"/>
                    <w:rPr>
                      <w:color w:val="000000" w:themeColor="text1"/>
                      <w14:textFill>
                        <w14:solidFill>
                          <w14:schemeClr w14:val="tx1"/>
                        </w14:solidFill>
                      </w14:textFill>
                    </w:rPr>
                  </w:pPr>
                </w:p>
              </w:tc>
              <w:tc>
                <w:tcPr>
                  <w:tcW w:w="666" w:type="dxa"/>
                  <w:vMerge w:val="continue"/>
                  <w:vAlign w:val="center"/>
                </w:tcPr>
                <w:p w14:paraId="71811475">
                  <w:pPr>
                    <w:pStyle w:val="90"/>
                    <w:rPr>
                      <w:color w:val="000000" w:themeColor="text1"/>
                      <w14:textFill>
                        <w14:solidFill>
                          <w14:schemeClr w14:val="tx1"/>
                        </w14:solidFill>
                      </w14:textFill>
                    </w:rPr>
                  </w:pPr>
                </w:p>
              </w:tc>
              <w:tc>
                <w:tcPr>
                  <w:tcW w:w="720" w:type="dxa"/>
                  <w:vAlign w:val="center"/>
                </w:tcPr>
                <w:p w14:paraId="323A151F">
                  <w:pPr>
                    <w:pStyle w:val="90"/>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676" w:type="dxa"/>
                  <w:vAlign w:val="center"/>
                </w:tcPr>
                <w:p w14:paraId="477CF814">
                  <w:pPr>
                    <w:pStyle w:val="90"/>
                    <w:rPr>
                      <w:color w:val="000000" w:themeColor="text1"/>
                      <w14:textFill>
                        <w14:solidFill>
                          <w14:schemeClr w14:val="tx1"/>
                        </w14:solidFill>
                      </w14:textFill>
                    </w:rPr>
                  </w:pPr>
                  <w:r>
                    <w:rPr>
                      <w:color w:val="000000" w:themeColor="text1"/>
                      <w14:textFill>
                        <w14:solidFill>
                          <w14:schemeClr w14:val="tx1"/>
                        </w14:solidFill>
                      </w14:textFill>
                    </w:rPr>
                    <w:t>4.25</w:t>
                  </w:r>
                </w:p>
              </w:tc>
              <w:tc>
                <w:tcPr>
                  <w:tcW w:w="731" w:type="dxa"/>
                  <w:vMerge w:val="continue"/>
                  <w:vAlign w:val="center"/>
                </w:tcPr>
                <w:p w14:paraId="78D3F736">
                  <w:pPr>
                    <w:pStyle w:val="90"/>
                    <w:rPr>
                      <w:color w:val="000000" w:themeColor="text1"/>
                      <w14:textFill>
                        <w14:solidFill>
                          <w14:schemeClr w14:val="tx1"/>
                        </w14:solidFill>
                      </w14:textFill>
                    </w:rPr>
                  </w:pPr>
                </w:p>
              </w:tc>
              <w:tc>
                <w:tcPr>
                  <w:tcW w:w="513" w:type="dxa"/>
                  <w:vMerge w:val="continue"/>
                  <w:vAlign w:val="center"/>
                </w:tcPr>
                <w:p w14:paraId="7372FE19">
                  <w:pPr>
                    <w:pStyle w:val="90"/>
                    <w:rPr>
                      <w:color w:val="000000" w:themeColor="text1"/>
                      <w14:textFill>
                        <w14:solidFill>
                          <w14:schemeClr w14:val="tx1"/>
                        </w14:solidFill>
                      </w14:textFill>
                    </w:rPr>
                  </w:pPr>
                </w:p>
              </w:tc>
              <w:tc>
                <w:tcPr>
                  <w:tcW w:w="673" w:type="dxa"/>
                  <w:vMerge w:val="continue"/>
                  <w:vAlign w:val="center"/>
                </w:tcPr>
                <w:p w14:paraId="54FAFD7B">
                  <w:pPr>
                    <w:pStyle w:val="90"/>
                    <w:rPr>
                      <w:color w:val="000000" w:themeColor="text1"/>
                      <w14:textFill>
                        <w14:solidFill>
                          <w14:schemeClr w14:val="tx1"/>
                        </w14:solidFill>
                      </w14:textFill>
                    </w:rPr>
                  </w:pPr>
                </w:p>
              </w:tc>
              <w:tc>
                <w:tcPr>
                  <w:tcW w:w="872" w:type="dxa"/>
                  <w:vAlign w:val="center"/>
                </w:tcPr>
                <w:p w14:paraId="15183265">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3F89922B">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71728B06">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r w14:paraId="24FDE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266" w:type="dxa"/>
                  <w:vMerge w:val="continue"/>
                  <w:vAlign w:val="center"/>
                </w:tcPr>
                <w:p w14:paraId="606D8A54">
                  <w:pPr>
                    <w:pStyle w:val="90"/>
                    <w:rPr>
                      <w:color w:val="000000" w:themeColor="text1"/>
                      <w14:textFill>
                        <w14:solidFill>
                          <w14:schemeClr w14:val="tx1"/>
                        </w14:solidFill>
                      </w14:textFill>
                    </w:rPr>
                  </w:pPr>
                </w:p>
              </w:tc>
              <w:tc>
                <w:tcPr>
                  <w:tcW w:w="528" w:type="dxa"/>
                  <w:vMerge w:val="restart"/>
                  <w:vAlign w:val="center"/>
                </w:tcPr>
                <w:p w14:paraId="25BFEC60">
                  <w:pPr>
                    <w:pStyle w:val="90"/>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622" w:type="dxa"/>
                  <w:vAlign w:val="center"/>
                </w:tcPr>
                <w:p w14:paraId="64BD7FE6">
                  <w:pPr>
                    <w:pStyle w:val="90"/>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458" w:type="dxa"/>
                  <w:vMerge w:val="restart"/>
                  <w:vAlign w:val="center"/>
                </w:tcPr>
                <w:p w14:paraId="700A2EA2">
                  <w:pPr>
                    <w:pStyle w:val="90"/>
                    <w:rPr>
                      <w:color w:val="000000" w:themeColor="text1"/>
                      <w14:textFill>
                        <w14:solidFill>
                          <w14:schemeClr w14:val="tx1"/>
                        </w14:solidFill>
                      </w14:textFill>
                    </w:rPr>
                  </w:pPr>
                  <w:r>
                    <w:rPr>
                      <w:color w:val="000000" w:themeColor="text1"/>
                      <w14:textFill>
                        <w14:solidFill>
                          <w14:schemeClr w14:val="tx1"/>
                        </w14:solidFill>
                      </w14:textFill>
                    </w:rPr>
                    <w:t>类比法</w:t>
                  </w:r>
                </w:p>
              </w:tc>
              <w:tc>
                <w:tcPr>
                  <w:tcW w:w="666" w:type="dxa"/>
                  <w:vMerge w:val="restart"/>
                  <w:vAlign w:val="center"/>
                </w:tcPr>
                <w:p w14:paraId="4EEE135C">
                  <w:pPr>
                    <w:pStyle w:val="90"/>
                    <w:rPr>
                      <w:color w:val="000000" w:themeColor="text1"/>
                      <w14:textFill>
                        <w14:solidFill>
                          <w14:schemeClr w14:val="tx1"/>
                        </w14:solidFill>
                      </w14:textFill>
                    </w:rPr>
                  </w:pPr>
                  <w:r>
                    <w:rPr>
                      <w:color w:val="000000" w:themeColor="text1"/>
                      <w14:textFill>
                        <w14:solidFill>
                          <w14:schemeClr w14:val="tx1"/>
                        </w14:solidFill>
                      </w14:textFill>
                    </w:rPr>
                    <w:t>0.293</w:t>
                  </w:r>
                </w:p>
              </w:tc>
              <w:tc>
                <w:tcPr>
                  <w:tcW w:w="720" w:type="dxa"/>
                  <w:vAlign w:val="center"/>
                </w:tcPr>
                <w:p w14:paraId="47428496">
                  <w:pPr>
                    <w:pStyle w:val="90"/>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676" w:type="dxa"/>
                  <w:vAlign w:val="center"/>
                </w:tcPr>
                <w:p w14:paraId="597DB735">
                  <w:pPr>
                    <w:pStyle w:val="90"/>
                    <w:rPr>
                      <w:color w:val="000000" w:themeColor="text1"/>
                      <w14:textFill>
                        <w14:solidFill>
                          <w14:schemeClr w14:val="tx1"/>
                        </w14:solidFill>
                      </w14:textFill>
                    </w:rPr>
                  </w:pPr>
                  <w:r>
                    <w:rPr>
                      <w:color w:val="000000" w:themeColor="text1"/>
                      <w14:textFill>
                        <w14:solidFill>
                          <w14:schemeClr w14:val="tx1"/>
                        </w14:solidFill>
                      </w14:textFill>
                    </w:rPr>
                    <w:t>0.03</w:t>
                  </w:r>
                </w:p>
              </w:tc>
              <w:tc>
                <w:tcPr>
                  <w:tcW w:w="731" w:type="dxa"/>
                  <w:vMerge w:val="restart"/>
                  <w:vAlign w:val="center"/>
                </w:tcPr>
                <w:p w14:paraId="1E8B556A">
                  <w:pPr>
                    <w:pStyle w:val="90"/>
                    <w:rPr>
                      <w:color w:val="000000" w:themeColor="text1"/>
                      <w14:textFill>
                        <w14:solidFill>
                          <w14:schemeClr w14:val="tx1"/>
                        </w14:solidFill>
                      </w14:textFill>
                    </w:rPr>
                  </w:pPr>
                  <w:r>
                    <w:rPr>
                      <w:color w:val="000000" w:themeColor="text1"/>
                      <w14:textFill>
                        <w14:solidFill>
                          <w14:schemeClr w14:val="tx1"/>
                        </w14:solidFill>
                      </w14:textFill>
                    </w:rPr>
                    <w:t>预处理后排至中央污水站处理后回用</w:t>
                  </w:r>
                </w:p>
              </w:tc>
              <w:tc>
                <w:tcPr>
                  <w:tcW w:w="513" w:type="dxa"/>
                  <w:vMerge w:val="continue"/>
                  <w:vAlign w:val="center"/>
                </w:tcPr>
                <w:p w14:paraId="0555C3B1">
                  <w:pPr>
                    <w:pStyle w:val="90"/>
                    <w:rPr>
                      <w:color w:val="000000" w:themeColor="text1"/>
                      <w14:textFill>
                        <w14:solidFill>
                          <w14:schemeClr w14:val="tx1"/>
                        </w14:solidFill>
                      </w14:textFill>
                    </w:rPr>
                  </w:pPr>
                </w:p>
              </w:tc>
              <w:tc>
                <w:tcPr>
                  <w:tcW w:w="673" w:type="dxa"/>
                  <w:vMerge w:val="restart"/>
                  <w:vAlign w:val="center"/>
                </w:tcPr>
                <w:p w14:paraId="51F0209E">
                  <w:pPr>
                    <w:pStyle w:val="90"/>
                    <w:rPr>
                      <w:color w:val="000000" w:themeColor="text1"/>
                      <w14:textFill>
                        <w14:solidFill>
                          <w14:schemeClr w14:val="tx1"/>
                        </w14:solidFill>
                      </w14:textFill>
                    </w:rPr>
                  </w:pPr>
                  <w:r>
                    <w:rPr>
                      <w:color w:val="000000" w:themeColor="text1"/>
                      <w14:textFill>
                        <w14:solidFill>
                          <w14:schemeClr w14:val="tx1"/>
                        </w14:solidFill>
                      </w14:textFill>
                    </w:rPr>
                    <w:t>0.293</w:t>
                  </w:r>
                </w:p>
              </w:tc>
              <w:tc>
                <w:tcPr>
                  <w:tcW w:w="872" w:type="dxa"/>
                  <w:vAlign w:val="center"/>
                </w:tcPr>
                <w:p w14:paraId="5E567DB0">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143C300B">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35BB1A9C">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r w14:paraId="0679D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8" w:hRule="atLeast"/>
                <w:jc w:val="center"/>
              </w:trPr>
              <w:tc>
                <w:tcPr>
                  <w:tcW w:w="266" w:type="dxa"/>
                  <w:vMerge w:val="continue"/>
                  <w:vAlign w:val="center"/>
                </w:tcPr>
                <w:p w14:paraId="120DC954">
                  <w:pPr>
                    <w:pStyle w:val="90"/>
                    <w:rPr>
                      <w:color w:val="000000" w:themeColor="text1"/>
                      <w14:textFill>
                        <w14:solidFill>
                          <w14:schemeClr w14:val="tx1"/>
                        </w14:solidFill>
                      </w14:textFill>
                    </w:rPr>
                  </w:pPr>
                </w:p>
              </w:tc>
              <w:tc>
                <w:tcPr>
                  <w:tcW w:w="528" w:type="dxa"/>
                  <w:vMerge w:val="continue"/>
                  <w:vAlign w:val="center"/>
                </w:tcPr>
                <w:p w14:paraId="1EB7D74D">
                  <w:pPr>
                    <w:pStyle w:val="90"/>
                    <w:rPr>
                      <w:color w:val="000000" w:themeColor="text1"/>
                      <w14:textFill>
                        <w14:solidFill>
                          <w14:schemeClr w14:val="tx1"/>
                        </w14:solidFill>
                      </w14:textFill>
                    </w:rPr>
                  </w:pPr>
                </w:p>
              </w:tc>
              <w:tc>
                <w:tcPr>
                  <w:tcW w:w="622" w:type="dxa"/>
                  <w:vAlign w:val="center"/>
                </w:tcPr>
                <w:p w14:paraId="07C6A961">
                  <w:pPr>
                    <w:pStyle w:val="90"/>
                    <w:rPr>
                      <w:color w:val="000000" w:themeColor="text1"/>
                      <w14:textFill>
                        <w14:solidFill>
                          <w14:schemeClr w14:val="tx1"/>
                        </w14:solidFill>
                      </w14:textFill>
                    </w:rPr>
                  </w:pPr>
                  <w:r>
                    <w:rPr>
                      <w:color w:val="000000" w:themeColor="text1"/>
                      <w14:textFill>
                        <w14:solidFill>
                          <w14:schemeClr w14:val="tx1"/>
                        </w14:solidFill>
                      </w14:textFill>
                    </w:rPr>
                    <w:t>SS</w:t>
                  </w:r>
                </w:p>
              </w:tc>
              <w:tc>
                <w:tcPr>
                  <w:tcW w:w="458" w:type="dxa"/>
                  <w:vMerge w:val="continue"/>
                  <w:vAlign w:val="center"/>
                </w:tcPr>
                <w:p w14:paraId="02AC7BE3">
                  <w:pPr>
                    <w:pStyle w:val="90"/>
                    <w:rPr>
                      <w:color w:val="000000" w:themeColor="text1"/>
                      <w14:textFill>
                        <w14:solidFill>
                          <w14:schemeClr w14:val="tx1"/>
                        </w14:solidFill>
                      </w14:textFill>
                    </w:rPr>
                  </w:pPr>
                </w:p>
              </w:tc>
              <w:tc>
                <w:tcPr>
                  <w:tcW w:w="666" w:type="dxa"/>
                  <w:vMerge w:val="continue"/>
                  <w:vAlign w:val="center"/>
                </w:tcPr>
                <w:p w14:paraId="440D4A82">
                  <w:pPr>
                    <w:pStyle w:val="90"/>
                    <w:rPr>
                      <w:color w:val="000000" w:themeColor="text1"/>
                      <w14:textFill>
                        <w14:solidFill>
                          <w14:schemeClr w14:val="tx1"/>
                        </w14:solidFill>
                      </w14:textFill>
                    </w:rPr>
                  </w:pPr>
                </w:p>
              </w:tc>
              <w:tc>
                <w:tcPr>
                  <w:tcW w:w="720" w:type="dxa"/>
                  <w:vAlign w:val="center"/>
                </w:tcPr>
                <w:p w14:paraId="761F29C9">
                  <w:pPr>
                    <w:pStyle w:val="90"/>
                    <w:rPr>
                      <w:color w:val="000000" w:themeColor="text1"/>
                      <w14:textFill>
                        <w14:solidFill>
                          <w14:schemeClr w14:val="tx1"/>
                        </w14:solidFill>
                      </w14:textFill>
                    </w:rPr>
                  </w:pPr>
                  <w:r>
                    <w:rPr>
                      <w:color w:val="000000" w:themeColor="text1"/>
                      <w14:textFill>
                        <w14:solidFill>
                          <w14:schemeClr w14:val="tx1"/>
                        </w14:solidFill>
                      </w14:textFill>
                    </w:rPr>
                    <w:t>70</w:t>
                  </w:r>
                </w:p>
              </w:tc>
              <w:tc>
                <w:tcPr>
                  <w:tcW w:w="676" w:type="dxa"/>
                  <w:vAlign w:val="center"/>
                </w:tcPr>
                <w:p w14:paraId="74D16B9B">
                  <w:pPr>
                    <w:pStyle w:val="90"/>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731" w:type="dxa"/>
                  <w:vMerge w:val="continue"/>
                  <w:vAlign w:val="center"/>
                </w:tcPr>
                <w:p w14:paraId="44C3713A">
                  <w:pPr>
                    <w:pStyle w:val="90"/>
                    <w:rPr>
                      <w:color w:val="000000" w:themeColor="text1"/>
                      <w14:textFill>
                        <w14:solidFill>
                          <w14:schemeClr w14:val="tx1"/>
                        </w14:solidFill>
                      </w14:textFill>
                    </w:rPr>
                  </w:pPr>
                </w:p>
              </w:tc>
              <w:tc>
                <w:tcPr>
                  <w:tcW w:w="513" w:type="dxa"/>
                  <w:vMerge w:val="continue"/>
                  <w:vAlign w:val="center"/>
                </w:tcPr>
                <w:p w14:paraId="26586880">
                  <w:pPr>
                    <w:pStyle w:val="90"/>
                    <w:rPr>
                      <w:color w:val="000000" w:themeColor="text1"/>
                      <w14:textFill>
                        <w14:solidFill>
                          <w14:schemeClr w14:val="tx1"/>
                        </w14:solidFill>
                      </w14:textFill>
                    </w:rPr>
                  </w:pPr>
                </w:p>
              </w:tc>
              <w:tc>
                <w:tcPr>
                  <w:tcW w:w="673" w:type="dxa"/>
                  <w:vMerge w:val="continue"/>
                  <w:vAlign w:val="center"/>
                </w:tcPr>
                <w:p w14:paraId="0FEE9B64">
                  <w:pPr>
                    <w:pStyle w:val="90"/>
                    <w:rPr>
                      <w:color w:val="000000" w:themeColor="text1"/>
                      <w14:textFill>
                        <w14:solidFill>
                          <w14:schemeClr w14:val="tx1"/>
                        </w14:solidFill>
                      </w14:textFill>
                    </w:rPr>
                  </w:pPr>
                </w:p>
              </w:tc>
              <w:tc>
                <w:tcPr>
                  <w:tcW w:w="872" w:type="dxa"/>
                  <w:vAlign w:val="center"/>
                </w:tcPr>
                <w:p w14:paraId="562F92DB">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6C44F263">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0D5CF10F">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r w14:paraId="57685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202" w:hRule="atLeast"/>
                <w:jc w:val="center"/>
              </w:trPr>
              <w:tc>
                <w:tcPr>
                  <w:tcW w:w="266" w:type="dxa"/>
                  <w:vMerge w:val="continue"/>
                  <w:vAlign w:val="center"/>
                </w:tcPr>
                <w:p w14:paraId="26B7CA71">
                  <w:pPr>
                    <w:pStyle w:val="90"/>
                    <w:rPr>
                      <w:color w:val="000000" w:themeColor="text1"/>
                      <w14:textFill>
                        <w14:solidFill>
                          <w14:schemeClr w14:val="tx1"/>
                        </w14:solidFill>
                      </w14:textFill>
                    </w:rPr>
                  </w:pPr>
                </w:p>
              </w:tc>
              <w:tc>
                <w:tcPr>
                  <w:tcW w:w="528" w:type="dxa"/>
                  <w:vMerge w:val="continue"/>
                  <w:vAlign w:val="center"/>
                </w:tcPr>
                <w:p w14:paraId="59777CE8">
                  <w:pPr>
                    <w:pStyle w:val="90"/>
                    <w:rPr>
                      <w:color w:val="000000" w:themeColor="text1"/>
                      <w14:textFill>
                        <w14:solidFill>
                          <w14:schemeClr w14:val="tx1"/>
                        </w14:solidFill>
                      </w14:textFill>
                    </w:rPr>
                  </w:pPr>
                </w:p>
              </w:tc>
              <w:tc>
                <w:tcPr>
                  <w:tcW w:w="622" w:type="dxa"/>
                  <w:vAlign w:val="center"/>
                </w:tcPr>
                <w:p w14:paraId="2E6E6F8B">
                  <w:pPr>
                    <w:pStyle w:val="90"/>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458" w:type="dxa"/>
                  <w:vMerge w:val="continue"/>
                  <w:vAlign w:val="center"/>
                </w:tcPr>
                <w:p w14:paraId="7E8BF34B">
                  <w:pPr>
                    <w:pStyle w:val="90"/>
                    <w:rPr>
                      <w:color w:val="000000" w:themeColor="text1"/>
                      <w14:textFill>
                        <w14:solidFill>
                          <w14:schemeClr w14:val="tx1"/>
                        </w14:solidFill>
                      </w14:textFill>
                    </w:rPr>
                  </w:pPr>
                </w:p>
              </w:tc>
              <w:tc>
                <w:tcPr>
                  <w:tcW w:w="666" w:type="dxa"/>
                  <w:vMerge w:val="continue"/>
                  <w:vAlign w:val="center"/>
                </w:tcPr>
                <w:p w14:paraId="22472477">
                  <w:pPr>
                    <w:pStyle w:val="90"/>
                    <w:rPr>
                      <w:color w:val="000000" w:themeColor="text1"/>
                      <w14:textFill>
                        <w14:solidFill>
                          <w14:schemeClr w14:val="tx1"/>
                        </w14:solidFill>
                      </w14:textFill>
                    </w:rPr>
                  </w:pPr>
                </w:p>
              </w:tc>
              <w:tc>
                <w:tcPr>
                  <w:tcW w:w="720" w:type="dxa"/>
                  <w:vAlign w:val="center"/>
                </w:tcPr>
                <w:p w14:paraId="3C96D1EE">
                  <w:pPr>
                    <w:pStyle w:val="90"/>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6" w:type="dxa"/>
                  <w:vAlign w:val="center"/>
                </w:tcPr>
                <w:p w14:paraId="11BC936C">
                  <w:pPr>
                    <w:pStyle w:val="90"/>
                    <w:rPr>
                      <w:color w:val="000000" w:themeColor="text1"/>
                      <w14:textFill>
                        <w14:solidFill>
                          <w14:schemeClr w14:val="tx1"/>
                        </w14:solidFill>
                      </w14:textFill>
                    </w:rPr>
                  </w:pPr>
                  <w:r>
                    <w:rPr>
                      <w:color w:val="000000" w:themeColor="text1"/>
                      <w14:textFill>
                        <w14:solidFill>
                          <w14:schemeClr w14:val="tx1"/>
                        </w14:solidFill>
                      </w14:textFill>
                    </w:rPr>
                    <w:t>0.004</w:t>
                  </w:r>
                </w:p>
              </w:tc>
              <w:tc>
                <w:tcPr>
                  <w:tcW w:w="731" w:type="dxa"/>
                  <w:vMerge w:val="continue"/>
                  <w:vAlign w:val="center"/>
                </w:tcPr>
                <w:p w14:paraId="5E3DE0C6">
                  <w:pPr>
                    <w:pStyle w:val="90"/>
                    <w:rPr>
                      <w:color w:val="000000" w:themeColor="text1"/>
                      <w14:textFill>
                        <w14:solidFill>
                          <w14:schemeClr w14:val="tx1"/>
                        </w14:solidFill>
                      </w14:textFill>
                    </w:rPr>
                  </w:pPr>
                </w:p>
              </w:tc>
              <w:tc>
                <w:tcPr>
                  <w:tcW w:w="513" w:type="dxa"/>
                  <w:vMerge w:val="continue"/>
                  <w:vAlign w:val="center"/>
                </w:tcPr>
                <w:p w14:paraId="25BA2994">
                  <w:pPr>
                    <w:pStyle w:val="90"/>
                    <w:rPr>
                      <w:color w:val="000000" w:themeColor="text1"/>
                      <w14:textFill>
                        <w14:solidFill>
                          <w14:schemeClr w14:val="tx1"/>
                        </w14:solidFill>
                      </w14:textFill>
                    </w:rPr>
                  </w:pPr>
                </w:p>
              </w:tc>
              <w:tc>
                <w:tcPr>
                  <w:tcW w:w="673" w:type="dxa"/>
                  <w:vMerge w:val="continue"/>
                  <w:vAlign w:val="center"/>
                </w:tcPr>
                <w:p w14:paraId="308E1129">
                  <w:pPr>
                    <w:pStyle w:val="90"/>
                    <w:rPr>
                      <w:color w:val="000000" w:themeColor="text1"/>
                      <w14:textFill>
                        <w14:solidFill>
                          <w14:schemeClr w14:val="tx1"/>
                        </w14:solidFill>
                      </w14:textFill>
                    </w:rPr>
                  </w:pPr>
                </w:p>
              </w:tc>
              <w:tc>
                <w:tcPr>
                  <w:tcW w:w="872" w:type="dxa"/>
                  <w:vAlign w:val="center"/>
                </w:tcPr>
                <w:p w14:paraId="26926633">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31" w:type="dxa"/>
                  <w:vAlign w:val="center"/>
                </w:tcPr>
                <w:p w14:paraId="040E77D2">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51" w:type="dxa"/>
                  <w:vAlign w:val="center"/>
                </w:tcPr>
                <w:p w14:paraId="5DB73CA8">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r>
          </w:tbl>
          <w:p w14:paraId="0E702C51">
            <w:pPr>
              <w:ind w:firstLine="480"/>
              <w:rPr>
                <w:rStyle w:val="56"/>
                <w:rFonts w:cs="Times New Roman"/>
                <w:color w:val="000000" w:themeColor="text1"/>
                <w:sz w:val="24"/>
                <w14:textFill>
                  <w14:solidFill>
                    <w14:schemeClr w14:val="tx1"/>
                  </w14:solidFill>
                </w14:textFill>
              </w:rPr>
            </w:pPr>
            <w:r>
              <w:rPr>
                <w:rFonts w:cs="Times New Roman"/>
                <w:color w:val="000000" w:themeColor="text1"/>
                <w14:textFill>
                  <w14:solidFill>
                    <w14:schemeClr w14:val="tx1"/>
                  </w14:solidFill>
                </w14:textFill>
              </w:rPr>
              <w:t>根据工程分析及分质分流要求，拟建项目废水实行“分类收集、分质处理、梯级回用”，</w:t>
            </w:r>
            <w:r>
              <w:rPr>
                <w:rFonts w:cs="Times New Roman"/>
                <w:color w:val="000000" w:themeColor="text1"/>
                <w:lang w:val="zh-CN"/>
                <w14:textFill>
                  <w14:solidFill>
                    <w14:schemeClr w14:val="tx1"/>
                  </w14:solidFill>
                </w14:textFill>
              </w:rPr>
              <w:t>生活污水经预处理后</w:t>
            </w:r>
            <w:r>
              <w:rPr>
                <w:rFonts w:cs="Times New Roman"/>
                <w:color w:val="000000" w:themeColor="text1"/>
                <w14:textFill>
                  <w14:solidFill>
                    <w14:schemeClr w14:val="tx1"/>
                  </w14:solidFill>
                </w14:textFill>
              </w:rPr>
              <w:t>与生产废水排入中央污水处理站，处理后进工业新水管网回用</w:t>
            </w:r>
            <w:r>
              <w:rPr>
                <w:rFonts w:cs="Times New Roman"/>
                <w:color w:val="000000" w:themeColor="text1"/>
                <w:lang w:val="zh-CN"/>
                <w14:textFill>
                  <w14:solidFill>
                    <w14:schemeClr w14:val="tx1"/>
                  </w14:solidFill>
                </w14:textFill>
              </w:rPr>
              <w:t>。整个项目的废水均不外排。因此，拟建项目不会对项目周边的</w:t>
            </w:r>
            <w:r>
              <w:rPr>
                <w:rFonts w:cs="Times New Roman"/>
                <w:color w:val="000000" w:themeColor="text1"/>
                <w14:textFill>
                  <w14:solidFill>
                    <w14:schemeClr w14:val="tx1"/>
                  </w14:solidFill>
                </w14:textFill>
              </w:rPr>
              <w:t>排洪渠、滞洪区、罗源湾海域水质</w:t>
            </w:r>
            <w:r>
              <w:rPr>
                <w:rFonts w:cs="Times New Roman"/>
                <w:color w:val="000000" w:themeColor="text1"/>
                <w:lang w:val="zh-CN"/>
                <w14:textFill>
                  <w14:solidFill>
                    <w14:schemeClr w14:val="tx1"/>
                  </w14:solidFill>
                </w14:textFill>
              </w:rPr>
              <w:t>产生影响。</w:t>
            </w:r>
          </w:p>
          <w:p w14:paraId="14D51ADC">
            <w:pPr>
              <w:pStyle w:val="4"/>
              <w:rPr>
                <w:rFonts w:cs="Times New Roman"/>
                <w:color w:val="000000" w:themeColor="text1"/>
                <w14:textFill>
                  <w14:solidFill>
                    <w14:schemeClr w14:val="tx1"/>
                  </w14:solidFill>
                </w14:textFill>
              </w:rPr>
            </w:pPr>
            <w:bookmarkStart w:id="158" w:name="_Toc3043"/>
            <w:r>
              <w:rPr>
                <w:rFonts w:cs="Times New Roman"/>
                <w:color w:val="000000" w:themeColor="text1"/>
                <w14:textFill>
                  <w14:solidFill>
                    <w14:schemeClr w14:val="tx1"/>
                  </w14:solidFill>
                </w14:textFill>
              </w:rPr>
              <w:t>废</w:t>
            </w:r>
            <w:bookmarkStart w:id="159" w:name="_Toc529200454"/>
            <w:r>
              <w:rPr>
                <w:rFonts w:cs="Times New Roman"/>
                <w:color w:val="000000" w:themeColor="text1"/>
                <w14:textFill>
                  <w14:solidFill>
                    <w14:schemeClr w14:val="tx1"/>
                  </w14:solidFill>
                </w14:textFill>
              </w:rPr>
              <w:t>水治理措施及可行性</w:t>
            </w:r>
            <w:bookmarkEnd w:id="158"/>
            <w:r>
              <w:rPr>
                <w:rFonts w:cs="Times New Roman"/>
                <w:color w:val="000000" w:themeColor="text1"/>
                <w14:textFill>
                  <w14:solidFill>
                    <w14:schemeClr w14:val="tx1"/>
                  </w14:solidFill>
                </w14:textFill>
              </w:rPr>
              <w:t>分析</w:t>
            </w:r>
          </w:p>
          <w:bookmarkEnd w:id="159"/>
          <w:p w14:paraId="0D807664">
            <w:pPr>
              <w:kinsoku w:val="0"/>
              <w:overflowPunct w:val="0"/>
              <w:autoSpaceDE w:val="0"/>
              <w:autoSpaceDN w:val="0"/>
              <w:adjustRightInd w:val="0"/>
              <w:ind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（1）设备冷却水（净环水）</w:t>
            </w:r>
          </w:p>
          <w:p w14:paraId="292607F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轮机、锅炉房、脱硫风机及电气变频器装置等需要间接冷却，设备冷却水经净水循环水系统冷却后循环使用，不外排。净循环水处理系统冷却水用于各机组的设备间接冷却，根据主体工艺要求，循环冷却水用量为22480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/h，生产补充新水量约为248m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w:t>
            </w:r>
          </w:p>
          <w:p w14:paraId="2835894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保证净循环供水水质，设置循环水旁滤设施及自清洗管道过滤器。循环水系统旁滤设施的旁滤水量约为总循环水量的5%，旁滤水取自冷水池，由旁滤泵提升至旁滤过滤器进行过滤后再回到冷水池中。在净循环供水管道上设置自清洗管道过滤器，净循环水供水经自清洗过滤器过滤后供给各用户；旁滤过滤器及自清洗管道过滤器的反冲洗排污水排入新建的废水收集坑后，用泵提升至中央污水处理站。</w:t>
            </w:r>
          </w:p>
          <w:p w14:paraId="5788A58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保证系统水质并减少系统在循环过程中产生结垢、腐蚀现象和防止藻类生长，在循环水系统中设有加药设备，在净循环冷水池中投加防腐阻垢剂及杀菌灭藻剂。由于循环水在冷却及管道输送过程中存在风吹损失、蒸发损失以及管路漏损和排污，净环水系统浓缩倍数按4倍考虑，为保持循环水系统水量平衡，系统设有补水管，补水采用生产-消防水，生产消防水接自德盛生产-消防水管。</w:t>
            </w:r>
          </w:p>
          <w:p w14:paraId="4D99E99B">
            <w:pPr>
              <w:kinsoku w:val="0"/>
              <w:overflowPunct w:val="0"/>
              <w:autoSpaceDE w:val="0"/>
              <w:autoSpaceDN w:val="0"/>
              <w:adjustRightIn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（2）除盐水系统排水</w:t>
            </w:r>
          </w:p>
          <w:p w14:paraId="1C919EE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项目除盐水系统纯水制备规模为40m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/h，排放的浓水水量约为2m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排放的浓水水质清洁、污染负荷极低，仅溶解性固体含量较高，无需常规生化处理，直接经专用管道收集后，提升至中央污水处理站深度处理单元（预处理+UF+一级RO+二级RO”工艺），进一步去除水中溶解性固体，降低TDS浓度，确保满足回用水质要求。</w:t>
            </w:r>
          </w:p>
          <w:p w14:paraId="27A9D064">
            <w:pPr>
              <w:kinsoku w:val="0"/>
              <w:overflowPunct w:val="0"/>
              <w:autoSpaceDE w:val="0"/>
              <w:autoSpaceDN w:val="0"/>
              <w:adjustRightIn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（3）锅炉排污水</w:t>
            </w:r>
          </w:p>
          <w:p w14:paraId="600DD55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排污水温度80℃～90℃，为纯水冷凝水，水质较好，首先经专用降温装置（板式换热器）冷却至40℃以下，避免高温对后续处理设施及管道造成损坏；冷却后经专用管道收集，直接接入中央污水处理站多介质过滤单元，去除少量悬浮物后，进入深度处理单元，无需额外生化处理，大幅降低处理成本。</w:t>
            </w:r>
          </w:p>
          <w:p w14:paraId="10D3E13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（4）初期雨水、生活污水</w:t>
            </w:r>
          </w:p>
          <w:p w14:paraId="0558A91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拟建项目新增初期雨水1.01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/h，排入中央污水处理站处理；生活污水0.293m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/h，生活污水经预处理后进入中央污水处理站处理。</w:t>
            </w:r>
          </w:p>
          <w:p w14:paraId="7B19666B">
            <w:pPr>
              <w:ind w:firstLine="480"/>
              <w:rPr>
                <w:rFonts w:cs="Times New Roman"/>
                <w:color w:val="000000" w:themeColor="text1"/>
                <w14:textFill>
                  <w14:solidFill>
                    <w14:schemeClr w14:val="tx1"/>
                  </w14:solidFill>
                </w14:textFill>
              </w:rPr>
            </w:pPr>
            <w:bookmarkStart w:id="160" w:name="heading_6"/>
            <w:r>
              <w:rPr>
                <w:rFonts w:cs="Times New Roman"/>
                <w:color w:val="000000" w:themeColor="text1"/>
                <w14:textFill>
                  <w14:solidFill>
                    <w14:schemeClr w14:val="tx1"/>
                  </w14:solidFill>
                </w14:textFill>
              </w:rPr>
              <w:t>（5）分质处理可行性小结</w:t>
            </w:r>
            <w:bookmarkEnd w:id="160"/>
          </w:p>
          <w:p w14:paraId="5D4ACEF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按“清洁废水单独处理、低污染废水预处理后合并处理”的原则，针对性设置治理措施，符合钢铁行业废水处理规范要求：净循环水排水、锅炉排污水以物理过滤处理为主，除盐水浓水以深度脱盐处理为主，生活污水以生化预处理为主，各处理工艺成熟、可靠，且与宝钢德盛现有中央污水处理站工艺匹配，处理难度低、运行成本可控，可确保各类废水处理后达到回用标准。</w:t>
            </w:r>
          </w:p>
          <w:p w14:paraId="006DB053">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本项目废水接入中央污水处理站的可行性</w:t>
            </w:r>
          </w:p>
          <w:p w14:paraId="2FBEC51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净循环排水、除盐水系统浓排水、锅炉排污水等生产废水排入厂区中央废水处理站处理达到《钢铁工业废水治理回用工程技术规范》（HJ2019-2012）中综合污水处理设施回用水主要水质控制指标后回用。常规处理工艺为“澄清+沉淀+多介质过滤”，深度处理工艺为“UF+一级RO+二级RO+浓水RO”，处理后可满足《钢铁工业废水治理回用工程技术规范》（HJ2019-2012）中综合污水处理设施回用水主要水质控制指标。</w:t>
            </w:r>
          </w:p>
          <w:p w14:paraId="442D237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宝钢德盛全厂中央污水处理站的规模为2.04万t/d，目前企业全厂生产废水处理量为9045 t/d，远小于废水处理系统的处理规模。拟建项目生产废水量为1855.5 t/d，因此中央污水处理站废水处理系统余量能满足项目需求。</w:t>
            </w:r>
          </w:p>
          <w:p w14:paraId="2A7B1F6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以下为2024年度企业中央废水处理站回用水水质自行监测结果，由下表可知，宝钢德盛中央废水处理站废水处理工艺有效可行，处理尾水可达《钢铁工业废水治理回用工程技术规范》（HJ2019-2012）中综合污水处理设施回用水主要水质控制指标。</w:t>
            </w:r>
          </w:p>
          <w:p w14:paraId="7F8DAB1A">
            <w:pPr>
              <w:pStyle w:val="98"/>
              <w:spacing w:before="24" w:after="24"/>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中央污水处理站回用水水质一览表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907"/>
              <w:gridCol w:w="1473"/>
              <w:gridCol w:w="1775"/>
              <w:gridCol w:w="1223"/>
              <w:gridCol w:w="780"/>
              <w:gridCol w:w="778"/>
            </w:tblGrid>
            <w:tr w14:paraId="69630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7" w:type="pct"/>
                  <w:vMerge w:val="restart"/>
                  <w:tcBorders>
                    <w:top w:val="single" w:color="auto" w:sz="6" w:space="0"/>
                    <w:left w:val="single" w:color="auto" w:sz="6" w:space="0"/>
                    <w:bottom w:val="single" w:color="auto" w:sz="6" w:space="0"/>
                    <w:right w:val="single" w:color="auto" w:sz="6" w:space="0"/>
                    <w:tl2br w:val="single" w:color="auto" w:sz="4" w:space="0"/>
                  </w:tcBorders>
                  <w:vAlign w:val="center"/>
                </w:tcPr>
                <w:p w14:paraId="696E52F3">
                  <w:pPr>
                    <w:pStyle w:val="90"/>
                    <w:rPr>
                      <w:color w:val="000000" w:themeColor="text1"/>
                      <w14:textFill>
                        <w14:solidFill>
                          <w14:schemeClr w14:val="tx1"/>
                        </w14:solidFill>
                      </w14:textFill>
                    </w:rPr>
                  </w:pPr>
                  <w:r>
                    <w:rPr>
                      <w:color w:val="000000" w:themeColor="text1"/>
                      <w14:textFill>
                        <w14:solidFill>
                          <w14:schemeClr w14:val="tx1"/>
                        </w14:solidFill>
                      </w14:textFill>
                    </w:rPr>
                    <w:t xml:space="preserve">   项目</w:t>
                  </w:r>
                </w:p>
                <w:p w14:paraId="1CB612AF">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533" w:type="pct"/>
                  <w:vMerge w:val="restart"/>
                  <w:tcBorders>
                    <w:top w:val="single" w:color="auto" w:sz="6" w:space="0"/>
                    <w:left w:val="single" w:color="auto" w:sz="6" w:space="0"/>
                    <w:bottom w:val="single" w:color="auto" w:sz="6" w:space="0"/>
                    <w:right w:val="single" w:color="auto" w:sz="6" w:space="0"/>
                  </w:tcBorders>
                  <w:vAlign w:val="center"/>
                </w:tcPr>
                <w:p w14:paraId="53A53474">
                  <w:pPr>
                    <w:pStyle w:val="90"/>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867" w:type="pct"/>
                  <w:vMerge w:val="restart"/>
                  <w:tcBorders>
                    <w:top w:val="single" w:color="auto" w:sz="6" w:space="0"/>
                    <w:left w:val="single" w:color="auto" w:sz="6" w:space="0"/>
                    <w:bottom w:val="single" w:color="auto" w:sz="6" w:space="0"/>
                    <w:right w:val="single" w:color="auto" w:sz="6" w:space="0"/>
                  </w:tcBorders>
                  <w:vAlign w:val="center"/>
                </w:tcPr>
                <w:p w14:paraId="2AC249DC">
                  <w:pPr>
                    <w:pStyle w:val="90"/>
                    <w:rPr>
                      <w:color w:val="000000" w:themeColor="text1"/>
                      <w14:textFill>
                        <w14:solidFill>
                          <w14:schemeClr w14:val="tx1"/>
                        </w14:solidFill>
                      </w14:textFill>
                    </w:rPr>
                  </w:pPr>
                  <w:r>
                    <w:rPr>
                      <w:color w:val="000000" w:themeColor="text1"/>
                      <w14:textFill>
                        <w14:solidFill>
                          <w14:schemeClr w14:val="tx1"/>
                        </w14:solidFill>
                      </w14:textFill>
                    </w:rPr>
                    <w:t>浓度(mg/L)</w:t>
                  </w:r>
                </w:p>
              </w:tc>
              <w:tc>
                <w:tcPr>
                  <w:tcW w:w="1765" w:type="pct"/>
                  <w:gridSpan w:val="2"/>
                  <w:tcBorders>
                    <w:top w:val="single" w:color="auto" w:sz="6" w:space="0"/>
                    <w:left w:val="single" w:color="auto" w:sz="6" w:space="0"/>
                    <w:bottom w:val="single" w:color="auto" w:sz="6" w:space="0"/>
                    <w:right w:val="single" w:color="auto" w:sz="6" w:space="0"/>
                  </w:tcBorders>
                  <w:vAlign w:val="center"/>
                </w:tcPr>
                <w:p w14:paraId="7D808F8D">
                  <w:pPr>
                    <w:pStyle w:val="90"/>
                    <w:rPr>
                      <w:color w:val="000000" w:themeColor="text1"/>
                      <w14:textFill>
                        <w14:solidFill>
                          <w14:schemeClr w14:val="tx1"/>
                        </w14:solidFill>
                      </w14:textFill>
                    </w:rPr>
                  </w:pPr>
                  <w:r>
                    <w:rPr>
                      <w:color w:val="000000" w:themeColor="text1"/>
                      <w14:textFill>
                        <w14:solidFill>
                          <w14:schemeClr w14:val="tx1"/>
                        </w14:solidFill>
                      </w14:textFill>
                    </w:rPr>
                    <w:t>标准</w:t>
                  </w:r>
                </w:p>
              </w:tc>
              <w:tc>
                <w:tcPr>
                  <w:tcW w:w="459" w:type="pct"/>
                  <w:vMerge w:val="restart"/>
                  <w:tcBorders>
                    <w:top w:val="single" w:color="auto" w:sz="6" w:space="0"/>
                    <w:left w:val="single" w:color="auto" w:sz="6" w:space="0"/>
                    <w:bottom w:val="single" w:color="auto" w:sz="6" w:space="0"/>
                    <w:right w:val="single" w:color="auto" w:sz="6" w:space="0"/>
                  </w:tcBorders>
                  <w:vAlign w:val="center"/>
                </w:tcPr>
                <w:p w14:paraId="4187EF0F">
                  <w:pPr>
                    <w:pStyle w:val="90"/>
                    <w:rPr>
                      <w:color w:val="000000" w:themeColor="text1"/>
                      <w14:textFill>
                        <w14:solidFill>
                          <w14:schemeClr w14:val="tx1"/>
                        </w14:solidFill>
                      </w14:textFill>
                    </w:rPr>
                  </w:pPr>
                  <w:r>
                    <w:rPr>
                      <w:color w:val="000000" w:themeColor="text1"/>
                      <w14:textFill>
                        <w14:solidFill>
                          <w14:schemeClr w14:val="tx1"/>
                        </w14:solidFill>
                      </w14:textFill>
                    </w:rPr>
                    <w:t>达标情况</w:t>
                  </w:r>
                </w:p>
              </w:tc>
              <w:tc>
                <w:tcPr>
                  <w:tcW w:w="458" w:type="pct"/>
                  <w:vMerge w:val="restart"/>
                  <w:tcBorders>
                    <w:top w:val="single" w:color="auto" w:sz="6" w:space="0"/>
                    <w:left w:val="single" w:color="auto" w:sz="6" w:space="0"/>
                    <w:bottom w:val="single" w:color="auto" w:sz="6" w:space="0"/>
                    <w:right w:val="single" w:color="auto" w:sz="6" w:space="0"/>
                  </w:tcBorders>
                  <w:vAlign w:val="center"/>
                </w:tcPr>
                <w:p w14:paraId="13335FE1">
                  <w:pPr>
                    <w:pStyle w:val="90"/>
                    <w:rPr>
                      <w:color w:val="000000" w:themeColor="text1"/>
                      <w14:textFill>
                        <w14:solidFill>
                          <w14:schemeClr w14:val="tx1"/>
                        </w14:solidFill>
                      </w14:textFill>
                    </w:rPr>
                  </w:pPr>
                  <w:r>
                    <w:rPr>
                      <w:color w:val="000000" w:themeColor="text1"/>
                      <w14:textFill>
                        <w14:solidFill>
                          <w14:schemeClr w14:val="tx1"/>
                        </w14:solidFill>
                      </w14:textFill>
                    </w:rPr>
                    <w:t>去向</w:t>
                  </w:r>
                </w:p>
              </w:tc>
            </w:tr>
            <w:tr w14:paraId="29555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17" w:type="pct"/>
                  <w:vMerge w:val="continue"/>
                  <w:tcBorders>
                    <w:top w:val="single" w:color="auto" w:sz="6" w:space="0"/>
                    <w:left w:val="single" w:color="auto" w:sz="6" w:space="0"/>
                    <w:bottom w:val="single" w:color="auto" w:sz="6" w:space="0"/>
                    <w:right w:val="single" w:color="auto" w:sz="6" w:space="0"/>
                  </w:tcBorders>
                  <w:vAlign w:val="center"/>
                </w:tcPr>
                <w:p w14:paraId="2AFC67E2">
                  <w:pPr>
                    <w:pStyle w:val="90"/>
                    <w:rPr>
                      <w:color w:val="000000" w:themeColor="text1"/>
                      <w14:textFill>
                        <w14:solidFill>
                          <w14:schemeClr w14:val="tx1"/>
                        </w14:solidFill>
                      </w14:textFill>
                    </w:rPr>
                  </w:pPr>
                </w:p>
              </w:tc>
              <w:tc>
                <w:tcPr>
                  <w:tcW w:w="533" w:type="pct"/>
                  <w:vMerge w:val="continue"/>
                  <w:tcBorders>
                    <w:top w:val="single" w:color="auto" w:sz="6" w:space="0"/>
                    <w:left w:val="single" w:color="auto" w:sz="6" w:space="0"/>
                    <w:bottom w:val="single" w:color="auto" w:sz="6" w:space="0"/>
                    <w:right w:val="single" w:color="auto" w:sz="6" w:space="0"/>
                  </w:tcBorders>
                  <w:vAlign w:val="center"/>
                </w:tcPr>
                <w:p w14:paraId="1A61411C">
                  <w:pPr>
                    <w:pStyle w:val="90"/>
                    <w:rPr>
                      <w:color w:val="000000" w:themeColor="text1"/>
                      <w14:textFill>
                        <w14:solidFill>
                          <w14:schemeClr w14:val="tx1"/>
                        </w14:solidFill>
                      </w14:textFill>
                    </w:rPr>
                  </w:pPr>
                </w:p>
              </w:tc>
              <w:tc>
                <w:tcPr>
                  <w:tcW w:w="867" w:type="pct"/>
                  <w:vMerge w:val="continue"/>
                  <w:tcBorders>
                    <w:top w:val="single" w:color="auto" w:sz="6" w:space="0"/>
                    <w:left w:val="single" w:color="auto" w:sz="6" w:space="0"/>
                    <w:bottom w:val="single" w:color="auto" w:sz="6" w:space="0"/>
                    <w:right w:val="single" w:color="auto" w:sz="6" w:space="0"/>
                  </w:tcBorders>
                  <w:vAlign w:val="center"/>
                </w:tcPr>
                <w:p w14:paraId="3101EF02">
                  <w:pPr>
                    <w:pStyle w:val="90"/>
                    <w:rPr>
                      <w:color w:val="000000" w:themeColor="text1"/>
                      <w14:textFill>
                        <w14:solidFill>
                          <w14:schemeClr w14:val="tx1"/>
                        </w14:solidFill>
                      </w14:textFill>
                    </w:rPr>
                  </w:pPr>
                </w:p>
              </w:tc>
              <w:tc>
                <w:tcPr>
                  <w:tcW w:w="1045" w:type="pct"/>
                  <w:tcBorders>
                    <w:top w:val="single" w:color="auto" w:sz="6" w:space="0"/>
                    <w:left w:val="single" w:color="auto" w:sz="6" w:space="0"/>
                    <w:bottom w:val="single" w:color="auto" w:sz="6" w:space="0"/>
                    <w:right w:val="single" w:color="auto" w:sz="6" w:space="0"/>
                  </w:tcBorders>
                  <w:vAlign w:val="center"/>
                </w:tcPr>
                <w:p w14:paraId="7A6A338F">
                  <w:pPr>
                    <w:pStyle w:val="90"/>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720" w:type="pct"/>
                  <w:tcBorders>
                    <w:top w:val="single" w:color="auto" w:sz="6" w:space="0"/>
                    <w:left w:val="single" w:color="auto" w:sz="6" w:space="0"/>
                    <w:bottom w:val="single" w:color="auto" w:sz="6" w:space="0"/>
                    <w:right w:val="single" w:color="auto" w:sz="6" w:space="0"/>
                  </w:tcBorders>
                  <w:vAlign w:val="center"/>
                </w:tcPr>
                <w:p w14:paraId="74D9C321">
                  <w:pPr>
                    <w:pStyle w:val="90"/>
                    <w:rPr>
                      <w:color w:val="000000" w:themeColor="text1"/>
                      <w14:textFill>
                        <w14:solidFill>
                          <w14:schemeClr w14:val="tx1"/>
                        </w14:solidFill>
                      </w14:textFill>
                    </w:rPr>
                  </w:pPr>
                  <w:r>
                    <w:rPr>
                      <w:color w:val="000000" w:themeColor="text1"/>
                      <w14:textFill>
                        <w14:solidFill>
                          <w14:schemeClr w14:val="tx1"/>
                        </w14:solidFill>
                      </w14:textFill>
                    </w:rPr>
                    <w:t>浓度限值（mg/L）</w:t>
                  </w:r>
                </w:p>
              </w:tc>
              <w:tc>
                <w:tcPr>
                  <w:tcW w:w="459" w:type="pct"/>
                  <w:vMerge w:val="continue"/>
                  <w:tcBorders>
                    <w:top w:val="single" w:color="auto" w:sz="6" w:space="0"/>
                    <w:left w:val="single" w:color="auto" w:sz="6" w:space="0"/>
                    <w:bottom w:val="single" w:color="auto" w:sz="6" w:space="0"/>
                    <w:right w:val="single" w:color="auto" w:sz="6" w:space="0"/>
                  </w:tcBorders>
                  <w:vAlign w:val="center"/>
                </w:tcPr>
                <w:p w14:paraId="7FBDBBF0">
                  <w:pPr>
                    <w:pStyle w:val="90"/>
                    <w:rPr>
                      <w:color w:val="000000" w:themeColor="text1"/>
                      <w14:textFill>
                        <w14:solidFill>
                          <w14:schemeClr w14:val="tx1"/>
                        </w14:solidFill>
                      </w14:textFill>
                    </w:rPr>
                  </w:pPr>
                </w:p>
              </w:tc>
              <w:tc>
                <w:tcPr>
                  <w:tcW w:w="458" w:type="pct"/>
                  <w:vMerge w:val="continue"/>
                  <w:tcBorders>
                    <w:top w:val="single" w:color="auto" w:sz="6" w:space="0"/>
                    <w:left w:val="single" w:color="auto" w:sz="6" w:space="0"/>
                    <w:bottom w:val="single" w:color="auto" w:sz="6" w:space="0"/>
                    <w:right w:val="single" w:color="auto" w:sz="6" w:space="0"/>
                  </w:tcBorders>
                  <w:vAlign w:val="center"/>
                </w:tcPr>
                <w:p w14:paraId="3ECD1949">
                  <w:pPr>
                    <w:pStyle w:val="90"/>
                    <w:rPr>
                      <w:color w:val="000000" w:themeColor="text1"/>
                      <w14:textFill>
                        <w14:solidFill>
                          <w14:schemeClr w14:val="tx1"/>
                        </w14:solidFill>
                      </w14:textFill>
                    </w:rPr>
                  </w:pPr>
                </w:p>
              </w:tc>
            </w:tr>
            <w:tr w14:paraId="17559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 w:type="pct"/>
                  <w:vMerge w:val="restart"/>
                  <w:tcBorders>
                    <w:top w:val="single" w:color="auto" w:sz="6" w:space="0"/>
                    <w:left w:val="single" w:color="auto" w:sz="6" w:space="0"/>
                    <w:bottom w:val="single" w:color="auto" w:sz="6" w:space="0"/>
                    <w:right w:val="single" w:color="auto" w:sz="6" w:space="0"/>
                  </w:tcBorders>
                  <w:vAlign w:val="center"/>
                </w:tcPr>
                <w:p w14:paraId="3F437569">
                  <w:pPr>
                    <w:pStyle w:val="90"/>
                    <w:rPr>
                      <w:color w:val="000000" w:themeColor="text1"/>
                      <w14:textFill>
                        <w14:solidFill>
                          <w14:schemeClr w14:val="tx1"/>
                        </w14:solidFill>
                      </w14:textFill>
                    </w:rPr>
                  </w:pPr>
                  <w:r>
                    <w:rPr>
                      <w:color w:val="000000" w:themeColor="text1"/>
                      <w14:textFill>
                        <w14:solidFill>
                          <w14:schemeClr w14:val="tx1"/>
                        </w14:solidFill>
                      </w14:textFill>
                    </w:rPr>
                    <w:t>污水站回用水</w:t>
                  </w:r>
                </w:p>
              </w:tc>
              <w:tc>
                <w:tcPr>
                  <w:tcW w:w="533" w:type="pct"/>
                  <w:tcBorders>
                    <w:top w:val="single" w:color="auto" w:sz="6" w:space="0"/>
                    <w:left w:val="single" w:color="auto" w:sz="6" w:space="0"/>
                    <w:bottom w:val="single" w:color="auto" w:sz="6" w:space="0"/>
                    <w:right w:val="single" w:color="auto" w:sz="6" w:space="0"/>
                  </w:tcBorders>
                </w:tcPr>
                <w:p w14:paraId="6C9B3ED3">
                  <w:pPr>
                    <w:pStyle w:val="90"/>
                    <w:rPr>
                      <w:color w:val="000000" w:themeColor="text1"/>
                      <w14:textFill>
                        <w14:solidFill>
                          <w14:schemeClr w14:val="tx1"/>
                        </w14:solidFill>
                      </w14:textFill>
                    </w:rPr>
                  </w:pPr>
                  <w:r>
                    <w:rPr>
                      <w:color w:val="000000" w:themeColor="text1"/>
                      <w14:textFill>
                        <w14:solidFill>
                          <w14:schemeClr w14:val="tx1"/>
                        </w14:solidFill>
                      </w14:textFill>
                    </w:rPr>
                    <w:t>pH</w:t>
                  </w:r>
                </w:p>
              </w:tc>
              <w:tc>
                <w:tcPr>
                  <w:tcW w:w="867" w:type="pct"/>
                  <w:tcBorders>
                    <w:top w:val="single" w:color="auto" w:sz="6" w:space="0"/>
                    <w:left w:val="single" w:color="auto" w:sz="6" w:space="0"/>
                    <w:bottom w:val="single" w:color="auto" w:sz="6" w:space="0"/>
                    <w:right w:val="single" w:color="auto" w:sz="6" w:space="0"/>
                  </w:tcBorders>
                  <w:vAlign w:val="center"/>
                </w:tcPr>
                <w:p w14:paraId="05155A9B">
                  <w:pPr>
                    <w:pStyle w:val="90"/>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045" w:type="pct"/>
                  <w:vMerge w:val="restart"/>
                  <w:tcBorders>
                    <w:top w:val="single" w:color="auto" w:sz="6" w:space="0"/>
                    <w:left w:val="single" w:color="auto" w:sz="6" w:space="0"/>
                    <w:bottom w:val="single" w:color="auto" w:sz="6" w:space="0"/>
                    <w:right w:val="single" w:color="auto" w:sz="6" w:space="0"/>
                  </w:tcBorders>
                  <w:vAlign w:val="center"/>
                </w:tcPr>
                <w:p w14:paraId="43731B14">
                  <w:pPr>
                    <w:pStyle w:val="90"/>
                    <w:rPr>
                      <w:color w:val="000000" w:themeColor="text1"/>
                      <w14:textFill>
                        <w14:solidFill>
                          <w14:schemeClr w14:val="tx1"/>
                        </w14:solidFill>
                      </w14:textFill>
                    </w:rPr>
                  </w:pPr>
                  <w:r>
                    <w:rPr>
                      <w:color w:val="000000" w:themeColor="text1"/>
                      <w14:textFill>
                        <w14:solidFill>
                          <w14:schemeClr w14:val="tx1"/>
                        </w14:solidFill>
                      </w14:textFill>
                    </w:rPr>
                    <w:t>《钢铁工业废水治理回用工程技术规范》（HJ2019-2012）综合污水处理设施回用水控制指标</w:t>
                  </w:r>
                </w:p>
              </w:tc>
              <w:tc>
                <w:tcPr>
                  <w:tcW w:w="720" w:type="pct"/>
                  <w:tcBorders>
                    <w:top w:val="single" w:color="auto" w:sz="6" w:space="0"/>
                    <w:left w:val="single" w:color="auto" w:sz="6" w:space="0"/>
                    <w:bottom w:val="single" w:color="auto" w:sz="6" w:space="0"/>
                    <w:right w:val="single" w:color="auto" w:sz="6" w:space="0"/>
                  </w:tcBorders>
                  <w:vAlign w:val="center"/>
                </w:tcPr>
                <w:p w14:paraId="6D02C68F">
                  <w:pPr>
                    <w:pStyle w:val="90"/>
                    <w:rPr>
                      <w:color w:val="000000" w:themeColor="text1"/>
                      <w14:textFill>
                        <w14:solidFill>
                          <w14:schemeClr w14:val="tx1"/>
                        </w14:solidFill>
                      </w14:textFill>
                    </w:rPr>
                  </w:pPr>
                  <w:r>
                    <w:rPr>
                      <w:color w:val="000000" w:themeColor="text1"/>
                      <w14:textFill>
                        <w14:solidFill>
                          <w14:schemeClr w14:val="tx1"/>
                        </w14:solidFill>
                      </w14:textFill>
                    </w:rPr>
                    <w:t>6.5~9</w:t>
                  </w:r>
                </w:p>
              </w:tc>
              <w:tc>
                <w:tcPr>
                  <w:tcW w:w="459" w:type="pct"/>
                  <w:tcBorders>
                    <w:top w:val="single" w:color="auto" w:sz="6" w:space="0"/>
                    <w:left w:val="single" w:color="auto" w:sz="6" w:space="0"/>
                    <w:bottom w:val="single" w:color="auto" w:sz="6" w:space="0"/>
                    <w:right w:val="single" w:color="auto" w:sz="6" w:space="0"/>
                  </w:tcBorders>
                  <w:vAlign w:val="center"/>
                </w:tcPr>
                <w:p w14:paraId="510FB786">
                  <w:pPr>
                    <w:pStyle w:val="90"/>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458" w:type="pct"/>
                  <w:vMerge w:val="restart"/>
                  <w:tcBorders>
                    <w:top w:val="single" w:color="auto" w:sz="6" w:space="0"/>
                    <w:left w:val="single" w:color="auto" w:sz="6" w:space="0"/>
                    <w:bottom w:val="single" w:color="auto" w:sz="6" w:space="0"/>
                    <w:right w:val="single" w:color="auto" w:sz="6" w:space="0"/>
                  </w:tcBorders>
                  <w:vAlign w:val="center"/>
                </w:tcPr>
                <w:p w14:paraId="2095B229">
                  <w:pPr>
                    <w:pStyle w:val="90"/>
                    <w:rPr>
                      <w:color w:val="000000" w:themeColor="text1"/>
                      <w14:textFill>
                        <w14:solidFill>
                          <w14:schemeClr w14:val="tx1"/>
                        </w14:solidFill>
                      </w14:textFill>
                    </w:rPr>
                  </w:pPr>
                  <w:r>
                    <w:rPr>
                      <w:color w:val="000000" w:themeColor="text1"/>
                      <w14:textFill>
                        <w14:solidFill>
                          <w14:schemeClr w14:val="tx1"/>
                        </w14:solidFill>
                      </w14:textFill>
                    </w:rPr>
                    <w:t>回用生产</w:t>
                  </w:r>
                </w:p>
              </w:tc>
            </w:tr>
            <w:tr w14:paraId="1D80B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 w:type="pct"/>
                  <w:vMerge w:val="continue"/>
                  <w:tcBorders>
                    <w:top w:val="single" w:color="auto" w:sz="6" w:space="0"/>
                    <w:left w:val="single" w:color="auto" w:sz="6" w:space="0"/>
                    <w:bottom w:val="single" w:color="auto" w:sz="6" w:space="0"/>
                    <w:right w:val="single" w:color="auto" w:sz="6" w:space="0"/>
                  </w:tcBorders>
                  <w:vAlign w:val="center"/>
                </w:tcPr>
                <w:p w14:paraId="6D7644D7">
                  <w:pPr>
                    <w:pStyle w:val="90"/>
                    <w:rPr>
                      <w:color w:val="000000" w:themeColor="text1"/>
                      <w14:textFill>
                        <w14:solidFill>
                          <w14:schemeClr w14:val="tx1"/>
                        </w14:solidFill>
                      </w14:textFill>
                    </w:rPr>
                  </w:pPr>
                </w:p>
              </w:tc>
              <w:tc>
                <w:tcPr>
                  <w:tcW w:w="533" w:type="pct"/>
                  <w:tcBorders>
                    <w:top w:val="single" w:color="auto" w:sz="6" w:space="0"/>
                    <w:left w:val="single" w:color="auto" w:sz="6" w:space="0"/>
                    <w:bottom w:val="single" w:color="auto" w:sz="6" w:space="0"/>
                    <w:right w:val="single" w:color="auto" w:sz="6" w:space="0"/>
                  </w:tcBorders>
                </w:tcPr>
                <w:p w14:paraId="1FF073CE">
                  <w:pPr>
                    <w:pStyle w:val="90"/>
                    <w:rPr>
                      <w:color w:val="000000" w:themeColor="text1"/>
                      <w14:textFill>
                        <w14:solidFill>
                          <w14:schemeClr w14:val="tx1"/>
                        </w14:solidFill>
                      </w14:textFill>
                    </w:rPr>
                  </w:pPr>
                  <w:r>
                    <w:rPr>
                      <w:color w:val="000000" w:themeColor="text1"/>
                      <w14:textFill>
                        <w14:solidFill>
                          <w14:schemeClr w14:val="tx1"/>
                        </w14:solidFill>
                      </w14:textFill>
                    </w:rPr>
                    <w:t>总溶解性固体</w:t>
                  </w:r>
                </w:p>
              </w:tc>
              <w:tc>
                <w:tcPr>
                  <w:tcW w:w="867" w:type="pct"/>
                  <w:tcBorders>
                    <w:top w:val="single" w:color="auto" w:sz="6" w:space="0"/>
                    <w:left w:val="single" w:color="auto" w:sz="6" w:space="0"/>
                    <w:bottom w:val="single" w:color="auto" w:sz="6" w:space="0"/>
                    <w:right w:val="single" w:color="auto" w:sz="6" w:space="0"/>
                  </w:tcBorders>
                  <w:vAlign w:val="center"/>
                </w:tcPr>
                <w:p w14:paraId="01175F4F">
                  <w:pPr>
                    <w:pStyle w:val="90"/>
                    <w:rPr>
                      <w:color w:val="000000" w:themeColor="text1"/>
                      <w14:textFill>
                        <w14:solidFill>
                          <w14:schemeClr w14:val="tx1"/>
                        </w14:solidFill>
                      </w14:textFill>
                    </w:rPr>
                  </w:pPr>
                  <w:r>
                    <w:rPr>
                      <w:color w:val="000000" w:themeColor="text1"/>
                      <w14:textFill>
                        <w14:solidFill>
                          <w14:schemeClr w14:val="tx1"/>
                        </w14:solidFill>
                      </w14:textFill>
                    </w:rPr>
                    <w:t>~194</w:t>
                  </w:r>
                </w:p>
              </w:tc>
              <w:tc>
                <w:tcPr>
                  <w:tcW w:w="1045" w:type="pct"/>
                  <w:vMerge w:val="continue"/>
                  <w:tcBorders>
                    <w:top w:val="single" w:color="auto" w:sz="6" w:space="0"/>
                    <w:left w:val="single" w:color="auto" w:sz="6" w:space="0"/>
                    <w:bottom w:val="single" w:color="auto" w:sz="6" w:space="0"/>
                    <w:right w:val="single" w:color="auto" w:sz="6" w:space="0"/>
                  </w:tcBorders>
                  <w:vAlign w:val="center"/>
                </w:tcPr>
                <w:p w14:paraId="416A6CB7">
                  <w:pPr>
                    <w:pStyle w:val="90"/>
                    <w:rPr>
                      <w:color w:val="000000" w:themeColor="text1"/>
                      <w14:textFill>
                        <w14:solidFill>
                          <w14:schemeClr w14:val="tx1"/>
                        </w14:solidFill>
                      </w14:textFill>
                    </w:rPr>
                  </w:pPr>
                </w:p>
              </w:tc>
              <w:tc>
                <w:tcPr>
                  <w:tcW w:w="720" w:type="pct"/>
                  <w:tcBorders>
                    <w:top w:val="single" w:color="auto" w:sz="6" w:space="0"/>
                    <w:left w:val="single" w:color="auto" w:sz="6" w:space="0"/>
                    <w:bottom w:val="single" w:color="auto" w:sz="6" w:space="0"/>
                    <w:right w:val="single" w:color="auto" w:sz="6" w:space="0"/>
                  </w:tcBorders>
                  <w:vAlign w:val="center"/>
                </w:tcPr>
                <w:p w14:paraId="6440D270">
                  <w:pPr>
                    <w:pStyle w:val="90"/>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459" w:type="pct"/>
                  <w:tcBorders>
                    <w:top w:val="single" w:color="auto" w:sz="6" w:space="0"/>
                    <w:left w:val="single" w:color="auto" w:sz="6" w:space="0"/>
                    <w:bottom w:val="single" w:color="auto" w:sz="6" w:space="0"/>
                    <w:right w:val="single" w:color="auto" w:sz="6" w:space="0"/>
                  </w:tcBorders>
                  <w:vAlign w:val="center"/>
                </w:tcPr>
                <w:p w14:paraId="5F2BEE4B">
                  <w:pPr>
                    <w:pStyle w:val="90"/>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458" w:type="pct"/>
                  <w:vMerge w:val="continue"/>
                  <w:tcBorders>
                    <w:top w:val="single" w:color="auto" w:sz="6" w:space="0"/>
                    <w:left w:val="single" w:color="auto" w:sz="6" w:space="0"/>
                    <w:bottom w:val="single" w:color="auto" w:sz="6" w:space="0"/>
                    <w:right w:val="single" w:color="auto" w:sz="6" w:space="0"/>
                  </w:tcBorders>
                  <w:vAlign w:val="center"/>
                </w:tcPr>
                <w:p w14:paraId="3B913BDE">
                  <w:pPr>
                    <w:pStyle w:val="90"/>
                    <w:rPr>
                      <w:color w:val="000000" w:themeColor="text1"/>
                      <w14:textFill>
                        <w14:solidFill>
                          <w14:schemeClr w14:val="tx1"/>
                        </w14:solidFill>
                      </w14:textFill>
                    </w:rPr>
                  </w:pPr>
                </w:p>
              </w:tc>
            </w:tr>
            <w:tr w14:paraId="77B0A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 w:type="pct"/>
                  <w:vMerge w:val="continue"/>
                  <w:tcBorders>
                    <w:top w:val="single" w:color="auto" w:sz="6" w:space="0"/>
                    <w:left w:val="single" w:color="auto" w:sz="6" w:space="0"/>
                    <w:bottom w:val="single" w:color="auto" w:sz="6" w:space="0"/>
                    <w:right w:val="single" w:color="auto" w:sz="6" w:space="0"/>
                  </w:tcBorders>
                  <w:vAlign w:val="center"/>
                </w:tcPr>
                <w:p w14:paraId="3CBF5003">
                  <w:pPr>
                    <w:pStyle w:val="90"/>
                    <w:rPr>
                      <w:color w:val="000000" w:themeColor="text1"/>
                      <w14:textFill>
                        <w14:solidFill>
                          <w14:schemeClr w14:val="tx1"/>
                        </w14:solidFill>
                      </w14:textFill>
                    </w:rPr>
                  </w:pPr>
                </w:p>
              </w:tc>
              <w:tc>
                <w:tcPr>
                  <w:tcW w:w="533" w:type="pct"/>
                  <w:tcBorders>
                    <w:top w:val="single" w:color="auto" w:sz="6" w:space="0"/>
                    <w:left w:val="single" w:color="auto" w:sz="6" w:space="0"/>
                    <w:bottom w:val="single" w:color="auto" w:sz="6" w:space="0"/>
                    <w:right w:val="single" w:color="auto" w:sz="6" w:space="0"/>
                  </w:tcBorders>
                </w:tcPr>
                <w:p w14:paraId="016FB31E">
                  <w:pPr>
                    <w:pStyle w:val="90"/>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867" w:type="pct"/>
                  <w:tcBorders>
                    <w:top w:val="single" w:color="auto" w:sz="6" w:space="0"/>
                    <w:left w:val="single" w:color="auto" w:sz="6" w:space="0"/>
                    <w:bottom w:val="single" w:color="auto" w:sz="6" w:space="0"/>
                    <w:right w:val="single" w:color="auto" w:sz="6" w:space="0"/>
                  </w:tcBorders>
                  <w:vAlign w:val="center"/>
                </w:tcPr>
                <w:p w14:paraId="409FCE0F">
                  <w:pPr>
                    <w:pStyle w:val="90"/>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045" w:type="pct"/>
                  <w:vMerge w:val="continue"/>
                  <w:tcBorders>
                    <w:top w:val="single" w:color="auto" w:sz="6" w:space="0"/>
                    <w:left w:val="single" w:color="auto" w:sz="6" w:space="0"/>
                    <w:bottom w:val="single" w:color="auto" w:sz="6" w:space="0"/>
                    <w:right w:val="single" w:color="auto" w:sz="6" w:space="0"/>
                  </w:tcBorders>
                  <w:vAlign w:val="center"/>
                </w:tcPr>
                <w:p w14:paraId="7564AA1E">
                  <w:pPr>
                    <w:pStyle w:val="90"/>
                    <w:rPr>
                      <w:color w:val="000000" w:themeColor="text1"/>
                      <w14:textFill>
                        <w14:solidFill>
                          <w14:schemeClr w14:val="tx1"/>
                        </w14:solidFill>
                      </w14:textFill>
                    </w:rPr>
                  </w:pPr>
                </w:p>
              </w:tc>
              <w:tc>
                <w:tcPr>
                  <w:tcW w:w="720" w:type="pct"/>
                  <w:tcBorders>
                    <w:top w:val="single" w:color="auto" w:sz="6" w:space="0"/>
                    <w:left w:val="single" w:color="auto" w:sz="6" w:space="0"/>
                    <w:bottom w:val="single" w:color="auto" w:sz="6" w:space="0"/>
                    <w:right w:val="single" w:color="auto" w:sz="6" w:space="0"/>
                  </w:tcBorders>
                  <w:vAlign w:val="center"/>
                </w:tcPr>
                <w:p w14:paraId="3976AE67">
                  <w:pPr>
                    <w:pStyle w:val="9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59" w:type="pct"/>
                  <w:tcBorders>
                    <w:top w:val="single" w:color="auto" w:sz="6" w:space="0"/>
                    <w:left w:val="single" w:color="auto" w:sz="6" w:space="0"/>
                    <w:bottom w:val="single" w:color="auto" w:sz="6" w:space="0"/>
                    <w:right w:val="single" w:color="auto" w:sz="6" w:space="0"/>
                  </w:tcBorders>
                  <w:vAlign w:val="center"/>
                </w:tcPr>
                <w:p w14:paraId="5EB2CF11">
                  <w:pPr>
                    <w:pStyle w:val="90"/>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458" w:type="pct"/>
                  <w:vMerge w:val="continue"/>
                  <w:tcBorders>
                    <w:top w:val="single" w:color="auto" w:sz="6" w:space="0"/>
                    <w:left w:val="single" w:color="auto" w:sz="6" w:space="0"/>
                    <w:bottom w:val="single" w:color="auto" w:sz="6" w:space="0"/>
                    <w:right w:val="single" w:color="auto" w:sz="6" w:space="0"/>
                  </w:tcBorders>
                  <w:vAlign w:val="center"/>
                </w:tcPr>
                <w:p w14:paraId="4C17DCA7">
                  <w:pPr>
                    <w:pStyle w:val="90"/>
                    <w:rPr>
                      <w:color w:val="000000" w:themeColor="text1"/>
                      <w14:textFill>
                        <w14:solidFill>
                          <w14:schemeClr w14:val="tx1"/>
                        </w14:solidFill>
                      </w14:textFill>
                    </w:rPr>
                  </w:pPr>
                </w:p>
              </w:tc>
            </w:tr>
            <w:tr w14:paraId="5E1FE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 w:type="pct"/>
                  <w:vMerge w:val="continue"/>
                  <w:tcBorders>
                    <w:top w:val="single" w:color="auto" w:sz="6" w:space="0"/>
                    <w:left w:val="single" w:color="auto" w:sz="6" w:space="0"/>
                    <w:bottom w:val="single" w:color="auto" w:sz="6" w:space="0"/>
                    <w:right w:val="single" w:color="auto" w:sz="6" w:space="0"/>
                  </w:tcBorders>
                  <w:vAlign w:val="center"/>
                </w:tcPr>
                <w:p w14:paraId="6378A89C">
                  <w:pPr>
                    <w:pStyle w:val="90"/>
                    <w:rPr>
                      <w:color w:val="000000" w:themeColor="text1"/>
                      <w14:textFill>
                        <w14:solidFill>
                          <w14:schemeClr w14:val="tx1"/>
                        </w14:solidFill>
                      </w14:textFill>
                    </w:rPr>
                  </w:pPr>
                </w:p>
              </w:tc>
              <w:tc>
                <w:tcPr>
                  <w:tcW w:w="533" w:type="pct"/>
                  <w:tcBorders>
                    <w:top w:val="single" w:color="auto" w:sz="6" w:space="0"/>
                    <w:left w:val="single" w:color="auto" w:sz="6" w:space="0"/>
                    <w:bottom w:val="single" w:color="auto" w:sz="6" w:space="0"/>
                    <w:right w:val="single" w:color="auto" w:sz="6" w:space="0"/>
                  </w:tcBorders>
                </w:tcPr>
                <w:p w14:paraId="62536A41">
                  <w:pPr>
                    <w:pStyle w:val="90"/>
                    <w:rPr>
                      <w:color w:val="000000" w:themeColor="text1"/>
                      <w14:textFill>
                        <w14:solidFill>
                          <w14:schemeClr w14:val="tx1"/>
                        </w14:solidFill>
                      </w14:textFill>
                    </w:rPr>
                  </w:pPr>
                  <w:r>
                    <w:rPr>
                      <w:color w:val="000000" w:themeColor="text1"/>
                      <w14:textFill>
                        <w14:solidFill>
                          <w14:schemeClr w14:val="tx1"/>
                        </w14:solidFill>
                      </w14:textFill>
                    </w:rPr>
                    <w:t>石油类</w:t>
                  </w:r>
                </w:p>
              </w:tc>
              <w:tc>
                <w:tcPr>
                  <w:tcW w:w="867" w:type="pct"/>
                  <w:tcBorders>
                    <w:top w:val="single" w:color="auto" w:sz="6" w:space="0"/>
                    <w:left w:val="single" w:color="auto" w:sz="6" w:space="0"/>
                    <w:bottom w:val="single" w:color="auto" w:sz="6" w:space="0"/>
                    <w:right w:val="single" w:color="auto" w:sz="6" w:space="0"/>
                  </w:tcBorders>
                  <w:vAlign w:val="center"/>
                </w:tcPr>
                <w:p w14:paraId="47D4D34B">
                  <w:pPr>
                    <w:pStyle w:val="90"/>
                    <w:rPr>
                      <w:color w:val="000000" w:themeColor="text1"/>
                      <w14:textFill>
                        <w14:solidFill>
                          <w14:schemeClr w14:val="tx1"/>
                        </w14:solidFill>
                      </w14:textFill>
                    </w:rPr>
                  </w:pPr>
                  <w:r>
                    <w:rPr>
                      <w:color w:val="000000" w:themeColor="text1"/>
                      <w14:textFill>
                        <w14:solidFill>
                          <w14:schemeClr w14:val="tx1"/>
                        </w14:solidFill>
                      </w14:textFill>
                    </w:rPr>
                    <w:t>~0.41</w:t>
                  </w:r>
                </w:p>
              </w:tc>
              <w:tc>
                <w:tcPr>
                  <w:tcW w:w="1045" w:type="pct"/>
                  <w:vMerge w:val="continue"/>
                  <w:tcBorders>
                    <w:top w:val="single" w:color="auto" w:sz="6" w:space="0"/>
                    <w:left w:val="single" w:color="auto" w:sz="6" w:space="0"/>
                    <w:bottom w:val="single" w:color="auto" w:sz="6" w:space="0"/>
                    <w:right w:val="single" w:color="auto" w:sz="6" w:space="0"/>
                  </w:tcBorders>
                  <w:vAlign w:val="center"/>
                </w:tcPr>
                <w:p w14:paraId="22D12DB0">
                  <w:pPr>
                    <w:pStyle w:val="90"/>
                    <w:rPr>
                      <w:color w:val="000000" w:themeColor="text1"/>
                      <w14:textFill>
                        <w14:solidFill>
                          <w14:schemeClr w14:val="tx1"/>
                        </w14:solidFill>
                      </w14:textFill>
                    </w:rPr>
                  </w:pPr>
                </w:p>
              </w:tc>
              <w:tc>
                <w:tcPr>
                  <w:tcW w:w="720" w:type="pct"/>
                  <w:tcBorders>
                    <w:top w:val="single" w:color="auto" w:sz="6" w:space="0"/>
                    <w:left w:val="single" w:color="auto" w:sz="6" w:space="0"/>
                    <w:bottom w:val="single" w:color="auto" w:sz="6" w:space="0"/>
                    <w:right w:val="single" w:color="auto" w:sz="6" w:space="0"/>
                  </w:tcBorders>
                  <w:vAlign w:val="center"/>
                </w:tcPr>
                <w:p w14:paraId="2875AC31">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c>
                <w:tcPr>
                  <w:tcW w:w="459" w:type="pct"/>
                  <w:tcBorders>
                    <w:top w:val="single" w:color="auto" w:sz="6" w:space="0"/>
                    <w:left w:val="single" w:color="auto" w:sz="6" w:space="0"/>
                    <w:bottom w:val="single" w:color="auto" w:sz="6" w:space="0"/>
                    <w:right w:val="single" w:color="auto" w:sz="6" w:space="0"/>
                  </w:tcBorders>
                </w:tcPr>
                <w:p w14:paraId="76F708F5">
                  <w:pPr>
                    <w:pStyle w:val="90"/>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458" w:type="pct"/>
                  <w:vMerge w:val="continue"/>
                  <w:tcBorders>
                    <w:top w:val="single" w:color="auto" w:sz="6" w:space="0"/>
                    <w:left w:val="single" w:color="auto" w:sz="6" w:space="0"/>
                    <w:bottom w:val="single" w:color="auto" w:sz="6" w:space="0"/>
                    <w:right w:val="single" w:color="auto" w:sz="6" w:space="0"/>
                  </w:tcBorders>
                  <w:vAlign w:val="center"/>
                </w:tcPr>
                <w:p w14:paraId="12CD3102">
                  <w:pPr>
                    <w:pStyle w:val="90"/>
                    <w:rPr>
                      <w:color w:val="000000" w:themeColor="text1"/>
                      <w14:textFill>
                        <w14:solidFill>
                          <w14:schemeClr w14:val="tx1"/>
                        </w14:solidFill>
                      </w14:textFill>
                    </w:rPr>
                  </w:pPr>
                </w:p>
              </w:tc>
            </w:tr>
            <w:tr w14:paraId="03FC8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 w:type="pct"/>
                  <w:vMerge w:val="continue"/>
                  <w:tcBorders>
                    <w:top w:val="single" w:color="auto" w:sz="6" w:space="0"/>
                    <w:left w:val="single" w:color="auto" w:sz="6" w:space="0"/>
                    <w:bottom w:val="single" w:color="auto" w:sz="6" w:space="0"/>
                    <w:right w:val="single" w:color="auto" w:sz="6" w:space="0"/>
                  </w:tcBorders>
                  <w:vAlign w:val="center"/>
                </w:tcPr>
                <w:p w14:paraId="29F85C60">
                  <w:pPr>
                    <w:pStyle w:val="90"/>
                    <w:rPr>
                      <w:color w:val="000000" w:themeColor="text1"/>
                      <w14:textFill>
                        <w14:solidFill>
                          <w14:schemeClr w14:val="tx1"/>
                        </w14:solidFill>
                      </w14:textFill>
                    </w:rPr>
                  </w:pPr>
                </w:p>
              </w:tc>
              <w:tc>
                <w:tcPr>
                  <w:tcW w:w="533" w:type="pct"/>
                  <w:tcBorders>
                    <w:top w:val="single" w:color="auto" w:sz="6" w:space="0"/>
                    <w:left w:val="single" w:color="auto" w:sz="6" w:space="0"/>
                    <w:bottom w:val="single" w:color="auto" w:sz="6" w:space="0"/>
                    <w:right w:val="single" w:color="auto" w:sz="6" w:space="0"/>
                  </w:tcBorders>
                </w:tcPr>
                <w:p w14:paraId="20101069">
                  <w:pPr>
                    <w:pStyle w:val="9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867" w:type="pct"/>
                  <w:tcBorders>
                    <w:top w:val="single" w:color="auto" w:sz="6" w:space="0"/>
                    <w:left w:val="single" w:color="auto" w:sz="6" w:space="0"/>
                    <w:bottom w:val="single" w:color="auto" w:sz="6" w:space="0"/>
                    <w:right w:val="single" w:color="auto" w:sz="6" w:space="0"/>
                  </w:tcBorders>
                  <w:vAlign w:val="center"/>
                </w:tcPr>
                <w:p w14:paraId="7694055E">
                  <w:pPr>
                    <w:pStyle w:val="90"/>
                    <w:rPr>
                      <w:color w:val="000000" w:themeColor="text1"/>
                      <w14:textFill>
                        <w14:solidFill>
                          <w14:schemeClr w14:val="tx1"/>
                        </w14:solidFill>
                      </w14:textFill>
                    </w:rPr>
                  </w:pPr>
                  <w:r>
                    <w:rPr>
                      <w:color w:val="000000" w:themeColor="text1"/>
                      <w14:textFill>
                        <w14:solidFill>
                          <w14:schemeClr w14:val="tx1"/>
                        </w14:solidFill>
                      </w14:textFill>
                    </w:rPr>
                    <w:t>~0. 1</w:t>
                  </w:r>
                </w:p>
              </w:tc>
              <w:tc>
                <w:tcPr>
                  <w:tcW w:w="1045" w:type="pct"/>
                  <w:vMerge w:val="continue"/>
                  <w:tcBorders>
                    <w:top w:val="single" w:color="auto" w:sz="6" w:space="0"/>
                    <w:left w:val="single" w:color="auto" w:sz="6" w:space="0"/>
                    <w:bottom w:val="single" w:color="auto" w:sz="6" w:space="0"/>
                    <w:right w:val="single" w:color="auto" w:sz="6" w:space="0"/>
                  </w:tcBorders>
                  <w:vAlign w:val="center"/>
                </w:tcPr>
                <w:p w14:paraId="19ECA9F6">
                  <w:pPr>
                    <w:pStyle w:val="90"/>
                    <w:rPr>
                      <w:color w:val="000000" w:themeColor="text1"/>
                      <w14:textFill>
                        <w14:solidFill>
                          <w14:schemeClr w14:val="tx1"/>
                        </w14:solidFill>
                      </w14:textFill>
                    </w:rPr>
                  </w:pPr>
                </w:p>
              </w:tc>
              <w:tc>
                <w:tcPr>
                  <w:tcW w:w="720" w:type="pct"/>
                  <w:tcBorders>
                    <w:top w:val="single" w:color="auto" w:sz="6" w:space="0"/>
                    <w:left w:val="single" w:color="auto" w:sz="6" w:space="0"/>
                    <w:bottom w:val="single" w:color="auto" w:sz="6" w:space="0"/>
                    <w:right w:val="single" w:color="auto" w:sz="6" w:space="0"/>
                  </w:tcBorders>
                  <w:vAlign w:val="center"/>
                </w:tcPr>
                <w:p w14:paraId="1ABA39E6">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459" w:type="pct"/>
                  <w:tcBorders>
                    <w:top w:val="single" w:color="auto" w:sz="6" w:space="0"/>
                    <w:left w:val="single" w:color="auto" w:sz="6" w:space="0"/>
                    <w:bottom w:val="single" w:color="auto" w:sz="6" w:space="0"/>
                    <w:right w:val="single" w:color="auto" w:sz="6" w:space="0"/>
                  </w:tcBorders>
                </w:tcPr>
                <w:p w14:paraId="30F836ED">
                  <w:pPr>
                    <w:pStyle w:val="90"/>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458" w:type="pct"/>
                  <w:vMerge w:val="continue"/>
                  <w:tcBorders>
                    <w:top w:val="single" w:color="auto" w:sz="6" w:space="0"/>
                    <w:left w:val="single" w:color="auto" w:sz="6" w:space="0"/>
                    <w:bottom w:val="single" w:color="auto" w:sz="6" w:space="0"/>
                    <w:right w:val="single" w:color="auto" w:sz="6" w:space="0"/>
                  </w:tcBorders>
                  <w:vAlign w:val="center"/>
                </w:tcPr>
                <w:p w14:paraId="6FD42524">
                  <w:pPr>
                    <w:pStyle w:val="90"/>
                    <w:rPr>
                      <w:color w:val="000000" w:themeColor="text1"/>
                      <w14:textFill>
                        <w14:solidFill>
                          <w14:schemeClr w14:val="tx1"/>
                        </w14:solidFill>
                      </w14:textFill>
                    </w:rPr>
                  </w:pPr>
                </w:p>
              </w:tc>
            </w:tr>
            <w:tr w14:paraId="3FDF7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 w:type="pct"/>
                  <w:vMerge w:val="continue"/>
                  <w:tcBorders>
                    <w:top w:val="single" w:color="auto" w:sz="6" w:space="0"/>
                    <w:left w:val="single" w:color="auto" w:sz="6" w:space="0"/>
                    <w:bottom w:val="single" w:color="auto" w:sz="6" w:space="0"/>
                    <w:right w:val="single" w:color="auto" w:sz="6" w:space="0"/>
                  </w:tcBorders>
                  <w:vAlign w:val="center"/>
                </w:tcPr>
                <w:p w14:paraId="44EACEFD">
                  <w:pPr>
                    <w:pStyle w:val="90"/>
                    <w:rPr>
                      <w:color w:val="000000" w:themeColor="text1"/>
                      <w14:textFill>
                        <w14:solidFill>
                          <w14:schemeClr w14:val="tx1"/>
                        </w14:solidFill>
                      </w14:textFill>
                    </w:rPr>
                  </w:pPr>
                </w:p>
              </w:tc>
              <w:tc>
                <w:tcPr>
                  <w:tcW w:w="533" w:type="pct"/>
                  <w:tcBorders>
                    <w:top w:val="single" w:color="auto" w:sz="6" w:space="0"/>
                    <w:left w:val="single" w:color="auto" w:sz="6" w:space="0"/>
                    <w:bottom w:val="single" w:color="auto" w:sz="6" w:space="0"/>
                    <w:right w:val="single" w:color="auto" w:sz="6" w:space="0"/>
                  </w:tcBorders>
                </w:tcPr>
                <w:p w14:paraId="5FD12A26">
                  <w:pPr>
                    <w:pStyle w:val="90"/>
                    <w:rPr>
                      <w:color w:val="000000" w:themeColor="text1"/>
                      <w14:textFill>
                        <w14:solidFill>
                          <w14:schemeClr w14:val="tx1"/>
                        </w14:solidFill>
                      </w14:textFill>
                    </w:rPr>
                  </w:pPr>
                  <w:r>
                    <w:rPr>
                      <w:color w:val="000000" w:themeColor="text1"/>
                      <w14:textFill>
                        <w14:solidFill>
                          <w14:schemeClr w14:val="tx1"/>
                        </w14:solidFill>
                      </w14:textFill>
                    </w:rPr>
                    <w:t>总硬度</w:t>
                  </w:r>
                </w:p>
              </w:tc>
              <w:tc>
                <w:tcPr>
                  <w:tcW w:w="867" w:type="pct"/>
                  <w:tcBorders>
                    <w:top w:val="single" w:color="auto" w:sz="6" w:space="0"/>
                    <w:left w:val="single" w:color="auto" w:sz="6" w:space="0"/>
                    <w:bottom w:val="single" w:color="auto" w:sz="6" w:space="0"/>
                    <w:right w:val="single" w:color="auto" w:sz="6" w:space="0"/>
                  </w:tcBorders>
                  <w:vAlign w:val="center"/>
                </w:tcPr>
                <w:p w14:paraId="38AAB5FE">
                  <w:pPr>
                    <w:pStyle w:val="90"/>
                    <w:rPr>
                      <w:color w:val="000000" w:themeColor="text1"/>
                      <w14:textFill>
                        <w14:solidFill>
                          <w14:schemeClr w14:val="tx1"/>
                        </w14:solidFill>
                      </w14:textFill>
                    </w:rPr>
                  </w:pPr>
                  <w:r>
                    <w:rPr>
                      <w:color w:val="000000" w:themeColor="text1"/>
                      <w14:textFill>
                        <w14:solidFill>
                          <w14:schemeClr w14:val="tx1"/>
                        </w14:solidFill>
                      </w14:textFill>
                    </w:rPr>
                    <w:t>~84</w:t>
                  </w:r>
                </w:p>
              </w:tc>
              <w:tc>
                <w:tcPr>
                  <w:tcW w:w="1045" w:type="pct"/>
                  <w:vMerge w:val="continue"/>
                  <w:tcBorders>
                    <w:top w:val="single" w:color="auto" w:sz="6" w:space="0"/>
                    <w:left w:val="single" w:color="auto" w:sz="6" w:space="0"/>
                    <w:bottom w:val="single" w:color="auto" w:sz="6" w:space="0"/>
                    <w:right w:val="single" w:color="auto" w:sz="6" w:space="0"/>
                  </w:tcBorders>
                  <w:vAlign w:val="center"/>
                </w:tcPr>
                <w:p w14:paraId="69AE0209">
                  <w:pPr>
                    <w:pStyle w:val="90"/>
                    <w:rPr>
                      <w:color w:val="000000" w:themeColor="text1"/>
                      <w14:textFill>
                        <w14:solidFill>
                          <w14:schemeClr w14:val="tx1"/>
                        </w14:solidFill>
                      </w14:textFill>
                    </w:rPr>
                  </w:pPr>
                </w:p>
              </w:tc>
              <w:tc>
                <w:tcPr>
                  <w:tcW w:w="720" w:type="pct"/>
                  <w:tcBorders>
                    <w:top w:val="single" w:color="auto" w:sz="6" w:space="0"/>
                    <w:left w:val="single" w:color="auto" w:sz="6" w:space="0"/>
                    <w:bottom w:val="single" w:color="auto" w:sz="6" w:space="0"/>
                    <w:right w:val="single" w:color="auto" w:sz="6" w:space="0"/>
                  </w:tcBorders>
                  <w:vAlign w:val="center"/>
                </w:tcPr>
                <w:p w14:paraId="3A724CE3">
                  <w:pPr>
                    <w:pStyle w:val="90"/>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459" w:type="pct"/>
                  <w:tcBorders>
                    <w:top w:val="single" w:color="auto" w:sz="6" w:space="0"/>
                    <w:left w:val="single" w:color="auto" w:sz="6" w:space="0"/>
                    <w:bottom w:val="single" w:color="auto" w:sz="6" w:space="0"/>
                    <w:right w:val="single" w:color="auto" w:sz="6" w:space="0"/>
                  </w:tcBorders>
                </w:tcPr>
                <w:p w14:paraId="775B16E8">
                  <w:pPr>
                    <w:pStyle w:val="90"/>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458" w:type="pct"/>
                  <w:vMerge w:val="continue"/>
                  <w:tcBorders>
                    <w:top w:val="single" w:color="auto" w:sz="6" w:space="0"/>
                    <w:left w:val="single" w:color="auto" w:sz="6" w:space="0"/>
                    <w:bottom w:val="single" w:color="auto" w:sz="6" w:space="0"/>
                    <w:right w:val="single" w:color="auto" w:sz="6" w:space="0"/>
                  </w:tcBorders>
                  <w:vAlign w:val="center"/>
                </w:tcPr>
                <w:p w14:paraId="0CD05B7F">
                  <w:pPr>
                    <w:pStyle w:val="90"/>
                    <w:rPr>
                      <w:color w:val="000000" w:themeColor="text1"/>
                      <w14:textFill>
                        <w14:solidFill>
                          <w14:schemeClr w14:val="tx1"/>
                        </w14:solidFill>
                      </w14:textFill>
                    </w:rPr>
                  </w:pPr>
                </w:p>
              </w:tc>
            </w:tr>
            <w:tr w14:paraId="035CB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 w:type="pct"/>
                  <w:vMerge w:val="continue"/>
                  <w:tcBorders>
                    <w:top w:val="single" w:color="auto" w:sz="6" w:space="0"/>
                    <w:left w:val="single" w:color="auto" w:sz="6" w:space="0"/>
                    <w:bottom w:val="single" w:color="auto" w:sz="6" w:space="0"/>
                    <w:right w:val="single" w:color="auto" w:sz="6" w:space="0"/>
                  </w:tcBorders>
                  <w:vAlign w:val="center"/>
                </w:tcPr>
                <w:p w14:paraId="5EA71D5D">
                  <w:pPr>
                    <w:pStyle w:val="90"/>
                    <w:rPr>
                      <w:color w:val="000000" w:themeColor="text1"/>
                      <w14:textFill>
                        <w14:solidFill>
                          <w14:schemeClr w14:val="tx1"/>
                        </w14:solidFill>
                      </w14:textFill>
                    </w:rPr>
                  </w:pPr>
                </w:p>
              </w:tc>
              <w:tc>
                <w:tcPr>
                  <w:tcW w:w="533" w:type="pct"/>
                  <w:tcBorders>
                    <w:top w:val="single" w:color="auto" w:sz="6" w:space="0"/>
                    <w:left w:val="single" w:color="auto" w:sz="6" w:space="0"/>
                    <w:bottom w:val="single" w:color="auto" w:sz="6" w:space="0"/>
                    <w:right w:val="single" w:color="auto" w:sz="6" w:space="0"/>
                  </w:tcBorders>
                </w:tcPr>
                <w:p w14:paraId="6E609D01">
                  <w:pPr>
                    <w:pStyle w:val="90"/>
                    <w:rPr>
                      <w:color w:val="000000" w:themeColor="text1"/>
                      <w14:textFill>
                        <w14:solidFill>
                          <w14:schemeClr w14:val="tx1"/>
                        </w14:solidFill>
                      </w14:textFill>
                    </w:rPr>
                  </w:pPr>
                  <w:r>
                    <w:rPr>
                      <w:color w:val="000000" w:themeColor="text1"/>
                      <w14:textFill>
                        <w14:solidFill>
                          <w14:schemeClr w14:val="tx1"/>
                        </w14:solidFill>
                      </w14:textFill>
                    </w:rPr>
                    <w:t>总铁</w:t>
                  </w:r>
                </w:p>
              </w:tc>
              <w:tc>
                <w:tcPr>
                  <w:tcW w:w="867" w:type="pct"/>
                  <w:tcBorders>
                    <w:top w:val="single" w:color="auto" w:sz="6" w:space="0"/>
                    <w:left w:val="single" w:color="auto" w:sz="6" w:space="0"/>
                    <w:bottom w:val="single" w:color="auto" w:sz="6" w:space="0"/>
                    <w:right w:val="single" w:color="auto" w:sz="6" w:space="0"/>
                  </w:tcBorders>
                  <w:vAlign w:val="center"/>
                </w:tcPr>
                <w:p w14:paraId="7459D93A">
                  <w:pPr>
                    <w:pStyle w:val="90"/>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045" w:type="pct"/>
                  <w:vMerge w:val="continue"/>
                  <w:tcBorders>
                    <w:top w:val="single" w:color="auto" w:sz="6" w:space="0"/>
                    <w:left w:val="single" w:color="auto" w:sz="6" w:space="0"/>
                    <w:bottom w:val="single" w:color="auto" w:sz="6" w:space="0"/>
                    <w:right w:val="single" w:color="auto" w:sz="6" w:space="0"/>
                  </w:tcBorders>
                  <w:vAlign w:val="center"/>
                </w:tcPr>
                <w:p w14:paraId="1E119E7E">
                  <w:pPr>
                    <w:pStyle w:val="90"/>
                    <w:rPr>
                      <w:color w:val="000000" w:themeColor="text1"/>
                      <w14:textFill>
                        <w14:solidFill>
                          <w14:schemeClr w14:val="tx1"/>
                        </w14:solidFill>
                      </w14:textFill>
                    </w:rPr>
                  </w:pPr>
                </w:p>
              </w:tc>
              <w:tc>
                <w:tcPr>
                  <w:tcW w:w="720" w:type="pct"/>
                  <w:tcBorders>
                    <w:top w:val="single" w:color="auto" w:sz="6" w:space="0"/>
                    <w:left w:val="single" w:color="auto" w:sz="6" w:space="0"/>
                    <w:bottom w:val="single" w:color="auto" w:sz="6" w:space="0"/>
                    <w:right w:val="single" w:color="auto" w:sz="6" w:space="0"/>
                  </w:tcBorders>
                  <w:vAlign w:val="center"/>
                </w:tcPr>
                <w:p w14:paraId="225A0101">
                  <w:pPr>
                    <w:pStyle w:val="90"/>
                    <w:rPr>
                      <w:color w:val="000000" w:themeColor="text1"/>
                      <w14:textFill>
                        <w14:solidFill>
                          <w14:schemeClr w14:val="tx1"/>
                        </w14:solidFill>
                      </w14:textFill>
                    </w:rPr>
                  </w:pPr>
                  <w:r>
                    <w:rPr>
                      <w:color w:val="000000" w:themeColor="text1"/>
                      <w14:textFill>
                        <w14:solidFill>
                          <w14:schemeClr w14:val="tx1"/>
                        </w14:solidFill>
                      </w14:textFill>
                    </w:rPr>
                    <w:t>≤0.5</w:t>
                  </w:r>
                </w:p>
              </w:tc>
              <w:tc>
                <w:tcPr>
                  <w:tcW w:w="459" w:type="pct"/>
                  <w:tcBorders>
                    <w:top w:val="single" w:color="auto" w:sz="6" w:space="0"/>
                    <w:left w:val="single" w:color="auto" w:sz="6" w:space="0"/>
                    <w:bottom w:val="single" w:color="auto" w:sz="6" w:space="0"/>
                    <w:right w:val="single" w:color="auto" w:sz="6" w:space="0"/>
                  </w:tcBorders>
                </w:tcPr>
                <w:p w14:paraId="3DAE9EC3">
                  <w:pPr>
                    <w:pStyle w:val="90"/>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458" w:type="pct"/>
                  <w:vMerge w:val="continue"/>
                  <w:tcBorders>
                    <w:top w:val="single" w:color="auto" w:sz="6" w:space="0"/>
                    <w:left w:val="single" w:color="auto" w:sz="6" w:space="0"/>
                    <w:bottom w:val="single" w:color="auto" w:sz="6" w:space="0"/>
                    <w:right w:val="single" w:color="auto" w:sz="6" w:space="0"/>
                  </w:tcBorders>
                  <w:vAlign w:val="center"/>
                </w:tcPr>
                <w:p w14:paraId="706E038F">
                  <w:pPr>
                    <w:pStyle w:val="90"/>
                    <w:rPr>
                      <w:color w:val="000000" w:themeColor="text1"/>
                      <w14:textFill>
                        <w14:solidFill>
                          <w14:schemeClr w14:val="tx1"/>
                        </w14:solidFill>
                      </w14:textFill>
                    </w:rPr>
                  </w:pPr>
                </w:p>
              </w:tc>
            </w:tr>
          </w:tbl>
          <w:p w14:paraId="6C7EB661">
            <w:pPr>
              <w:pStyle w:val="4"/>
              <w:rPr>
                <w:rFonts w:cs="Times New Roman"/>
                <w:color w:val="000000" w:themeColor="text1"/>
                <w14:textFill>
                  <w14:solidFill>
                    <w14:schemeClr w14:val="tx1"/>
                  </w14:solidFill>
                </w14:textFill>
              </w:rPr>
            </w:pPr>
            <w:bookmarkStart w:id="161" w:name="heading_8"/>
            <w:r>
              <w:rPr>
                <w:rFonts w:cs="Times New Roman"/>
                <w:color w:val="000000" w:themeColor="text1"/>
                <w14:textFill>
                  <w14:solidFill>
                    <w14:schemeClr w14:val="tx1"/>
                  </w14:solidFill>
                </w14:textFill>
              </w:rPr>
              <w:t>分质处理后回用</w:t>
            </w:r>
            <w:bookmarkEnd w:id="161"/>
            <w:r>
              <w:rPr>
                <w:rFonts w:cs="Times New Roman"/>
                <w:color w:val="000000" w:themeColor="text1"/>
                <w14:textFill>
                  <w14:solidFill>
                    <w14:schemeClr w14:val="tx1"/>
                  </w14:solidFill>
                </w14:textFill>
              </w:rPr>
              <w:t>可行性分析</w:t>
            </w:r>
          </w:p>
          <w:p w14:paraId="12E864D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经分质处理后，统一进入中央污水处理站深度处理单元，采用“UF+一级RO+二级RO+浓水RO”工艺，处理后水质需严格满足《钢铁工业废水治理回用工程技术规范》（HJ2019-2012）中综合污水处理设施回用水主要水质控制指标，具体回用流程及水质要求如下：</w:t>
            </w:r>
          </w:p>
          <w:p w14:paraId="4AE7845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（1）净循环水系统排水：经中央污水处理站常规处理单元（澄清+沉淀+多介质过滤）去除悬浮物、胶体后，进入深度处理单元，处理后主要用于净循环水系统补水、绿化用水、地面冲洗用水。</w:t>
            </w:r>
          </w:p>
          <w:p w14:paraId="7D54E05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锅炉排污水：经冷却、过滤处理后，进入深度处理单元，处理后优先用于锅炉补水、净循环水系统补水，实现水资源梯级利用。</w:t>
            </w:r>
          </w:p>
          <w:p w14:paraId="51C1354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回用可行性：回用废水经深度处理后SS≤5 mg/L、总硬度≤180 mg/L，符合净循环水系统补水要求，可替代生产-消防水作为补充水，减少新鲜水用量，同时避免结垢、腐蚀现象，保障净循环系统稳定运行。</w:t>
            </w:r>
          </w:p>
          <w:p w14:paraId="4ACE5B4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（2）除盐水系统浓水：经深度处理单元脱盐后，主要用于除盐水系统补水、锅炉补水预处理用水，确保水质满足锅炉用水水质要求（TDS≤100 mg/L、总硬度≤20 mg/L）。</w:t>
            </w:r>
          </w:p>
          <w:p w14:paraId="5328587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回用可行性：回用废水经浓水RO处理后，TDS≤450 mg/L、总硬度≤180 mg/L，满足除盐水系统预处理进水要求，可直接接入除盐水系统预处理单元，与新鲜水混合后制备纯水，工艺匹配、操作可行。</w:t>
            </w:r>
          </w:p>
          <w:p w14:paraId="24686E2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（3）初期雨水、生活污水：经中央污水处理站综合处理、深度处理后，主要用于绿化用水、地面冲洗用水、卫生间冲厕用水，避免用于与生产直接相关的用水环节，确保生产安全。</w:t>
            </w:r>
          </w:p>
          <w:p w14:paraId="4FEC6F4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回用可行性：回用废水经深度处理后，卫生指标达标，无致病菌、无异味，可用于绿化用水、地面冲洗用水、卫生间冲厕用水，替代新鲜水，进一步节约水资源。</w:t>
            </w:r>
          </w:p>
          <w:p w14:paraId="7DFB8FF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运营期车间净循环系统强排水、除盐水系统浓排水、锅炉排污水等生产废水经现有中央污水处理站处理后回用，不外排；新增生活污水经预处理后进入中央污水处理站处理。废水处理措施及回用方案可行，可实现废水零排放，不会对周边地表水产生明显影响。</w:t>
            </w:r>
          </w:p>
          <w:p w14:paraId="634FD460">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废水排放监测要求</w:t>
            </w:r>
          </w:p>
          <w:p w14:paraId="1102DA2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废水经中央污水处理站处理后回用，不外排。在回用水总管安装流量计，实时统计流量数据，数据保留至少一年。</w:t>
            </w:r>
          </w:p>
          <w:p w14:paraId="0506CB88">
            <w:pPr>
              <w:pStyle w:val="98"/>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废水常规监测内容一览表</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623"/>
              <w:gridCol w:w="1487"/>
              <w:gridCol w:w="2775"/>
              <w:gridCol w:w="1712"/>
            </w:tblGrid>
            <w:tr w14:paraId="253E1F7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5" w:type="pct"/>
                  <w:vAlign w:val="center"/>
                </w:tcPr>
                <w:p w14:paraId="3E16EA8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954" w:type="pct"/>
                  <w:vAlign w:val="center"/>
                </w:tcPr>
                <w:p w14:paraId="19B0B35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污染源名称</w:t>
                  </w:r>
                </w:p>
              </w:tc>
              <w:tc>
                <w:tcPr>
                  <w:tcW w:w="874" w:type="pct"/>
                  <w:vAlign w:val="center"/>
                </w:tcPr>
                <w:p w14:paraId="457CA8D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监测点位</w:t>
                  </w:r>
                </w:p>
              </w:tc>
              <w:tc>
                <w:tcPr>
                  <w:tcW w:w="1631" w:type="pct"/>
                  <w:vAlign w:val="center"/>
                </w:tcPr>
                <w:p w14:paraId="1E20907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监测内容</w:t>
                  </w:r>
                </w:p>
              </w:tc>
              <w:tc>
                <w:tcPr>
                  <w:tcW w:w="1006" w:type="pct"/>
                  <w:vAlign w:val="center"/>
                </w:tcPr>
                <w:p w14:paraId="637679A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监测频次</w:t>
                  </w:r>
                </w:p>
              </w:tc>
            </w:tr>
            <w:tr w14:paraId="65BBA0C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535" w:type="pct"/>
                  <w:vAlign w:val="center"/>
                </w:tcPr>
                <w:p w14:paraId="6B0D2A2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954" w:type="pct"/>
                  <w:vAlign w:val="center"/>
                </w:tcPr>
                <w:p w14:paraId="57E8BEB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中央污水处理站</w:t>
                  </w:r>
                </w:p>
              </w:tc>
              <w:tc>
                <w:tcPr>
                  <w:tcW w:w="874" w:type="pct"/>
                  <w:vAlign w:val="center"/>
                </w:tcPr>
                <w:p w14:paraId="56BB585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处理设施出口</w:t>
                  </w:r>
                </w:p>
              </w:tc>
              <w:tc>
                <w:tcPr>
                  <w:tcW w:w="1631" w:type="pct"/>
                  <w:vAlign w:val="center"/>
                </w:tcPr>
                <w:p w14:paraId="49B770A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pH、悬浮物、COD、BOD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石油类、NH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-N、总硬度（以CaCO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计）、总溶解性固体、总铁</w:t>
                  </w:r>
                </w:p>
              </w:tc>
              <w:tc>
                <w:tcPr>
                  <w:tcW w:w="1006" w:type="pct"/>
                  <w:vAlign w:val="center"/>
                </w:tcPr>
                <w:p w14:paraId="6C47CE2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1次/月</w:t>
                  </w:r>
                </w:p>
              </w:tc>
            </w:tr>
          </w:tbl>
          <w:p w14:paraId="0DC2BF97">
            <w:pPr>
              <w:pStyle w:val="3"/>
              <w:rPr>
                <w:rFonts w:cs="Times New Roman"/>
                <w:color w:val="000000" w:themeColor="text1"/>
                <w14:textFill>
                  <w14:solidFill>
                    <w14:schemeClr w14:val="tx1"/>
                  </w14:solidFill>
                </w14:textFill>
              </w:rPr>
            </w:pPr>
            <w:bookmarkStart w:id="162" w:name="_Toc230448054"/>
            <w:bookmarkStart w:id="163" w:name="_Toc2011771934"/>
            <w:r>
              <w:rPr>
                <w:rFonts w:cs="Times New Roman"/>
                <w:color w:val="000000" w:themeColor="text1"/>
                <w14:textFill>
                  <w14:solidFill>
                    <w14:schemeClr w14:val="tx1"/>
                  </w14:solidFill>
                </w14:textFill>
              </w:rPr>
              <w:t>噪声影响及保护措施</w:t>
            </w:r>
            <w:bookmarkEnd w:id="162"/>
            <w:bookmarkEnd w:id="163"/>
          </w:p>
          <w:p w14:paraId="5603BBCE">
            <w:pPr>
              <w:pStyle w:val="4"/>
              <w:rPr>
                <w:rFonts w:cs="Times New Roman"/>
                <w:color w:val="000000" w:themeColor="text1"/>
                <w14:textFill>
                  <w14:solidFill>
                    <w14:schemeClr w14:val="tx1"/>
                  </w14:solidFill>
                </w14:textFill>
              </w:rPr>
            </w:pPr>
            <w:bookmarkStart w:id="164" w:name="_Toc31476"/>
            <w:r>
              <w:rPr>
                <w:rFonts w:cs="Times New Roman"/>
                <w:color w:val="000000" w:themeColor="text1"/>
                <w14:textFill>
                  <w14:solidFill>
                    <w14:schemeClr w14:val="tx1"/>
                  </w14:solidFill>
                </w14:textFill>
              </w:rPr>
              <w:t>噪声源强</w:t>
            </w:r>
            <w:bookmarkEnd w:id="164"/>
          </w:p>
          <w:p w14:paraId="7D6805A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噪声源主要为生产设备噪声，主要发生部位为锅炉、汽轮机、发电机、水泵、冷却塔等产生的噪声，声级值一般在75~95dB之间。针对不同噪声源采用隔声、消声、合理布局等治理措施后，可使声源小于60~85dB(A)。噪声产生情况、治理措施及治理后噪声情况见下表。</w:t>
            </w:r>
          </w:p>
          <w:p w14:paraId="0595B427">
            <w:pPr>
              <w:pStyle w:val="351"/>
              <w:spacing w:before="120"/>
              <w:rPr>
                <w:rFonts w:eastAsia="黑体"/>
                <w:bCs/>
                <w:color w:val="000000" w:themeColor="text1"/>
                <w:sz w:val="21"/>
                <w14:textFill>
                  <w14:solidFill>
                    <w14:schemeClr w14:val="tx1"/>
                  </w14:solidFill>
                </w14:textFill>
              </w:rPr>
            </w:pPr>
            <w:r>
              <w:rPr>
                <w:rFonts w:eastAsia="黑体"/>
                <w:bCs/>
                <w:color w:val="000000" w:themeColor="text1"/>
                <w:sz w:val="21"/>
                <w14:textFill>
                  <w14:solidFill>
                    <w14:schemeClr w14:val="tx1"/>
                  </w14:solidFill>
                </w14:textFill>
              </w:rPr>
              <w:t>表</w:t>
            </w:r>
            <w:r>
              <w:rPr>
                <w:rFonts w:eastAsia="黑体"/>
                <w:bCs/>
                <w:color w:val="000000" w:themeColor="text1"/>
                <w:sz w:val="21"/>
                <w14:textFill>
                  <w14:solidFill>
                    <w14:schemeClr w14:val="tx1"/>
                  </w14:solidFill>
                </w14:textFill>
              </w:rPr>
              <w:fldChar w:fldCharType="begin"/>
            </w:r>
            <w:r>
              <w:rPr>
                <w:rFonts w:eastAsia="黑体"/>
                <w:bCs/>
                <w:color w:val="000000" w:themeColor="text1"/>
                <w:sz w:val="21"/>
                <w14:textFill>
                  <w14:solidFill>
                    <w14:schemeClr w14:val="tx1"/>
                  </w14:solidFill>
                </w14:textFill>
              </w:rPr>
              <w:instrText xml:space="preserve"> STYLEREF 2 \s </w:instrText>
            </w:r>
            <w:r>
              <w:rPr>
                <w:rFonts w:eastAsia="黑体"/>
                <w:bCs/>
                <w:color w:val="000000" w:themeColor="text1"/>
                <w:sz w:val="21"/>
                <w14:textFill>
                  <w14:solidFill>
                    <w14:schemeClr w14:val="tx1"/>
                  </w14:solidFill>
                </w14:textFill>
              </w:rPr>
              <w:fldChar w:fldCharType="separate"/>
            </w:r>
            <w:r>
              <w:rPr>
                <w:rFonts w:eastAsia="黑体"/>
                <w:bCs/>
                <w:color w:val="000000" w:themeColor="text1"/>
                <w:sz w:val="21"/>
                <w14:textFill>
                  <w14:solidFill>
                    <w14:schemeClr w14:val="tx1"/>
                  </w14:solidFill>
                </w14:textFill>
              </w:rPr>
              <w:t>4.8</w:t>
            </w:r>
            <w:r>
              <w:rPr>
                <w:rFonts w:eastAsia="黑体"/>
                <w:bCs/>
                <w:color w:val="000000" w:themeColor="text1"/>
                <w:sz w:val="21"/>
                <w14:textFill>
                  <w14:solidFill>
                    <w14:schemeClr w14:val="tx1"/>
                  </w14:solidFill>
                </w14:textFill>
              </w:rPr>
              <w:fldChar w:fldCharType="end"/>
            </w:r>
            <w:r>
              <w:rPr>
                <w:rFonts w:eastAsia="黑体"/>
                <w:bCs/>
                <w:color w:val="000000" w:themeColor="text1"/>
                <w:sz w:val="21"/>
                <w14:textFill>
                  <w14:solidFill>
                    <w14:schemeClr w14:val="tx1"/>
                  </w14:solidFill>
                </w14:textFill>
              </w:rPr>
              <w:t>-</w:t>
            </w:r>
            <w:r>
              <w:rPr>
                <w:rFonts w:eastAsia="黑体"/>
                <w:bCs/>
                <w:color w:val="000000" w:themeColor="text1"/>
                <w:sz w:val="21"/>
                <w14:textFill>
                  <w14:solidFill>
                    <w14:schemeClr w14:val="tx1"/>
                  </w14:solidFill>
                </w14:textFill>
              </w:rPr>
              <w:fldChar w:fldCharType="begin"/>
            </w:r>
            <w:r>
              <w:rPr>
                <w:rFonts w:eastAsia="黑体"/>
                <w:bCs/>
                <w:color w:val="000000" w:themeColor="text1"/>
                <w:sz w:val="21"/>
                <w14:textFill>
                  <w14:solidFill>
                    <w14:schemeClr w14:val="tx1"/>
                  </w14:solidFill>
                </w14:textFill>
              </w:rPr>
              <w:instrText xml:space="preserve"> SEQ 表 \* ARABIC \s 2 </w:instrText>
            </w:r>
            <w:r>
              <w:rPr>
                <w:rFonts w:eastAsia="黑体"/>
                <w:bCs/>
                <w:color w:val="000000" w:themeColor="text1"/>
                <w:sz w:val="21"/>
                <w14:textFill>
                  <w14:solidFill>
                    <w14:schemeClr w14:val="tx1"/>
                  </w14:solidFill>
                </w14:textFill>
              </w:rPr>
              <w:fldChar w:fldCharType="separate"/>
            </w:r>
            <w:r>
              <w:rPr>
                <w:rFonts w:eastAsia="黑体"/>
                <w:bCs/>
                <w:color w:val="000000" w:themeColor="text1"/>
                <w:sz w:val="21"/>
                <w14:textFill>
                  <w14:solidFill>
                    <w14:schemeClr w14:val="tx1"/>
                  </w14:solidFill>
                </w14:textFill>
              </w:rPr>
              <w:t>1</w:t>
            </w:r>
            <w:r>
              <w:rPr>
                <w:rFonts w:eastAsia="黑体"/>
                <w:bCs/>
                <w:color w:val="000000" w:themeColor="text1"/>
                <w:sz w:val="21"/>
                <w14:textFill>
                  <w14:solidFill>
                    <w14:schemeClr w14:val="tx1"/>
                  </w14:solidFill>
                </w14:textFill>
              </w:rPr>
              <w:fldChar w:fldCharType="end"/>
            </w:r>
            <w:r>
              <w:rPr>
                <w:rFonts w:eastAsia="黑体"/>
                <w:bCs/>
                <w:color w:val="000000" w:themeColor="text1"/>
                <w:sz w:val="21"/>
                <w14:textFill>
                  <w14:solidFill>
                    <w14:schemeClr w14:val="tx1"/>
                  </w14:solidFill>
                </w14:textFill>
              </w:rPr>
              <w:t xml:space="preserve"> 噪声源强调查清单（室外声源）</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2"/>
              <w:gridCol w:w="1152"/>
              <w:gridCol w:w="883"/>
              <w:gridCol w:w="883"/>
              <w:gridCol w:w="965"/>
              <w:gridCol w:w="1001"/>
              <w:gridCol w:w="963"/>
              <w:gridCol w:w="1127"/>
              <w:gridCol w:w="1004"/>
            </w:tblGrid>
            <w:tr w14:paraId="2AE6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12" w:type="pct"/>
                  <w:vMerge w:val="restart"/>
                  <w:vAlign w:val="center"/>
                </w:tcPr>
                <w:p w14:paraId="02E03A4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677" w:type="pct"/>
                  <w:vMerge w:val="restart"/>
                  <w:vAlign w:val="center"/>
                </w:tcPr>
                <w:p w14:paraId="2ABD408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主要声源</w:t>
                  </w:r>
                </w:p>
              </w:tc>
              <w:tc>
                <w:tcPr>
                  <w:tcW w:w="519" w:type="pct"/>
                  <w:vMerge w:val="restart"/>
                  <w:vAlign w:val="center"/>
                </w:tcPr>
                <w:p w14:paraId="47557E7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型号</w:t>
                  </w:r>
                </w:p>
              </w:tc>
              <w:tc>
                <w:tcPr>
                  <w:tcW w:w="1674" w:type="pct"/>
                  <w:gridSpan w:val="3"/>
                  <w:vAlign w:val="center"/>
                </w:tcPr>
                <w:p w14:paraId="05DE0D2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空间相对位置/m</w:t>
                  </w:r>
                </w:p>
              </w:tc>
              <w:tc>
                <w:tcPr>
                  <w:tcW w:w="566" w:type="pct"/>
                  <w:vMerge w:val="restart"/>
                  <w:vAlign w:val="center"/>
                </w:tcPr>
                <w:p w14:paraId="125B565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声源源强(声功率级dB)</w:t>
                  </w:r>
                </w:p>
              </w:tc>
              <w:tc>
                <w:tcPr>
                  <w:tcW w:w="662" w:type="pct"/>
                  <w:vMerge w:val="restart"/>
                  <w:vAlign w:val="center"/>
                </w:tcPr>
                <w:p w14:paraId="0DDF564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声源控制措施</w:t>
                  </w:r>
                </w:p>
              </w:tc>
              <w:tc>
                <w:tcPr>
                  <w:tcW w:w="591" w:type="pct"/>
                  <w:vMerge w:val="restart"/>
                  <w:vAlign w:val="center"/>
                </w:tcPr>
                <w:p w14:paraId="1182D1B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运行时段</w:t>
                  </w:r>
                </w:p>
              </w:tc>
            </w:tr>
            <w:tr w14:paraId="7133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1" w:hRule="atLeast"/>
                <w:jc w:val="center"/>
              </w:trPr>
              <w:tc>
                <w:tcPr>
                  <w:tcW w:w="312" w:type="pct"/>
                  <w:vMerge w:val="continue"/>
                  <w:vAlign w:val="center"/>
                </w:tcPr>
                <w:p w14:paraId="3011E5A7">
                  <w:pPr>
                    <w:pStyle w:val="138"/>
                    <w:rPr>
                      <w:rFonts w:cs="Times New Roman"/>
                      <w:color w:val="000000" w:themeColor="text1"/>
                      <w14:textFill>
                        <w14:solidFill>
                          <w14:schemeClr w14:val="tx1"/>
                        </w14:solidFill>
                      </w14:textFill>
                    </w:rPr>
                  </w:pPr>
                </w:p>
              </w:tc>
              <w:tc>
                <w:tcPr>
                  <w:tcW w:w="677" w:type="pct"/>
                  <w:vMerge w:val="continue"/>
                  <w:vAlign w:val="center"/>
                </w:tcPr>
                <w:p w14:paraId="52973FCD">
                  <w:pPr>
                    <w:pStyle w:val="138"/>
                    <w:rPr>
                      <w:rFonts w:cs="Times New Roman"/>
                      <w:color w:val="000000" w:themeColor="text1"/>
                      <w14:textFill>
                        <w14:solidFill>
                          <w14:schemeClr w14:val="tx1"/>
                        </w14:solidFill>
                      </w14:textFill>
                    </w:rPr>
                  </w:pPr>
                </w:p>
              </w:tc>
              <w:tc>
                <w:tcPr>
                  <w:tcW w:w="519" w:type="pct"/>
                  <w:vMerge w:val="continue"/>
                  <w:vAlign w:val="center"/>
                </w:tcPr>
                <w:p w14:paraId="0BD89D90">
                  <w:pPr>
                    <w:pStyle w:val="138"/>
                    <w:rPr>
                      <w:rFonts w:cs="Times New Roman"/>
                      <w:color w:val="000000" w:themeColor="text1"/>
                      <w14:textFill>
                        <w14:solidFill>
                          <w14:schemeClr w14:val="tx1"/>
                        </w14:solidFill>
                      </w14:textFill>
                    </w:rPr>
                  </w:pPr>
                </w:p>
              </w:tc>
              <w:tc>
                <w:tcPr>
                  <w:tcW w:w="519" w:type="pct"/>
                  <w:vAlign w:val="center"/>
                </w:tcPr>
                <w:p w14:paraId="70F14B9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Ｘ</w:t>
                  </w:r>
                </w:p>
              </w:tc>
              <w:tc>
                <w:tcPr>
                  <w:tcW w:w="567" w:type="pct"/>
                  <w:vAlign w:val="center"/>
                </w:tcPr>
                <w:p w14:paraId="5B3F187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Ｙ</w:t>
                  </w:r>
                </w:p>
              </w:tc>
              <w:tc>
                <w:tcPr>
                  <w:tcW w:w="588" w:type="pct"/>
                  <w:vAlign w:val="center"/>
                </w:tcPr>
                <w:p w14:paraId="099407E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Ｚ</w:t>
                  </w:r>
                </w:p>
              </w:tc>
              <w:tc>
                <w:tcPr>
                  <w:tcW w:w="566" w:type="pct"/>
                  <w:vMerge w:val="continue"/>
                  <w:vAlign w:val="center"/>
                </w:tcPr>
                <w:p w14:paraId="465264BA">
                  <w:pPr>
                    <w:pStyle w:val="138"/>
                    <w:rPr>
                      <w:rFonts w:cs="Times New Roman"/>
                      <w:color w:val="000000" w:themeColor="text1"/>
                      <w14:textFill>
                        <w14:solidFill>
                          <w14:schemeClr w14:val="tx1"/>
                        </w14:solidFill>
                      </w14:textFill>
                    </w:rPr>
                  </w:pPr>
                </w:p>
              </w:tc>
              <w:tc>
                <w:tcPr>
                  <w:tcW w:w="662" w:type="pct"/>
                  <w:vMerge w:val="continue"/>
                  <w:vAlign w:val="center"/>
                </w:tcPr>
                <w:p w14:paraId="5AB18704">
                  <w:pPr>
                    <w:pStyle w:val="138"/>
                    <w:rPr>
                      <w:rFonts w:cs="Times New Roman"/>
                      <w:color w:val="000000" w:themeColor="text1"/>
                      <w14:textFill>
                        <w14:solidFill>
                          <w14:schemeClr w14:val="tx1"/>
                        </w14:solidFill>
                      </w14:textFill>
                    </w:rPr>
                  </w:pPr>
                </w:p>
              </w:tc>
              <w:tc>
                <w:tcPr>
                  <w:tcW w:w="591" w:type="pct"/>
                  <w:vMerge w:val="continue"/>
                  <w:vAlign w:val="center"/>
                </w:tcPr>
                <w:p w14:paraId="7BF3F879">
                  <w:pPr>
                    <w:pStyle w:val="138"/>
                    <w:rPr>
                      <w:rFonts w:cs="Times New Roman"/>
                      <w:color w:val="000000" w:themeColor="text1"/>
                      <w14:textFill>
                        <w14:solidFill>
                          <w14:schemeClr w14:val="tx1"/>
                        </w14:solidFill>
                      </w14:textFill>
                    </w:rPr>
                  </w:pPr>
                </w:p>
              </w:tc>
            </w:tr>
            <w:tr w14:paraId="4EC4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62" w:hRule="atLeast"/>
                <w:jc w:val="center"/>
              </w:trPr>
              <w:tc>
                <w:tcPr>
                  <w:tcW w:w="312" w:type="pct"/>
                  <w:vAlign w:val="center"/>
                </w:tcPr>
                <w:p w14:paraId="7471842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677" w:type="pct"/>
                  <w:vAlign w:val="center"/>
                </w:tcPr>
                <w:p w14:paraId="45BD8CE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引风机</w:t>
                  </w:r>
                </w:p>
              </w:tc>
              <w:tc>
                <w:tcPr>
                  <w:tcW w:w="519" w:type="pct"/>
                  <w:vAlign w:val="center"/>
                </w:tcPr>
                <w:p w14:paraId="60D309C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519" w:type="pct"/>
                  <w:vAlign w:val="center"/>
                </w:tcPr>
                <w:p w14:paraId="058E843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743</w:t>
                  </w:r>
                </w:p>
              </w:tc>
              <w:tc>
                <w:tcPr>
                  <w:tcW w:w="567" w:type="pct"/>
                  <w:vAlign w:val="center"/>
                </w:tcPr>
                <w:p w14:paraId="50D1117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w:t>
                  </w:r>
                </w:p>
              </w:tc>
              <w:tc>
                <w:tcPr>
                  <w:tcW w:w="588" w:type="pct"/>
                  <w:vAlign w:val="center"/>
                </w:tcPr>
                <w:p w14:paraId="2A2983F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１</w:t>
                  </w:r>
                </w:p>
              </w:tc>
              <w:tc>
                <w:tcPr>
                  <w:tcW w:w="566" w:type="pct"/>
                  <w:vAlign w:val="center"/>
                </w:tcPr>
                <w:p w14:paraId="0FD022E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80</w:t>
                  </w:r>
                </w:p>
              </w:tc>
              <w:tc>
                <w:tcPr>
                  <w:tcW w:w="662" w:type="pct"/>
                  <w:vAlign w:val="center"/>
                </w:tcPr>
                <w:p w14:paraId="7D63F8F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消音、基座减震加固、围墙隔声</w:t>
                  </w:r>
                </w:p>
              </w:tc>
              <w:tc>
                <w:tcPr>
                  <w:tcW w:w="591" w:type="pct"/>
                  <w:vAlign w:val="center"/>
                </w:tcPr>
                <w:p w14:paraId="75FDDA6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7595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12" w:type="pct"/>
                  <w:vAlign w:val="center"/>
                </w:tcPr>
                <w:p w14:paraId="60660CB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677" w:type="pct"/>
                  <w:vAlign w:val="center"/>
                </w:tcPr>
                <w:p w14:paraId="1051ACB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鼓风机</w:t>
                  </w:r>
                </w:p>
              </w:tc>
              <w:tc>
                <w:tcPr>
                  <w:tcW w:w="519" w:type="pct"/>
                  <w:vAlign w:val="center"/>
                </w:tcPr>
                <w:p w14:paraId="4CB0BD8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519" w:type="pct"/>
                  <w:vAlign w:val="center"/>
                </w:tcPr>
                <w:p w14:paraId="45566EE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778</w:t>
                  </w:r>
                </w:p>
              </w:tc>
              <w:tc>
                <w:tcPr>
                  <w:tcW w:w="567" w:type="pct"/>
                  <w:vAlign w:val="center"/>
                </w:tcPr>
                <w:p w14:paraId="5789105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-173</w:t>
                  </w:r>
                </w:p>
              </w:tc>
              <w:tc>
                <w:tcPr>
                  <w:tcW w:w="588" w:type="pct"/>
                  <w:vAlign w:val="center"/>
                </w:tcPr>
                <w:p w14:paraId="12449C2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１</w:t>
                  </w:r>
                </w:p>
              </w:tc>
              <w:tc>
                <w:tcPr>
                  <w:tcW w:w="566" w:type="pct"/>
                  <w:vAlign w:val="center"/>
                </w:tcPr>
                <w:p w14:paraId="0ED25EB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80</w:t>
                  </w:r>
                </w:p>
              </w:tc>
              <w:tc>
                <w:tcPr>
                  <w:tcW w:w="662" w:type="pct"/>
                  <w:vAlign w:val="center"/>
                </w:tcPr>
                <w:p w14:paraId="1B48F02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消音、基座减震加固、围墙隔声</w:t>
                  </w:r>
                </w:p>
              </w:tc>
              <w:tc>
                <w:tcPr>
                  <w:tcW w:w="591" w:type="pct"/>
                  <w:vAlign w:val="center"/>
                </w:tcPr>
                <w:p w14:paraId="66F229E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w:t>
                  </w:r>
                </w:p>
              </w:tc>
            </w:tr>
            <w:tr w14:paraId="03B7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12" w:type="pct"/>
                  <w:vAlign w:val="center"/>
                </w:tcPr>
                <w:p w14:paraId="52C0455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677" w:type="pct"/>
                  <w:vAlign w:val="center"/>
                </w:tcPr>
                <w:p w14:paraId="537D85C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锅炉给水泵</w:t>
                  </w:r>
                </w:p>
              </w:tc>
              <w:tc>
                <w:tcPr>
                  <w:tcW w:w="519" w:type="pct"/>
                  <w:vAlign w:val="center"/>
                </w:tcPr>
                <w:p w14:paraId="3BDE0F4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519" w:type="pct"/>
                  <w:vAlign w:val="center"/>
                </w:tcPr>
                <w:p w14:paraId="397C525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728</w:t>
                  </w:r>
                </w:p>
              </w:tc>
              <w:tc>
                <w:tcPr>
                  <w:tcW w:w="567" w:type="pct"/>
                  <w:vAlign w:val="center"/>
                </w:tcPr>
                <w:p w14:paraId="3B08397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-173</w:t>
                  </w:r>
                </w:p>
              </w:tc>
              <w:tc>
                <w:tcPr>
                  <w:tcW w:w="588" w:type="pct"/>
                  <w:vAlign w:val="center"/>
                </w:tcPr>
                <w:p w14:paraId="5935B6F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c>
                <w:tcPr>
                  <w:tcW w:w="566" w:type="pct"/>
                  <w:vAlign w:val="center"/>
                </w:tcPr>
                <w:p w14:paraId="3CEFAD0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w:t>
                  </w:r>
                </w:p>
              </w:tc>
              <w:tc>
                <w:tcPr>
                  <w:tcW w:w="662" w:type="pct"/>
                  <w:vAlign w:val="center"/>
                </w:tcPr>
                <w:p w14:paraId="0CC0C05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消音、基座减震加固、围墙隔声</w:t>
                  </w:r>
                </w:p>
              </w:tc>
              <w:tc>
                <w:tcPr>
                  <w:tcW w:w="591" w:type="pct"/>
                  <w:vAlign w:val="center"/>
                </w:tcPr>
                <w:p w14:paraId="7C13272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间歇</w:t>
                  </w:r>
                </w:p>
              </w:tc>
            </w:tr>
            <w:tr w14:paraId="6975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12" w:type="pct"/>
                  <w:vAlign w:val="center"/>
                </w:tcPr>
                <w:p w14:paraId="1F1DB70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677" w:type="pct"/>
                  <w:vAlign w:val="center"/>
                </w:tcPr>
                <w:p w14:paraId="5D9215E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钢混结构冷却塔</w:t>
                  </w:r>
                </w:p>
              </w:tc>
              <w:tc>
                <w:tcPr>
                  <w:tcW w:w="519" w:type="pct"/>
                  <w:vAlign w:val="center"/>
                </w:tcPr>
                <w:p w14:paraId="1FF0900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519" w:type="pct"/>
                  <w:vAlign w:val="center"/>
                </w:tcPr>
                <w:p w14:paraId="0FFC23E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736</w:t>
                  </w:r>
                </w:p>
              </w:tc>
              <w:tc>
                <w:tcPr>
                  <w:tcW w:w="567" w:type="pct"/>
                  <w:vAlign w:val="center"/>
                </w:tcPr>
                <w:p w14:paraId="5099944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-137</w:t>
                  </w:r>
                </w:p>
              </w:tc>
              <w:tc>
                <w:tcPr>
                  <w:tcW w:w="588" w:type="pct"/>
                  <w:vAlign w:val="center"/>
                </w:tcPr>
                <w:p w14:paraId="0A2DD8D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66" w:type="pct"/>
                  <w:vAlign w:val="center"/>
                </w:tcPr>
                <w:p w14:paraId="5225CB0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c>
                <w:tcPr>
                  <w:tcW w:w="662" w:type="pct"/>
                  <w:vAlign w:val="center"/>
                </w:tcPr>
                <w:p w14:paraId="719F950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基座减震加固、隔声</w:t>
                  </w:r>
                </w:p>
              </w:tc>
              <w:tc>
                <w:tcPr>
                  <w:tcW w:w="591" w:type="pct"/>
                  <w:vAlign w:val="center"/>
                </w:tcPr>
                <w:p w14:paraId="08CE590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间歇</w:t>
                  </w:r>
                </w:p>
              </w:tc>
            </w:tr>
          </w:tbl>
          <w:p w14:paraId="7C06ABD0">
            <w:pPr>
              <w:pStyle w:val="98"/>
              <w:rPr>
                <w:rFonts w:eastAsia="黑体"/>
                <w:color w:val="000000" w:themeColor="text1"/>
                <w:sz w:val="21"/>
                <w14:textFill>
                  <w14:solidFill>
                    <w14:schemeClr w14:val="tx1"/>
                  </w14:solidFill>
                </w14:textFill>
              </w:rPr>
            </w:pPr>
            <w:r>
              <w:rPr>
                <w:rFonts w:eastAsia="黑体"/>
                <w:color w:val="000000" w:themeColor="text1"/>
                <w:sz w:val="21"/>
                <w14:textFill>
                  <w14:solidFill>
                    <w14:schemeClr w14:val="tx1"/>
                  </w14:solidFill>
                </w14:textFill>
              </w:rPr>
              <w:t>表</w:t>
            </w:r>
            <w:r>
              <w:rPr>
                <w:rFonts w:eastAsia="黑体"/>
                <w:color w:val="000000" w:themeColor="text1"/>
                <w:sz w:val="21"/>
                <w14:textFill>
                  <w14:solidFill>
                    <w14:schemeClr w14:val="tx1"/>
                  </w14:solidFill>
                </w14:textFill>
              </w:rPr>
              <w:fldChar w:fldCharType="begin"/>
            </w:r>
            <w:r>
              <w:rPr>
                <w:rFonts w:eastAsia="黑体"/>
                <w:color w:val="000000" w:themeColor="text1"/>
                <w:sz w:val="21"/>
                <w14:textFill>
                  <w14:solidFill>
                    <w14:schemeClr w14:val="tx1"/>
                  </w14:solidFill>
                </w14:textFill>
              </w:rPr>
              <w:instrText xml:space="preserve"> STYLEREF 2 \s </w:instrText>
            </w:r>
            <w:r>
              <w:rPr>
                <w:rFonts w:eastAsia="黑体"/>
                <w:color w:val="000000" w:themeColor="text1"/>
                <w:sz w:val="21"/>
                <w14:textFill>
                  <w14:solidFill>
                    <w14:schemeClr w14:val="tx1"/>
                  </w14:solidFill>
                </w14:textFill>
              </w:rPr>
              <w:fldChar w:fldCharType="separate"/>
            </w:r>
            <w:r>
              <w:rPr>
                <w:rFonts w:eastAsia="黑体"/>
                <w:color w:val="000000" w:themeColor="text1"/>
                <w:sz w:val="21"/>
                <w14:textFill>
                  <w14:solidFill>
                    <w14:schemeClr w14:val="tx1"/>
                  </w14:solidFill>
                </w14:textFill>
              </w:rPr>
              <w:t>4.8</w:t>
            </w:r>
            <w:r>
              <w:rPr>
                <w:rFonts w:eastAsia="黑体"/>
                <w:color w:val="000000" w:themeColor="text1"/>
                <w:sz w:val="21"/>
                <w14:textFill>
                  <w14:solidFill>
                    <w14:schemeClr w14:val="tx1"/>
                  </w14:solidFill>
                </w14:textFill>
              </w:rPr>
              <w:fldChar w:fldCharType="end"/>
            </w:r>
            <w:r>
              <w:rPr>
                <w:rFonts w:eastAsia="黑体"/>
                <w:color w:val="000000" w:themeColor="text1"/>
                <w:sz w:val="21"/>
                <w14:textFill>
                  <w14:solidFill>
                    <w14:schemeClr w14:val="tx1"/>
                  </w14:solidFill>
                </w14:textFill>
              </w:rPr>
              <w:t>-</w:t>
            </w:r>
            <w:r>
              <w:rPr>
                <w:rFonts w:eastAsia="黑体"/>
                <w:color w:val="000000" w:themeColor="text1"/>
                <w:sz w:val="21"/>
                <w14:textFill>
                  <w14:solidFill>
                    <w14:schemeClr w14:val="tx1"/>
                  </w14:solidFill>
                </w14:textFill>
              </w:rPr>
              <w:fldChar w:fldCharType="begin"/>
            </w:r>
            <w:r>
              <w:rPr>
                <w:rFonts w:eastAsia="黑体"/>
                <w:color w:val="000000" w:themeColor="text1"/>
                <w:sz w:val="21"/>
                <w14:textFill>
                  <w14:solidFill>
                    <w14:schemeClr w14:val="tx1"/>
                  </w14:solidFill>
                </w14:textFill>
              </w:rPr>
              <w:instrText xml:space="preserve"> SEQ 表 \* ARABIC \s 2 </w:instrText>
            </w:r>
            <w:r>
              <w:rPr>
                <w:rFonts w:eastAsia="黑体"/>
                <w:color w:val="000000" w:themeColor="text1"/>
                <w:sz w:val="21"/>
                <w14:textFill>
                  <w14:solidFill>
                    <w14:schemeClr w14:val="tx1"/>
                  </w14:solidFill>
                </w14:textFill>
              </w:rPr>
              <w:fldChar w:fldCharType="separate"/>
            </w:r>
            <w:r>
              <w:rPr>
                <w:rFonts w:eastAsia="黑体"/>
                <w:color w:val="000000" w:themeColor="text1"/>
                <w:sz w:val="21"/>
                <w14:textFill>
                  <w14:solidFill>
                    <w14:schemeClr w14:val="tx1"/>
                  </w14:solidFill>
                </w14:textFill>
              </w:rPr>
              <w:t>2</w:t>
            </w:r>
            <w:r>
              <w:rPr>
                <w:rFonts w:eastAsia="黑体"/>
                <w:color w:val="000000" w:themeColor="text1"/>
                <w:sz w:val="21"/>
                <w14:textFill>
                  <w14:solidFill>
                    <w14:schemeClr w14:val="tx1"/>
                  </w14:solidFill>
                </w14:textFill>
              </w:rPr>
              <w:fldChar w:fldCharType="end"/>
            </w:r>
            <w:r>
              <w:rPr>
                <w:rFonts w:eastAsia="黑体"/>
                <w:color w:val="000000" w:themeColor="text1"/>
                <w:sz w:val="21"/>
                <w14:textFill>
                  <w14:solidFill>
                    <w14:schemeClr w14:val="tx1"/>
                  </w14:solidFill>
                </w14:textFill>
              </w:rPr>
              <w:t xml:space="preserve"> 噪声源强调查清单（室内声源）</w:t>
            </w:r>
          </w:p>
          <w:tbl>
            <w:tblPr>
              <w:tblStyle w:val="4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2"/>
              <w:gridCol w:w="634"/>
              <w:gridCol w:w="1140"/>
              <w:gridCol w:w="219"/>
              <w:gridCol w:w="1071"/>
              <w:gridCol w:w="1083"/>
              <w:gridCol w:w="474"/>
              <w:gridCol w:w="425"/>
              <w:gridCol w:w="427"/>
              <w:gridCol w:w="379"/>
              <w:gridCol w:w="605"/>
              <w:gridCol w:w="279"/>
              <w:gridCol w:w="605"/>
              <w:gridCol w:w="605"/>
              <w:gridCol w:w="315"/>
            </w:tblGrid>
            <w:tr w14:paraId="246D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vMerge w:val="restart"/>
                  <w:tcMar>
                    <w:top w:w="0" w:type="dxa"/>
                    <w:left w:w="0" w:type="dxa"/>
                    <w:bottom w:w="0" w:type="dxa"/>
                    <w:right w:w="0" w:type="dxa"/>
                  </w:tcMar>
                  <w:vAlign w:val="center"/>
                </w:tcPr>
                <w:p w14:paraId="1A2BF47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372" w:type="pct"/>
                  <w:vMerge w:val="restart"/>
                  <w:tcMar>
                    <w:top w:w="0" w:type="dxa"/>
                    <w:left w:w="0" w:type="dxa"/>
                    <w:bottom w:w="0" w:type="dxa"/>
                    <w:right w:w="0" w:type="dxa"/>
                  </w:tcMar>
                  <w:vAlign w:val="center"/>
                </w:tcPr>
                <w:p w14:paraId="7D23380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建筑物名称</w:t>
                  </w:r>
                </w:p>
              </w:tc>
              <w:tc>
                <w:tcPr>
                  <w:tcW w:w="670" w:type="pct"/>
                  <w:vMerge w:val="restart"/>
                  <w:tcMar>
                    <w:top w:w="0" w:type="dxa"/>
                    <w:left w:w="0" w:type="dxa"/>
                    <w:bottom w:w="0" w:type="dxa"/>
                    <w:right w:w="0" w:type="dxa"/>
                  </w:tcMar>
                  <w:vAlign w:val="center"/>
                </w:tcPr>
                <w:p w14:paraId="1039056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声源名称</w:t>
                  </w:r>
                </w:p>
              </w:tc>
              <w:tc>
                <w:tcPr>
                  <w:tcW w:w="129" w:type="pct"/>
                  <w:vMerge w:val="restart"/>
                  <w:tcMar>
                    <w:top w:w="0" w:type="dxa"/>
                    <w:left w:w="0" w:type="dxa"/>
                    <w:bottom w:w="0" w:type="dxa"/>
                    <w:right w:w="0" w:type="dxa"/>
                  </w:tcMar>
                  <w:vAlign w:val="center"/>
                </w:tcPr>
                <w:p w14:paraId="47859B9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型号</w:t>
                  </w:r>
                </w:p>
              </w:tc>
              <w:tc>
                <w:tcPr>
                  <w:tcW w:w="630" w:type="pct"/>
                  <w:tcMar>
                    <w:top w:w="0" w:type="dxa"/>
                    <w:left w:w="0" w:type="dxa"/>
                    <w:bottom w:w="0" w:type="dxa"/>
                    <w:right w:w="0" w:type="dxa"/>
                  </w:tcMar>
                  <w:vAlign w:val="center"/>
                </w:tcPr>
                <w:p w14:paraId="4DAE4E8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声源源强</w:t>
                  </w:r>
                </w:p>
              </w:tc>
              <w:tc>
                <w:tcPr>
                  <w:tcW w:w="637" w:type="pct"/>
                  <w:vMerge w:val="restart"/>
                  <w:tcMar>
                    <w:top w:w="0" w:type="dxa"/>
                    <w:left w:w="0" w:type="dxa"/>
                    <w:bottom w:w="0" w:type="dxa"/>
                    <w:right w:w="0" w:type="dxa"/>
                  </w:tcMar>
                  <w:vAlign w:val="center"/>
                </w:tcPr>
                <w:p w14:paraId="1350524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声源控制</w:t>
                  </w:r>
                </w:p>
                <w:p w14:paraId="46DCE89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措施</w:t>
                  </w:r>
                </w:p>
              </w:tc>
              <w:tc>
                <w:tcPr>
                  <w:tcW w:w="780" w:type="pct"/>
                  <w:gridSpan w:val="3"/>
                  <w:tcMar>
                    <w:top w:w="0" w:type="dxa"/>
                    <w:left w:w="0" w:type="dxa"/>
                    <w:bottom w:w="0" w:type="dxa"/>
                    <w:right w:w="0" w:type="dxa"/>
                  </w:tcMar>
                  <w:vAlign w:val="center"/>
                </w:tcPr>
                <w:p w14:paraId="6234E855">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空间相对位置/m</w:t>
                  </w:r>
                </w:p>
              </w:tc>
              <w:tc>
                <w:tcPr>
                  <w:tcW w:w="223" w:type="pct"/>
                  <w:vMerge w:val="restart"/>
                  <w:tcMar>
                    <w:top w:w="0" w:type="dxa"/>
                    <w:left w:w="0" w:type="dxa"/>
                    <w:bottom w:w="0" w:type="dxa"/>
                    <w:right w:w="0" w:type="dxa"/>
                  </w:tcMar>
                  <w:vAlign w:val="center"/>
                </w:tcPr>
                <w:p w14:paraId="4B2852D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距离内边界距离/m</w:t>
                  </w:r>
                </w:p>
              </w:tc>
              <w:tc>
                <w:tcPr>
                  <w:tcW w:w="356" w:type="pct"/>
                  <w:vMerge w:val="restart"/>
                  <w:tcMar>
                    <w:top w:w="0" w:type="dxa"/>
                    <w:left w:w="0" w:type="dxa"/>
                    <w:bottom w:w="0" w:type="dxa"/>
                    <w:right w:w="0" w:type="dxa"/>
                  </w:tcMar>
                  <w:vAlign w:val="center"/>
                </w:tcPr>
                <w:p w14:paraId="178B6A7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室内边界声级/dB(A)</w:t>
                  </w:r>
                </w:p>
              </w:tc>
              <w:tc>
                <w:tcPr>
                  <w:tcW w:w="164" w:type="pct"/>
                  <w:vMerge w:val="restart"/>
                  <w:tcMar>
                    <w:top w:w="0" w:type="dxa"/>
                    <w:left w:w="0" w:type="dxa"/>
                    <w:bottom w:w="0" w:type="dxa"/>
                    <w:right w:w="0" w:type="dxa"/>
                  </w:tcMar>
                  <w:vAlign w:val="center"/>
                </w:tcPr>
                <w:p w14:paraId="3267F5F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运行时段</w:t>
                  </w:r>
                </w:p>
              </w:tc>
              <w:tc>
                <w:tcPr>
                  <w:tcW w:w="356" w:type="pct"/>
                  <w:vMerge w:val="restart"/>
                  <w:tcMar>
                    <w:top w:w="0" w:type="dxa"/>
                    <w:left w:w="0" w:type="dxa"/>
                    <w:bottom w:w="0" w:type="dxa"/>
                    <w:right w:w="0" w:type="dxa"/>
                  </w:tcMar>
                  <w:vAlign w:val="center"/>
                </w:tcPr>
                <w:p w14:paraId="25BDE0F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建筑物插入损失/dB(A)</w:t>
                  </w:r>
                </w:p>
              </w:tc>
              <w:tc>
                <w:tcPr>
                  <w:tcW w:w="541" w:type="pct"/>
                  <w:gridSpan w:val="2"/>
                  <w:tcMar>
                    <w:top w:w="0" w:type="dxa"/>
                    <w:left w:w="0" w:type="dxa"/>
                    <w:bottom w:w="0" w:type="dxa"/>
                    <w:right w:w="0" w:type="dxa"/>
                  </w:tcMar>
                  <w:vAlign w:val="center"/>
                </w:tcPr>
                <w:p w14:paraId="20C78025">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建筑物外噪音</w:t>
                  </w:r>
                </w:p>
              </w:tc>
            </w:tr>
            <w:tr w14:paraId="67DF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vMerge w:val="continue"/>
                  <w:tcMar>
                    <w:top w:w="0" w:type="dxa"/>
                    <w:left w:w="0" w:type="dxa"/>
                    <w:bottom w:w="0" w:type="dxa"/>
                    <w:right w:w="0" w:type="dxa"/>
                  </w:tcMar>
                  <w:vAlign w:val="center"/>
                </w:tcPr>
                <w:p w14:paraId="73425FEF">
                  <w:pPr>
                    <w:pStyle w:val="138"/>
                    <w:rPr>
                      <w:rFonts w:cs="Times New Roman"/>
                      <w:color w:val="000000" w:themeColor="text1"/>
                      <w:lang w:val="zh-CN"/>
                      <w14:textFill>
                        <w14:solidFill>
                          <w14:schemeClr w14:val="tx1"/>
                        </w14:solidFill>
                      </w14:textFill>
                    </w:rPr>
                  </w:pPr>
                </w:p>
              </w:tc>
              <w:tc>
                <w:tcPr>
                  <w:tcW w:w="372" w:type="pct"/>
                  <w:vMerge w:val="continue"/>
                  <w:tcMar>
                    <w:top w:w="0" w:type="dxa"/>
                    <w:left w:w="0" w:type="dxa"/>
                    <w:bottom w:w="0" w:type="dxa"/>
                    <w:right w:w="0" w:type="dxa"/>
                  </w:tcMar>
                  <w:vAlign w:val="center"/>
                </w:tcPr>
                <w:p w14:paraId="69A4FAFA">
                  <w:pPr>
                    <w:pStyle w:val="138"/>
                    <w:rPr>
                      <w:rFonts w:cs="Times New Roman"/>
                      <w:color w:val="000000" w:themeColor="text1"/>
                      <w14:textFill>
                        <w14:solidFill>
                          <w14:schemeClr w14:val="tx1"/>
                        </w14:solidFill>
                      </w14:textFill>
                    </w:rPr>
                  </w:pPr>
                </w:p>
              </w:tc>
              <w:tc>
                <w:tcPr>
                  <w:tcW w:w="670" w:type="pct"/>
                  <w:vMerge w:val="continue"/>
                  <w:tcMar>
                    <w:top w:w="0" w:type="dxa"/>
                    <w:left w:w="0" w:type="dxa"/>
                    <w:bottom w:w="0" w:type="dxa"/>
                    <w:right w:w="0" w:type="dxa"/>
                  </w:tcMar>
                  <w:vAlign w:val="center"/>
                </w:tcPr>
                <w:p w14:paraId="1D85AA0F">
                  <w:pPr>
                    <w:pStyle w:val="138"/>
                    <w:rPr>
                      <w:rFonts w:cs="Times New Roman"/>
                      <w:color w:val="000000" w:themeColor="text1"/>
                      <w:lang w:val="zh-CN"/>
                      <w14:textFill>
                        <w14:solidFill>
                          <w14:schemeClr w14:val="tx1"/>
                        </w14:solidFill>
                      </w14:textFill>
                    </w:rPr>
                  </w:pPr>
                </w:p>
              </w:tc>
              <w:tc>
                <w:tcPr>
                  <w:tcW w:w="129" w:type="pct"/>
                  <w:vMerge w:val="continue"/>
                  <w:tcMar>
                    <w:top w:w="0" w:type="dxa"/>
                    <w:left w:w="0" w:type="dxa"/>
                    <w:bottom w:w="0" w:type="dxa"/>
                    <w:right w:w="0" w:type="dxa"/>
                  </w:tcMar>
                  <w:vAlign w:val="center"/>
                </w:tcPr>
                <w:p w14:paraId="7F4547FE">
                  <w:pPr>
                    <w:pStyle w:val="138"/>
                    <w:rPr>
                      <w:rFonts w:cs="Times New Roman"/>
                      <w:color w:val="000000" w:themeColor="text1"/>
                      <w:lang w:val="zh-CN"/>
                      <w14:textFill>
                        <w14:solidFill>
                          <w14:schemeClr w14:val="tx1"/>
                        </w14:solidFill>
                      </w14:textFill>
                    </w:rPr>
                  </w:pPr>
                </w:p>
              </w:tc>
              <w:tc>
                <w:tcPr>
                  <w:tcW w:w="630" w:type="pct"/>
                  <w:tcMar>
                    <w:top w:w="0" w:type="dxa"/>
                    <w:left w:w="0" w:type="dxa"/>
                    <w:bottom w:w="0" w:type="dxa"/>
                    <w:right w:w="0" w:type="dxa"/>
                  </w:tcMar>
                  <w:vAlign w:val="center"/>
                </w:tcPr>
                <w:p w14:paraId="1BE2C45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（声压级/距声源距离）/（dB(A)/m）</w:t>
                  </w:r>
                </w:p>
              </w:tc>
              <w:tc>
                <w:tcPr>
                  <w:tcW w:w="637" w:type="pct"/>
                  <w:vMerge w:val="continue"/>
                  <w:tcMar>
                    <w:top w:w="0" w:type="dxa"/>
                    <w:left w:w="0" w:type="dxa"/>
                    <w:bottom w:w="0" w:type="dxa"/>
                    <w:right w:w="0" w:type="dxa"/>
                  </w:tcMar>
                  <w:vAlign w:val="center"/>
                </w:tcPr>
                <w:p w14:paraId="4817ACC2">
                  <w:pPr>
                    <w:pStyle w:val="138"/>
                    <w:rPr>
                      <w:rFonts w:cs="Times New Roman"/>
                      <w:color w:val="000000" w:themeColor="text1"/>
                      <w:lang w:val="zh-CN"/>
                      <w14:textFill>
                        <w14:solidFill>
                          <w14:schemeClr w14:val="tx1"/>
                        </w14:solidFill>
                      </w14:textFill>
                    </w:rPr>
                  </w:pPr>
                </w:p>
              </w:tc>
              <w:tc>
                <w:tcPr>
                  <w:tcW w:w="279" w:type="pct"/>
                  <w:tcMar>
                    <w:top w:w="0" w:type="dxa"/>
                    <w:left w:w="0" w:type="dxa"/>
                    <w:bottom w:w="0" w:type="dxa"/>
                    <w:right w:w="0" w:type="dxa"/>
                  </w:tcMar>
                  <w:vAlign w:val="center"/>
                </w:tcPr>
                <w:p w14:paraId="28850FB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X</w:t>
                  </w:r>
                </w:p>
              </w:tc>
              <w:tc>
                <w:tcPr>
                  <w:tcW w:w="250" w:type="pct"/>
                  <w:tcMar>
                    <w:top w:w="0" w:type="dxa"/>
                    <w:left w:w="0" w:type="dxa"/>
                    <w:bottom w:w="0" w:type="dxa"/>
                    <w:right w:w="0" w:type="dxa"/>
                  </w:tcMar>
                  <w:vAlign w:val="center"/>
                </w:tcPr>
                <w:p w14:paraId="3A2D58C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Y</w:t>
                  </w:r>
                </w:p>
              </w:tc>
              <w:tc>
                <w:tcPr>
                  <w:tcW w:w="250" w:type="pct"/>
                  <w:tcMar>
                    <w:top w:w="0" w:type="dxa"/>
                    <w:left w:w="0" w:type="dxa"/>
                    <w:bottom w:w="0" w:type="dxa"/>
                    <w:right w:w="0" w:type="dxa"/>
                  </w:tcMar>
                  <w:vAlign w:val="center"/>
                </w:tcPr>
                <w:p w14:paraId="529CA01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Z</w:t>
                  </w:r>
                </w:p>
              </w:tc>
              <w:tc>
                <w:tcPr>
                  <w:tcW w:w="223" w:type="pct"/>
                  <w:vMerge w:val="continue"/>
                  <w:tcMar>
                    <w:top w:w="0" w:type="dxa"/>
                    <w:left w:w="0" w:type="dxa"/>
                    <w:bottom w:w="0" w:type="dxa"/>
                    <w:right w:w="0" w:type="dxa"/>
                  </w:tcMar>
                  <w:vAlign w:val="center"/>
                </w:tcPr>
                <w:p w14:paraId="72E62039">
                  <w:pPr>
                    <w:pStyle w:val="138"/>
                    <w:rPr>
                      <w:rFonts w:cs="Times New Roman"/>
                      <w:color w:val="000000" w:themeColor="text1"/>
                      <w14:textFill>
                        <w14:solidFill>
                          <w14:schemeClr w14:val="tx1"/>
                        </w14:solidFill>
                      </w14:textFill>
                    </w:rPr>
                  </w:pPr>
                </w:p>
              </w:tc>
              <w:tc>
                <w:tcPr>
                  <w:tcW w:w="356" w:type="pct"/>
                  <w:vMerge w:val="continue"/>
                  <w:tcMar>
                    <w:top w:w="0" w:type="dxa"/>
                    <w:left w:w="0" w:type="dxa"/>
                    <w:bottom w:w="0" w:type="dxa"/>
                    <w:right w:w="0" w:type="dxa"/>
                  </w:tcMar>
                  <w:vAlign w:val="center"/>
                </w:tcPr>
                <w:p w14:paraId="054C8CC8">
                  <w:pPr>
                    <w:pStyle w:val="138"/>
                    <w:rPr>
                      <w:rFonts w:cs="Times New Roman"/>
                      <w:color w:val="000000" w:themeColor="text1"/>
                      <w:lang w:val="zh-CN"/>
                      <w14:textFill>
                        <w14:solidFill>
                          <w14:schemeClr w14:val="tx1"/>
                        </w14:solidFill>
                      </w14:textFill>
                    </w:rPr>
                  </w:pPr>
                </w:p>
              </w:tc>
              <w:tc>
                <w:tcPr>
                  <w:tcW w:w="164" w:type="pct"/>
                  <w:vMerge w:val="continue"/>
                  <w:tcMar>
                    <w:top w:w="0" w:type="dxa"/>
                    <w:left w:w="0" w:type="dxa"/>
                    <w:bottom w:w="0" w:type="dxa"/>
                    <w:right w:w="0" w:type="dxa"/>
                  </w:tcMar>
                  <w:vAlign w:val="center"/>
                </w:tcPr>
                <w:p w14:paraId="7C135A32">
                  <w:pPr>
                    <w:pStyle w:val="138"/>
                    <w:rPr>
                      <w:rFonts w:cs="Times New Roman"/>
                      <w:color w:val="000000" w:themeColor="text1"/>
                      <w:lang w:val="zh-CN"/>
                      <w14:textFill>
                        <w14:solidFill>
                          <w14:schemeClr w14:val="tx1"/>
                        </w14:solidFill>
                      </w14:textFill>
                    </w:rPr>
                  </w:pPr>
                </w:p>
              </w:tc>
              <w:tc>
                <w:tcPr>
                  <w:tcW w:w="356" w:type="pct"/>
                  <w:vMerge w:val="continue"/>
                  <w:tcMar>
                    <w:top w:w="0" w:type="dxa"/>
                    <w:left w:w="0" w:type="dxa"/>
                    <w:bottom w:w="0" w:type="dxa"/>
                    <w:right w:w="0" w:type="dxa"/>
                  </w:tcMar>
                  <w:vAlign w:val="center"/>
                </w:tcPr>
                <w:p w14:paraId="4CE85522">
                  <w:pPr>
                    <w:pStyle w:val="138"/>
                    <w:rPr>
                      <w:rFonts w:cs="Times New Roman"/>
                      <w:color w:val="000000" w:themeColor="text1"/>
                      <w:lang w:val="zh-CN"/>
                      <w14:textFill>
                        <w14:solidFill>
                          <w14:schemeClr w14:val="tx1"/>
                        </w14:solidFill>
                      </w14:textFill>
                    </w:rPr>
                  </w:pPr>
                </w:p>
              </w:tc>
              <w:tc>
                <w:tcPr>
                  <w:tcW w:w="356" w:type="pct"/>
                  <w:tcMar>
                    <w:top w:w="0" w:type="dxa"/>
                    <w:left w:w="0" w:type="dxa"/>
                    <w:bottom w:w="0" w:type="dxa"/>
                    <w:right w:w="0" w:type="dxa"/>
                  </w:tcMar>
                  <w:vAlign w:val="center"/>
                </w:tcPr>
                <w:p w14:paraId="2FA5B55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声压级/dB(A)</w:t>
                  </w:r>
                </w:p>
              </w:tc>
              <w:tc>
                <w:tcPr>
                  <w:tcW w:w="185" w:type="pct"/>
                  <w:tcMar>
                    <w:top w:w="0" w:type="dxa"/>
                    <w:left w:w="0" w:type="dxa"/>
                    <w:bottom w:w="0" w:type="dxa"/>
                    <w:right w:w="0" w:type="dxa"/>
                  </w:tcMar>
                  <w:vAlign w:val="center"/>
                </w:tcPr>
                <w:p w14:paraId="32913CF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建筑物外距离</w:t>
                  </w:r>
                </w:p>
              </w:tc>
            </w:tr>
            <w:tr w14:paraId="2654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tcMar>
                    <w:top w:w="0" w:type="dxa"/>
                    <w:left w:w="0" w:type="dxa"/>
                    <w:bottom w:w="0" w:type="dxa"/>
                    <w:right w:w="0" w:type="dxa"/>
                  </w:tcMar>
                  <w:vAlign w:val="center"/>
                </w:tcPr>
                <w:p w14:paraId="4425DCAA">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w:t>
                  </w:r>
                </w:p>
              </w:tc>
              <w:tc>
                <w:tcPr>
                  <w:tcW w:w="372" w:type="pct"/>
                  <w:vMerge w:val="restart"/>
                  <w:tcMar>
                    <w:top w:w="0" w:type="dxa"/>
                    <w:left w:w="0" w:type="dxa"/>
                    <w:bottom w:w="0" w:type="dxa"/>
                    <w:right w:w="0" w:type="dxa"/>
                  </w:tcMar>
                  <w:vAlign w:val="center"/>
                </w:tcPr>
                <w:p w14:paraId="283100B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汽机房</w:t>
                  </w:r>
                </w:p>
              </w:tc>
              <w:tc>
                <w:tcPr>
                  <w:tcW w:w="670" w:type="pct"/>
                  <w:tcMar>
                    <w:top w:w="0" w:type="dxa"/>
                    <w:left w:w="0" w:type="dxa"/>
                    <w:bottom w:w="0" w:type="dxa"/>
                    <w:right w:w="0" w:type="dxa"/>
                  </w:tcMar>
                  <w:vAlign w:val="center"/>
                </w:tcPr>
                <w:p w14:paraId="15A68DBB">
                  <w:pPr>
                    <w:pStyle w:val="90"/>
                    <w:rPr>
                      <w:color w:val="000000" w:themeColor="text1"/>
                      <w14:textFill>
                        <w14:solidFill>
                          <w14:schemeClr w14:val="tx1"/>
                        </w14:solidFill>
                      </w14:textFill>
                    </w:rPr>
                  </w:pPr>
                  <w:r>
                    <w:rPr>
                      <w:color w:val="000000" w:themeColor="text1"/>
                      <w14:textFill>
                        <w14:solidFill>
                          <w14:schemeClr w14:val="tx1"/>
                        </w14:solidFill>
                      </w14:textFill>
                    </w:rPr>
                    <w:t>煤气汽轮发电机组</w:t>
                  </w:r>
                </w:p>
              </w:tc>
              <w:tc>
                <w:tcPr>
                  <w:tcW w:w="129" w:type="pct"/>
                  <w:tcMar>
                    <w:top w:w="0" w:type="dxa"/>
                    <w:left w:w="0" w:type="dxa"/>
                    <w:bottom w:w="0" w:type="dxa"/>
                    <w:right w:w="0" w:type="dxa"/>
                  </w:tcMar>
                  <w:vAlign w:val="center"/>
                </w:tcPr>
                <w:p w14:paraId="18A6486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0" w:type="pct"/>
                  <w:tcMar>
                    <w:top w:w="0" w:type="dxa"/>
                    <w:left w:w="0" w:type="dxa"/>
                    <w:bottom w:w="0" w:type="dxa"/>
                    <w:right w:w="0" w:type="dxa"/>
                  </w:tcMar>
                  <w:vAlign w:val="center"/>
                </w:tcPr>
                <w:p w14:paraId="0A8FC122">
                  <w:pPr>
                    <w:pStyle w:val="90"/>
                    <w:rPr>
                      <w:color w:val="000000" w:themeColor="text1"/>
                      <w14:textFill>
                        <w14:solidFill>
                          <w14:schemeClr w14:val="tx1"/>
                        </w14:solidFill>
                      </w14:textFill>
                    </w:rPr>
                  </w:pPr>
                  <w:r>
                    <w:rPr>
                      <w:color w:val="000000" w:themeColor="text1"/>
                      <w14:textFill>
                        <w14:solidFill>
                          <w14:schemeClr w14:val="tx1"/>
                        </w14:solidFill>
                      </w14:textFill>
                    </w:rPr>
                    <w:t>95</w:t>
                  </w:r>
                </w:p>
              </w:tc>
              <w:tc>
                <w:tcPr>
                  <w:tcW w:w="637" w:type="pct"/>
                  <w:tcMar>
                    <w:top w:w="0" w:type="dxa"/>
                    <w:left w:w="0" w:type="dxa"/>
                    <w:bottom w:w="0" w:type="dxa"/>
                    <w:right w:w="0" w:type="dxa"/>
                  </w:tcMar>
                  <w:vAlign w:val="center"/>
                </w:tcPr>
                <w:p w14:paraId="70A6D7CC">
                  <w:pPr>
                    <w:pStyle w:val="90"/>
                    <w:rPr>
                      <w:color w:val="000000" w:themeColor="text1"/>
                      <w14:textFill>
                        <w14:solidFill>
                          <w14:schemeClr w14:val="tx1"/>
                        </w14:solidFill>
                      </w14:textFill>
                    </w:rPr>
                  </w:pPr>
                  <w:r>
                    <w:rPr>
                      <w:color w:val="000000" w:themeColor="text1"/>
                      <w14:textFill>
                        <w14:solidFill>
                          <w14:schemeClr w14:val="tx1"/>
                        </w14:solidFill>
                      </w14:textFill>
                    </w:rPr>
                    <w:t>消音、基座减震加固、厂房隔声</w:t>
                  </w:r>
                </w:p>
              </w:tc>
              <w:tc>
                <w:tcPr>
                  <w:tcW w:w="279" w:type="pct"/>
                  <w:tcMar>
                    <w:top w:w="0" w:type="dxa"/>
                    <w:left w:w="0" w:type="dxa"/>
                    <w:bottom w:w="0" w:type="dxa"/>
                    <w:right w:w="0" w:type="dxa"/>
                  </w:tcMar>
                  <w:vAlign w:val="center"/>
                </w:tcPr>
                <w:p w14:paraId="489FCB7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679</w:t>
                  </w:r>
                </w:p>
              </w:tc>
              <w:tc>
                <w:tcPr>
                  <w:tcW w:w="250" w:type="pct"/>
                  <w:tcMar>
                    <w:top w:w="0" w:type="dxa"/>
                    <w:left w:w="0" w:type="dxa"/>
                    <w:bottom w:w="0" w:type="dxa"/>
                    <w:right w:w="0" w:type="dxa"/>
                  </w:tcMar>
                  <w:vAlign w:val="center"/>
                </w:tcPr>
                <w:p w14:paraId="48F03AE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-166</w:t>
                  </w:r>
                </w:p>
              </w:tc>
              <w:tc>
                <w:tcPr>
                  <w:tcW w:w="250" w:type="pct"/>
                  <w:tcMar>
                    <w:top w:w="0" w:type="dxa"/>
                    <w:left w:w="0" w:type="dxa"/>
                    <w:bottom w:w="0" w:type="dxa"/>
                    <w:right w:w="0" w:type="dxa"/>
                  </w:tcMar>
                  <w:vAlign w:val="center"/>
                </w:tcPr>
                <w:p w14:paraId="7C33FB6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223" w:type="pct"/>
                  <w:tcMar>
                    <w:top w:w="0" w:type="dxa"/>
                    <w:left w:w="0" w:type="dxa"/>
                    <w:bottom w:w="0" w:type="dxa"/>
                    <w:right w:w="0" w:type="dxa"/>
                  </w:tcMar>
                  <w:vAlign w:val="center"/>
                </w:tcPr>
                <w:p w14:paraId="79BF897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tcMar>
                    <w:top w:w="0" w:type="dxa"/>
                    <w:left w:w="0" w:type="dxa"/>
                    <w:bottom w:w="0" w:type="dxa"/>
                    <w:right w:w="0" w:type="dxa"/>
                  </w:tcMar>
                  <w:vAlign w:val="center"/>
                </w:tcPr>
                <w:p w14:paraId="24D8B77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85</w:t>
                  </w:r>
                </w:p>
              </w:tc>
              <w:tc>
                <w:tcPr>
                  <w:tcW w:w="164" w:type="pct"/>
                  <w:tcMar>
                    <w:top w:w="0" w:type="dxa"/>
                    <w:left w:w="0" w:type="dxa"/>
                    <w:bottom w:w="0" w:type="dxa"/>
                    <w:right w:w="0" w:type="dxa"/>
                  </w:tcMar>
                  <w:vAlign w:val="center"/>
                </w:tcPr>
                <w:p w14:paraId="3957EA28">
                  <w:pPr>
                    <w:pStyle w:val="90"/>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56" w:type="pct"/>
                  <w:tcMar>
                    <w:top w:w="0" w:type="dxa"/>
                    <w:left w:w="0" w:type="dxa"/>
                    <w:bottom w:w="0" w:type="dxa"/>
                    <w:right w:w="0" w:type="dxa"/>
                  </w:tcMar>
                  <w:vAlign w:val="center"/>
                </w:tcPr>
                <w:p w14:paraId="4BE3B17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tcMar>
                    <w:top w:w="0" w:type="dxa"/>
                    <w:left w:w="0" w:type="dxa"/>
                    <w:bottom w:w="0" w:type="dxa"/>
                    <w:right w:w="0" w:type="dxa"/>
                  </w:tcMar>
                  <w:vAlign w:val="center"/>
                </w:tcPr>
                <w:p w14:paraId="3982F498">
                  <w:pPr>
                    <w:pStyle w:val="90"/>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85" w:type="pct"/>
                  <w:tcMar>
                    <w:top w:w="0" w:type="dxa"/>
                    <w:left w:w="0" w:type="dxa"/>
                    <w:bottom w:w="0" w:type="dxa"/>
                    <w:right w:w="0" w:type="dxa"/>
                  </w:tcMar>
                  <w:vAlign w:val="center"/>
                </w:tcPr>
                <w:p w14:paraId="785ED40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14:paraId="2313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tcMar>
                    <w:top w:w="0" w:type="dxa"/>
                    <w:left w:w="0" w:type="dxa"/>
                    <w:bottom w:w="0" w:type="dxa"/>
                    <w:right w:w="0" w:type="dxa"/>
                  </w:tcMar>
                  <w:vAlign w:val="center"/>
                </w:tcPr>
                <w:p w14:paraId="78DAAF2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372" w:type="pct"/>
                  <w:vMerge w:val="continue"/>
                  <w:tcMar>
                    <w:top w:w="0" w:type="dxa"/>
                    <w:left w:w="0" w:type="dxa"/>
                    <w:bottom w:w="0" w:type="dxa"/>
                    <w:right w:w="0" w:type="dxa"/>
                  </w:tcMar>
                  <w:vAlign w:val="center"/>
                </w:tcPr>
                <w:p w14:paraId="2D26E9E9">
                  <w:pPr>
                    <w:pStyle w:val="138"/>
                    <w:rPr>
                      <w:rFonts w:cs="Times New Roman"/>
                      <w:color w:val="000000" w:themeColor="text1"/>
                      <w14:textFill>
                        <w14:solidFill>
                          <w14:schemeClr w14:val="tx1"/>
                        </w14:solidFill>
                      </w14:textFill>
                    </w:rPr>
                  </w:pPr>
                </w:p>
              </w:tc>
              <w:tc>
                <w:tcPr>
                  <w:tcW w:w="670" w:type="pct"/>
                  <w:tcMar>
                    <w:top w:w="0" w:type="dxa"/>
                    <w:left w:w="0" w:type="dxa"/>
                    <w:bottom w:w="0" w:type="dxa"/>
                    <w:right w:w="0" w:type="dxa"/>
                  </w:tcMar>
                  <w:vAlign w:val="center"/>
                </w:tcPr>
                <w:p w14:paraId="5477779D">
                  <w:pPr>
                    <w:pStyle w:val="90"/>
                    <w:rPr>
                      <w:color w:val="000000" w:themeColor="text1"/>
                      <w14:textFill>
                        <w14:solidFill>
                          <w14:schemeClr w14:val="tx1"/>
                        </w14:solidFill>
                      </w14:textFill>
                    </w:rPr>
                  </w:pPr>
                  <w:r>
                    <w:rPr>
                      <w:color w:val="000000" w:themeColor="text1"/>
                      <w14:textFill>
                        <w14:solidFill>
                          <w14:schemeClr w14:val="tx1"/>
                        </w14:solidFill>
                      </w14:textFill>
                    </w:rPr>
                    <w:t>余热发电机组</w:t>
                  </w:r>
                </w:p>
              </w:tc>
              <w:tc>
                <w:tcPr>
                  <w:tcW w:w="129" w:type="pct"/>
                  <w:tcMar>
                    <w:top w:w="0" w:type="dxa"/>
                    <w:left w:w="0" w:type="dxa"/>
                    <w:bottom w:w="0" w:type="dxa"/>
                    <w:right w:w="0" w:type="dxa"/>
                  </w:tcMar>
                  <w:vAlign w:val="center"/>
                </w:tcPr>
                <w:p w14:paraId="37AC2F53">
                  <w:pPr>
                    <w:pStyle w:val="138"/>
                    <w:rPr>
                      <w:rFonts w:cs="Times New Roman"/>
                      <w:color w:val="000000" w:themeColor="text1"/>
                      <w14:textFill>
                        <w14:solidFill>
                          <w14:schemeClr w14:val="tx1"/>
                        </w14:solidFill>
                      </w14:textFill>
                    </w:rPr>
                  </w:pPr>
                </w:p>
              </w:tc>
              <w:tc>
                <w:tcPr>
                  <w:tcW w:w="630" w:type="pct"/>
                  <w:tcMar>
                    <w:top w:w="0" w:type="dxa"/>
                    <w:left w:w="0" w:type="dxa"/>
                    <w:bottom w:w="0" w:type="dxa"/>
                    <w:right w:w="0" w:type="dxa"/>
                  </w:tcMar>
                  <w:vAlign w:val="center"/>
                </w:tcPr>
                <w:p w14:paraId="272D77FF">
                  <w:pPr>
                    <w:pStyle w:val="90"/>
                    <w:rPr>
                      <w:color w:val="000000" w:themeColor="text1"/>
                      <w14:textFill>
                        <w14:solidFill>
                          <w14:schemeClr w14:val="tx1"/>
                        </w14:solidFill>
                      </w14:textFill>
                    </w:rPr>
                  </w:pPr>
                  <w:r>
                    <w:rPr>
                      <w:color w:val="000000" w:themeColor="text1"/>
                      <w14:textFill>
                        <w14:solidFill>
                          <w14:schemeClr w14:val="tx1"/>
                        </w14:solidFill>
                      </w14:textFill>
                    </w:rPr>
                    <w:t>95</w:t>
                  </w:r>
                </w:p>
              </w:tc>
              <w:tc>
                <w:tcPr>
                  <w:tcW w:w="637" w:type="pct"/>
                  <w:tcMar>
                    <w:top w:w="0" w:type="dxa"/>
                    <w:left w:w="0" w:type="dxa"/>
                    <w:bottom w:w="0" w:type="dxa"/>
                    <w:right w:w="0" w:type="dxa"/>
                  </w:tcMar>
                  <w:vAlign w:val="center"/>
                </w:tcPr>
                <w:p w14:paraId="39219B04">
                  <w:pPr>
                    <w:pStyle w:val="90"/>
                    <w:rPr>
                      <w:color w:val="000000" w:themeColor="text1"/>
                      <w14:textFill>
                        <w14:solidFill>
                          <w14:schemeClr w14:val="tx1"/>
                        </w14:solidFill>
                      </w14:textFill>
                    </w:rPr>
                  </w:pPr>
                  <w:r>
                    <w:rPr>
                      <w:color w:val="000000" w:themeColor="text1"/>
                      <w14:textFill>
                        <w14:solidFill>
                          <w14:schemeClr w14:val="tx1"/>
                        </w14:solidFill>
                      </w14:textFill>
                    </w:rPr>
                    <w:t>消音、基座减震加固、厂房隔声</w:t>
                  </w:r>
                </w:p>
              </w:tc>
              <w:tc>
                <w:tcPr>
                  <w:tcW w:w="279" w:type="pct"/>
                  <w:tcMar>
                    <w:top w:w="0" w:type="dxa"/>
                    <w:left w:w="0" w:type="dxa"/>
                    <w:bottom w:w="0" w:type="dxa"/>
                    <w:right w:w="0" w:type="dxa"/>
                  </w:tcMar>
                  <w:vAlign w:val="center"/>
                </w:tcPr>
                <w:p w14:paraId="2B83C17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650</w:t>
                  </w:r>
                </w:p>
              </w:tc>
              <w:tc>
                <w:tcPr>
                  <w:tcW w:w="250" w:type="pct"/>
                  <w:tcMar>
                    <w:top w:w="0" w:type="dxa"/>
                    <w:left w:w="0" w:type="dxa"/>
                    <w:bottom w:w="0" w:type="dxa"/>
                    <w:right w:w="0" w:type="dxa"/>
                  </w:tcMar>
                  <w:vAlign w:val="center"/>
                </w:tcPr>
                <w:p w14:paraId="322FE48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-151</w:t>
                  </w:r>
                </w:p>
              </w:tc>
              <w:tc>
                <w:tcPr>
                  <w:tcW w:w="250" w:type="pct"/>
                  <w:tcMar>
                    <w:top w:w="0" w:type="dxa"/>
                    <w:left w:w="0" w:type="dxa"/>
                    <w:bottom w:w="0" w:type="dxa"/>
                    <w:right w:w="0" w:type="dxa"/>
                  </w:tcMar>
                  <w:vAlign w:val="center"/>
                </w:tcPr>
                <w:p w14:paraId="372FEE5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223" w:type="pct"/>
                  <w:tcMar>
                    <w:top w:w="0" w:type="dxa"/>
                    <w:left w:w="0" w:type="dxa"/>
                    <w:bottom w:w="0" w:type="dxa"/>
                    <w:right w:w="0" w:type="dxa"/>
                  </w:tcMar>
                  <w:vAlign w:val="center"/>
                </w:tcPr>
                <w:p w14:paraId="29A9FA3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tcMar>
                    <w:top w:w="0" w:type="dxa"/>
                    <w:left w:w="0" w:type="dxa"/>
                    <w:bottom w:w="0" w:type="dxa"/>
                    <w:right w:w="0" w:type="dxa"/>
                  </w:tcMar>
                  <w:vAlign w:val="center"/>
                </w:tcPr>
                <w:p w14:paraId="31C164E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85</w:t>
                  </w:r>
                </w:p>
              </w:tc>
              <w:tc>
                <w:tcPr>
                  <w:tcW w:w="164" w:type="pct"/>
                  <w:tcMar>
                    <w:top w:w="0" w:type="dxa"/>
                    <w:left w:w="0" w:type="dxa"/>
                    <w:bottom w:w="0" w:type="dxa"/>
                    <w:right w:w="0" w:type="dxa"/>
                  </w:tcMar>
                  <w:vAlign w:val="center"/>
                </w:tcPr>
                <w:p w14:paraId="000F93EC">
                  <w:pPr>
                    <w:pStyle w:val="90"/>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56" w:type="pct"/>
                  <w:tcMar>
                    <w:top w:w="0" w:type="dxa"/>
                    <w:left w:w="0" w:type="dxa"/>
                    <w:bottom w:w="0" w:type="dxa"/>
                    <w:right w:w="0" w:type="dxa"/>
                  </w:tcMar>
                  <w:vAlign w:val="center"/>
                </w:tcPr>
                <w:p w14:paraId="363C910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tcMar>
                    <w:top w:w="0" w:type="dxa"/>
                    <w:left w:w="0" w:type="dxa"/>
                    <w:bottom w:w="0" w:type="dxa"/>
                    <w:right w:w="0" w:type="dxa"/>
                  </w:tcMar>
                  <w:vAlign w:val="center"/>
                </w:tcPr>
                <w:p w14:paraId="21B2A52C">
                  <w:pPr>
                    <w:pStyle w:val="90"/>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85" w:type="pct"/>
                  <w:tcMar>
                    <w:top w:w="0" w:type="dxa"/>
                    <w:left w:w="0" w:type="dxa"/>
                    <w:bottom w:w="0" w:type="dxa"/>
                    <w:right w:w="0" w:type="dxa"/>
                  </w:tcMar>
                  <w:vAlign w:val="center"/>
                </w:tcPr>
                <w:p w14:paraId="3E80C74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14:paraId="7610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tcMar>
                    <w:top w:w="0" w:type="dxa"/>
                    <w:left w:w="0" w:type="dxa"/>
                    <w:bottom w:w="0" w:type="dxa"/>
                    <w:right w:w="0" w:type="dxa"/>
                  </w:tcMar>
                  <w:vAlign w:val="center"/>
                </w:tcPr>
                <w:p w14:paraId="2B0FC31B">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3</w:t>
                  </w:r>
                </w:p>
              </w:tc>
              <w:tc>
                <w:tcPr>
                  <w:tcW w:w="372" w:type="pct"/>
                  <w:vMerge w:val="continue"/>
                  <w:tcMar>
                    <w:top w:w="0" w:type="dxa"/>
                    <w:left w:w="0" w:type="dxa"/>
                    <w:bottom w:w="0" w:type="dxa"/>
                    <w:right w:w="0" w:type="dxa"/>
                  </w:tcMar>
                  <w:vAlign w:val="center"/>
                </w:tcPr>
                <w:p w14:paraId="1332B84E">
                  <w:pPr>
                    <w:pStyle w:val="138"/>
                    <w:rPr>
                      <w:rFonts w:cs="Times New Roman"/>
                      <w:color w:val="000000" w:themeColor="text1"/>
                      <w14:textFill>
                        <w14:solidFill>
                          <w14:schemeClr w14:val="tx1"/>
                        </w14:solidFill>
                      </w14:textFill>
                    </w:rPr>
                  </w:pPr>
                </w:p>
              </w:tc>
              <w:tc>
                <w:tcPr>
                  <w:tcW w:w="670" w:type="pct"/>
                  <w:tcMar>
                    <w:top w:w="0" w:type="dxa"/>
                    <w:left w:w="0" w:type="dxa"/>
                    <w:bottom w:w="0" w:type="dxa"/>
                    <w:right w:w="0" w:type="dxa"/>
                  </w:tcMar>
                  <w:vAlign w:val="center"/>
                </w:tcPr>
                <w:p w14:paraId="710AC2D4">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汽轮机净环供水泵</w:t>
                  </w:r>
                </w:p>
              </w:tc>
              <w:tc>
                <w:tcPr>
                  <w:tcW w:w="129" w:type="pct"/>
                  <w:tcMar>
                    <w:top w:w="0" w:type="dxa"/>
                    <w:left w:w="0" w:type="dxa"/>
                    <w:bottom w:w="0" w:type="dxa"/>
                    <w:right w:w="0" w:type="dxa"/>
                  </w:tcMar>
                  <w:vAlign w:val="center"/>
                </w:tcPr>
                <w:p w14:paraId="2AD8D83C">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w:t>
                  </w:r>
                </w:p>
              </w:tc>
              <w:tc>
                <w:tcPr>
                  <w:tcW w:w="630" w:type="pct"/>
                  <w:tcMar>
                    <w:top w:w="0" w:type="dxa"/>
                    <w:left w:w="0" w:type="dxa"/>
                    <w:bottom w:w="0" w:type="dxa"/>
                    <w:right w:w="0" w:type="dxa"/>
                  </w:tcMar>
                  <w:vAlign w:val="center"/>
                </w:tcPr>
                <w:p w14:paraId="24E10F15">
                  <w:pPr>
                    <w:pStyle w:val="90"/>
                    <w:rPr>
                      <w:color w:val="000000" w:themeColor="text1"/>
                      <w14:textFill>
                        <w14:solidFill>
                          <w14:schemeClr w14:val="tx1"/>
                        </w14:solidFill>
                      </w14:textFill>
                    </w:rPr>
                  </w:pPr>
                  <w:r>
                    <w:rPr>
                      <w:color w:val="000000" w:themeColor="text1"/>
                      <w14:textFill>
                        <w14:solidFill>
                          <w14:schemeClr w14:val="tx1"/>
                        </w14:solidFill>
                      </w14:textFill>
                    </w:rPr>
                    <w:t>75-80</w:t>
                  </w:r>
                </w:p>
              </w:tc>
              <w:tc>
                <w:tcPr>
                  <w:tcW w:w="637" w:type="pct"/>
                  <w:tcMar>
                    <w:top w:w="0" w:type="dxa"/>
                    <w:left w:w="0" w:type="dxa"/>
                    <w:bottom w:w="0" w:type="dxa"/>
                    <w:right w:w="0" w:type="dxa"/>
                  </w:tcMar>
                  <w:vAlign w:val="center"/>
                </w:tcPr>
                <w:p w14:paraId="5F70381B">
                  <w:pPr>
                    <w:pStyle w:val="90"/>
                    <w:rPr>
                      <w:color w:val="000000" w:themeColor="text1"/>
                      <w14:textFill>
                        <w14:solidFill>
                          <w14:schemeClr w14:val="tx1"/>
                        </w14:solidFill>
                      </w14:textFill>
                    </w:rPr>
                  </w:pPr>
                  <w:r>
                    <w:rPr>
                      <w:color w:val="000000" w:themeColor="text1"/>
                      <w14:textFill>
                        <w14:solidFill>
                          <w14:schemeClr w14:val="tx1"/>
                        </w14:solidFill>
                      </w14:textFill>
                    </w:rPr>
                    <w:t>消音、基座减震加固、厂房隔声</w:t>
                  </w:r>
                </w:p>
              </w:tc>
              <w:tc>
                <w:tcPr>
                  <w:tcW w:w="279" w:type="pct"/>
                  <w:tcMar>
                    <w:top w:w="0" w:type="dxa"/>
                    <w:left w:w="0" w:type="dxa"/>
                    <w:bottom w:w="0" w:type="dxa"/>
                    <w:right w:w="0" w:type="dxa"/>
                  </w:tcMar>
                  <w:vAlign w:val="center"/>
                </w:tcPr>
                <w:p w14:paraId="5399234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714</w:t>
                  </w:r>
                </w:p>
              </w:tc>
              <w:tc>
                <w:tcPr>
                  <w:tcW w:w="250" w:type="pct"/>
                  <w:tcMar>
                    <w:top w:w="0" w:type="dxa"/>
                    <w:left w:w="0" w:type="dxa"/>
                    <w:bottom w:w="0" w:type="dxa"/>
                    <w:right w:w="0" w:type="dxa"/>
                  </w:tcMar>
                  <w:vAlign w:val="center"/>
                </w:tcPr>
                <w:p w14:paraId="0FEC62E3">
                  <w:pPr>
                    <w:pStyle w:val="138"/>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-166</w:t>
                  </w:r>
                </w:p>
              </w:tc>
              <w:tc>
                <w:tcPr>
                  <w:tcW w:w="250" w:type="pct"/>
                  <w:tcMar>
                    <w:top w:w="0" w:type="dxa"/>
                    <w:left w:w="0" w:type="dxa"/>
                    <w:bottom w:w="0" w:type="dxa"/>
                    <w:right w:w="0" w:type="dxa"/>
                  </w:tcMar>
                  <w:vAlign w:val="center"/>
                </w:tcPr>
                <w:p w14:paraId="4391269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c>
                <w:tcPr>
                  <w:tcW w:w="223" w:type="pct"/>
                  <w:tcMar>
                    <w:top w:w="0" w:type="dxa"/>
                    <w:left w:w="0" w:type="dxa"/>
                    <w:bottom w:w="0" w:type="dxa"/>
                    <w:right w:w="0" w:type="dxa"/>
                  </w:tcMar>
                  <w:vAlign w:val="center"/>
                </w:tcPr>
                <w:p w14:paraId="2F3693A3">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tcMar>
                    <w:top w:w="0" w:type="dxa"/>
                    <w:left w:w="0" w:type="dxa"/>
                    <w:bottom w:w="0" w:type="dxa"/>
                    <w:right w:w="0" w:type="dxa"/>
                  </w:tcMar>
                  <w:vAlign w:val="center"/>
                </w:tcPr>
                <w:p w14:paraId="3779CFDC">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70</w:t>
                  </w:r>
                </w:p>
              </w:tc>
              <w:tc>
                <w:tcPr>
                  <w:tcW w:w="164" w:type="pct"/>
                  <w:tcMar>
                    <w:top w:w="0" w:type="dxa"/>
                    <w:left w:w="0" w:type="dxa"/>
                    <w:bottom w:w="0" w:type="dxa"/>
                    <w:right w:w="0" w:type="dxa"/>
                  </w:tcMar>
                  <w:vAlign w:val="center"/>
                </w:tcPr>
                <w:p w14:paraId="457603DA">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连续</w:t>
                  </w:r>
                </w:p>
              </w:tc>
              <w:tc>
                <w:tcPr>
                  <w:tcW w:w="356" w:type="pct"/>
                  <w:tcMar>
                    <w:top w:w="0" w:type="dxa"/>
                    <w:left w:w="0" w:type="dxa"/>
                    <w:bottom w:w="0" w:type="dxa"/>
                    <w:right w:w="0" w:type="dxa"/>
                  </w:tcMar>
                  <w:vAlign w:val="center"/>
                </w:tcPr>
                <w:p w14:paraId="2241501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tcMar>
                    <w:top w:w="0" w:type="dxa"/>
                    <w:left w:w="0" w:type="dxa"/>
                    <w:bottom w:w="0" w:type="dxa"/>
                    <w:right w:w="0" w:type="dxa"/>
                  </w:tcMar>
                  <w:vAlign w:val="center"/>
                </w:tcPr>
                <w:p w14:paraId="5513AA94">
                  <w:pPr>
                    <w:pStyle w:val="9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85" w:type="pct"/>
                  <w:tcMar>
                    <w:top w:w="0" w:type="dxa"/>
                    <w:left w:w="0" w:type="dxa"/>
                    <w:bottom w:w="0" w:type="dxa"/>
                    <w:right w:w="0" w:type="dxa"/>
                  </w:tcMar>
                  <w:vAlign w:val="center"/>
                </w:tcPr>
                <w:p w14:paraId="2FA7C079">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w:t>
                  </w:r>
                </w:p>
              </w:tc>
            </w:tr>
            <w:tr w14:paraId="45E6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tcMar>
                    <w:top w:w="0" w:type="dxa"/>
                    <w:left w:w="0" w:type="dxa"/>
                    <w:bottom w:w="0" w:type="dxa"/>
                    <w:right w:w="0" w:type="dxa"/>
                  </w:tcMar>
                  <w:vAlign w:val="center"/>
                </w:tcPr>
                <w:p w14:paraId="665AC08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372" w:type="pct"/>
                  <w:vMerge w:val="continue"/>
                  <w:tcMar>
                    <w:top w:w="0" w:type="dxa"/>
                    <w:left w:w="0" w:type="dxa"/>
                    <w:bottom w:w="0" w:type="dxa"/>
                    <w:right w:w="0" w:type="dxa"/>
                  </w:tcMar>
                  <w:vAlign w:val="center"/>
                </w:tcPr>
                <w:p w14:paraId="268DDE7A">
                  <w:pPr>
                    <w:pStyle w:val="138"/>
                    <w:rPr>
                      <w:rFonts w:cs="Times New Roman"/>
                      <w:color w:val="000000" w:themeColor="text1"/>
                      <w14:textFill>
                        <w14:solidFill>
                          <w14:schemeClr w14:val="tx1"/>
                        </w14:solidFill>
                      </w14:textFill>
                    </w:rPr>
                  </w:pPr>
                </w:p>
              </w:tc>
              <w:tc>
                <w:tcPr>
                  <w:tcW w:w="670" w:type="pct"/>
                  <w:tcMar>
                    <w:top w:w="0" w:type="dxa"/>
                    <w:left w:w="0" w:type="dxa"/>
                    <w:bottom w:w="0" w:type="dxa"/>
                    <w:right w:w="0" w:type="dxa"/>
                  </w:tcMar>
                  <w:vAlign w:val="center"/>
                </w:tcPr>
                <w:p w14:paraId="3C1702D3">
                  <w:pPr>
                    <w:pStyle w:val="90"/>
                    <w:rPr>
                      <w:color w:val="000000" w:themeColor="text1"/>
                      <w14:textFill>
                        <w14:solidFill>
                          <w14:schemeClr w14:val="tx1"/>
                        </w14:solidFill>
                      </w14:textFill>
                    </w:rPr>
                  </w:pPr>
                  <w:r>
                    <w:rPr>
                      <w:color w:val="000000" w:themeColor="text1"/>
                      <w14:textFill>
                        <w14:solidFill>
                          <w14:schemeClr w14:val="tx1"/>
                        </w14:solidFill>
                      </w14:textFill>
                    </w:rPr>
                    <w:t>汽轮机净环供水泵</w:t>
                  </w:r>
                </w:p>
              </w:tc>
              <w:tc>
                <w:tcPr>
                  <w:tcW w:w="129" w:type="pct"/>
                  <w:tcMar>
                    <w:top w:w="0" w:type="dxa"/>
                    <w:left w:w="0" w:type="dxa"/>
                    <w:bottom w:w="0" w:type="dxa"/>
                    <w:right w:w="0" w:type="dxa"/>
                  </w:tcMar>
                  <w:vAlign w:val="center"/>
                </w:tcPr>
                <w:p w14:paraId="2C3175CF">
                  <w:pPr>
                    <w:pStyle w:val="138"/>
                    <w:rPr>
                      <w:rFonts w:cs="Times New Roman"/>
                      <w:color w:val="000000" w:themeColor="text1"/>
                      <w14:textFill>
                        <w14:solidFill>
                          <w14:schemeClr w14:val="tx1"/>
                        </w14:solidFill>
                      </w14:textFill>
                    </w:rPr>
                  </w:pPr>
                </w:p>
              </w:tc>
              <w:tc>
                <w:tcPr>
                  <w:tcW w:w="630" w:type="pct"/>
                  <w:tcMar>
                    <w:top w:w="0" w:type="dxa"/>
                    <w:left w:w="0" w:type="dxa"/>
                    <w:bottom w:w="0" w:type="dxa"/>
                    <w:right w:w="0" w:type="dxa"/>
                  </w:tcMar>
                  <w:vAlign w:val="center"/>
                </w:tcPr>
                <w:p w14:paraId="6319DF18">
                  <w:pPr>
                    <w:pStyle w:val="90"/>
                    <w:rPr>
                      <w:color w:val="000000" w:themeColor="text1"/>
                      <w14:textFill>
                        <w14:solidFill>
                          <w14:schemeClr w14:val="tx1"/>
                        </w14:solidFill>
                      </w14:textFill>
                    </w:rPr>
                  </w:pPr>
                  <w:r>
                    <w:rPr>
                      <w:color w:val="000000" w:themeColor="text1"/>
                      <w14:textFill>
                        <w14:solidFill>
                          <w14:schemeClr w14:val="tx1"/>
                        </w14:solidFill>
                      </w14:textFill>
                    </w:rPr>
                    <w:t>75-80</w:t>
                  </w:r>
                </w:p>
              </w:tc>
              <w:tc>
                <w:tcPr>
                  <w:tcW w:w="637" w:type="pct"/>
                  <w:tcMar>
                    <w:top w:w="0" w:type="dxa"/>
                    <w:left w:w="0" w:type="dxa"/>
                    <w:bottom w:w="0" w:type="dxa"/>
                    <w:right w:w="0" w:type="dxa"/>
                  </w:tcMar>
                  <w:vAlign w:val="center"/>
                </w:tcPr>
                <w:p w14:paraId="13641CBD">
                  <w:pPr>
                    <w:pStyle w:val="90"/>
                    <w:rPr>
                      <w:color w:val="000000" w:themeColor="text1"/>
                      <w14:textFill>
                        <w14:solidFill>
                          <w14:schemeClr w14:val="tx1"/>
                        </w14:solidFill>
                      </w14:textFill>
                    </w:rPr>
                  </w:pPr>
                  <w:r>
                    <w:rPr>
                      <w:color w:val="000000" w:themeColor="text1"/>
                      <w14:textFill>
                        <w14:solidFill>
                          <w14:schemeClr w14:val="tx1"/>
                        </w14:solidFill>
                      </w14:textFill>
                    </w:rPr>
                    <w:t>消音、基座减震加固、厂房隔声</w:t>
                  </w:r>
                </w:p>
              </w:tc>
              <w:tc>
                <w:tcPr>
                  <w:tcW w:w="279" w:type="pct"/>
                  <w:tcMar>
                    <w:top w:w="0" w:type="dxa"/>
                    <w:left w:w="0" w:type="dxa"/>
                    <w:bottom w:w="0" w:type="dxa"/>
                    <w:right w:w="0" w:type="dxa"/>
                  </w:tcMar>
                  <w:vAlign w:val="center"/>
                </w:tcPr>
                <w:p w14:paraId="388EFA5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636</w:t>
                  </w:r>
                </w:p>
              </w:tc>
              <w:tc>
                <w:tcPr>
                  <w:tcW w:w="250" w:type="pct"/>
                  <w:tcMar>
                    <w:top w:w="0" w:type="dxa"/>
                    <w:left w:w="0" w:type="dxa"/>
                    <w:bottom w:w="0" w:type="dxa"/>
                    <w:right w:w="0" w:type="dxa"/>
                  </w:tcMar>
                  <w:vAlign w:val="center"/>
                </w:tcPr>
                <w:p w14:paraId="4842590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-151</w:t>
                  </w:r>
                </w:p>
              </w:tc>
              <w:tc>
                <w:tcPr>
                  <w:tcW w:w="250" w:type="pct"/>
                  <w:tcMar>
                    <w:top w:w="0" w:type="dxa"/>
                    <w:left w:w="0" w:type="dxa"/>
                    <w:bottom w:w="0" w:type="dxa"/>
                    <w:right w:w="0" w:type="dxa"/>
                  </w:tcMar>
                  <w:vAlign w:val="center"/>
                </w:tcPr>
                <w:p w14:paraId="3F3ED20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c>
                <w:tcPr>
                  <w:tcW w:w="223" w:type="pct"/>
                  <w:tcMar>
                    <w:top w:w="0" w:type="dxa"/>
                    <w:left w:w="0" w:type="dxa"/>
                    <w:bottom w:w="0" w:type="dxa"/>
                    <w:right w:w="0" w:type="dxa"/>
                  </w:tcMar>
                  <w:vAlign w:val="center"/>
                </w:tcPr>
                <w:p w14:paraId="2EEB5B4D">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tcMar>
                    <w:top w:w="0" w:type="dxa"/>
                    <w:left w:w="0" w:type="dxa"/>
                    <w:bottom w:w="0" w:type="dxa"/>
                    <w:right w:w="0" w:type="dxa"/>
                  </w:tcMar>
                  <w:vAlign w:val="center"/>
                </w:tcPr>
                <w:p w14:paraId="13A146FB">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70</w:t>
                  </w:r>
                </w:p>
              </w:tc>
              <w:tc>
                <w:tcPr>
                  <w:tcW w:w="164" w:type="pct"/>
                  <w:tcMar>
                    <w:top w:w="0" w:type="dxa"/>
                    <w:left w:w="0" w:type="dxa"/>
                    <w:bottom w:w="0" w:type="dxa"/>
                    <w:right w:w="0" w:type="dxa"/>
                  </w:tcMar>
                  <w:vAlign w:val="center"/>
                </w:tcPr>
                <w:p w14:paraId="2863E6CA">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连续</w:t>
                  </w:r>
                </w:p>
              </w:tc>
              <w:tc>
                <w:tcPr>
                  <w:tcW w:w="356" w:type="pct"/>
                  <w:tcMar>
                    <w:top w:w="0" w:type="dxa"/>
                    <w:left w:w="0" w:type="dxa"/>
                    <w:bottom w:w="0" w:type="dxa"/>
                    <w:right w:w="0" w:type="dxa"/>
                  </w:tcMar>
                  <w:vAlign w:val="center"/>
                </w:tcPr>
                <w:p w14:paraId="4EF22A7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tcMar>
                    <w:top w:w="0" w:type="dxa"/>
                    <w:left w:w="0" w:type="dxa"/>
                    <w:bottom w:w="0" w:type="dxa"/>
                    <w:right w:w="0" w:type="dxa"/>
                  </w:tcMar>
                  <w:vAlign w:val="center"/>
                </w:tcPr>
                <w:p w14:paraId="273E0F3F">
                  <w:pPr>
                    <w:pStyle w:val="9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85" w:type="pct"/>
                  <w:tcMar>
                    <w:top w:w="0" w:type="dxa"/>
                    <w:left w:w="0" w:type="dxa"/>
                    <w:bottom w:w="0" w:type="dxa"/>
                    <w:right w:w="0" w:type="dxa"/>
                  </w:tcMar>
                  <w:vAlign w:val="center"/>
                </w:tcPr>
                <w:p w14:paraId="4ACBC765">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w:t>
                  </w:r>
                </w:p>
              </w:tc>
            </w:tr>
            <w:tr w14:paraId="20AA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tcMar>
                    <w:top w:w="0" w:type="dxa"/>
                    <w:left w:w="0" w:type="dxa"/>
                    <w:bottom w:w="0" w:type="dxa"/>
                    <w:right w:w="0" w:type="dxa"/>
                  </w:tcMar>
                  <w:vAlign w:val="center"/>
                </w:tcPr>
                <w:p w14:paraId="62A2CB9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372" w:type="pct"/>
                  <w:vMerge w:val="restart"/>
                  <w:tcMar>
                    <w:top w:w="0" w:type="dxa"/>
                    <w:left w:w="0" w:type="dxa"/>
                    <w:bottom w:w="0" w:type="dxa"/>
                    <w:right w:w="0" w:type="dxa"/>
                  </w:tcMar>
                  <w:vAlign w:val="center"/>
                </w:tcPr>
                <w:p w14:paraId="2B393D1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化水车间</w:t>
                  </w:r>
                </w:p>
              </w:tc>
              <w:tc>
                <w:tcPr>
                  <w:tcW w:w="670" w:type="pct"/>
                  <w:tcMar>
                    <w:top w:w="0" w:type="dxa"/>
                    <w:left w:w="0" w:type="dxa"/>
                    <w:bottom w:w="0" w:type="dxa"/>
                    <w:right w:w="0" w:type="dxa"/>
                  </w:tcMar>
                  <w:vAlign w:val="center"/>
                </w:tcPr>
                <w:p w14:paraId="007A73D4">
                  <w:pPr>
                    <w:pStyle w:val="90"/>
                    <w:rPr>
                      <w:color w:val="000000" w:themeColor="text1"/>
                      <w14:textFill>
                        <w14:solidFill>
                          <w14:schemeClr w14:val="tx1"/>
                        </w14:solidFill>
                      </w14:textFill>
                    </w:rPr>
                  </w:pPr>
                  <w:r>
                    <w:rPr>
                      <w:color w:val="000000" w:themeColor="text1"/>
                      <w14:textFill>
                        <w14:solidFill>
                          <w14:schemeClr w14:val="tx1"/>
                        </w14:solidFill>
                      </w14:textFill>
                    </w:rPr>
                    <w:t>旁滤水泵</w:t>
                  </w:r>
                </w:p>
              </w:tc>
              <w:tc>
                <w:tcPr>
                  <w:tcW w:w="129" w:type="pct"/>
                  <w:tcMar>
                    <w:top w:w="0" w:type="dxa"/>
                    <w:left w:w="0" w:type="dxa"/>
                    <w:bottom w:w="0" w:type="dxa"/>
                    <w:right w:w="0" w:type="dxa"/>
                  </w:tcMar>
                  <w:vAlign w:val="center"/>
                </w:tcPr>
                <w:p w14:paraId="1103032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0" w:type="pct"/>
                  <w:tcMar>
                    <w:top w:w="0" w:type="dxa"/>
                    <w:left w:w="0" w:type="dxa"/>
                    <w:bottom w:w="0" w:type="dxa"/>
                    <w:right w:w="0" w:type="dxa"/>
                  </w:tcMar>
                  <w:vAlign w:val="center"/>
                </w:tcPr>
                <w:p w14:paraId="62C0587F">
                  <w:pPr>
                    <w:pStyle w:val="90"/>
                    <w:rPr>
                      <w:color w:val="000000" w:themeColor="text1"/>
                      <w14:textFill>
                        <w14:solidFill>
                          <w14:schemeClr w14:val="tx1"/>
                        </w14:solidFill>
                      </w14:textFill>
                    </w:rPr>
                  </w:pPr>
                  <w:r>
                    <w:rPr>
                      <w:color w:val="000000" w:themeColor="text1"/>
                      <w14:textFill>
                        <w14:solidFill>
                          <w14:schemeClr w14:val="tx1"/>
                        </w14:solidFill>
                      </w14:textFill>
                    </w:rPr>
                    <w:t>75-80</w:t>
                  </w:r>
                </w:p>
              </w:tc>
              <w:tc>
                <w:tcPr>
                  <w:tcW w:w="637" w:type="pct"/>
                  <w:tcMar>
                    <w:top w:w="0" w:type="dxa"/>
                    <w:left w:w="0" w:type="dxa"/>
                    <w:bottom w:w="0" w:type="dxa"/>
                    <w:right w:w="0" w:type="dxa"/>
                  </w:tcMar>
                  <w:vAlign w:val="center"/>
                </w:tcPr>
                <w:p w14:paraId="648CA2F3">
                  <w:pPr>
                    <w:pStyle w:val="90"/>
                    <w:rPr>
                      <w:color w:val="000000" w:themeColor="text1"/>
                      <w14:textFill>
                        <w14:solidFill>
                          <w14:schemeClr w14:val="tx1"/>
                        </w14:solidFill>
                      </w14:textFill>
                    </w:rPr>
                  </w:pPr>
                  <w:r>
                    <w:rPr>
                      <w:color w:val="000000" w:themeColor="text1"/>
                      <w14:textFill>
                        <w14:solidFill>
                          <w14:schemeClr w14:val="tx1"/>
                        </w14:solidFill>
                      </w14:textFill>
                    </w:rPr>
                    <w:t>消音、基座减震加固、围墙隔声</w:t>
                  </w:r>
                </w:p>
              </w:tc>
              <w:tc>
                <w:tcPr>
                  <w:tcW w:w="279" w:type="pct"/>
                  <w:tcMar>
                    <w:top w:w="0" w:type="dxa"/>
                    <w:left w:w="0" w:type="dxa"/>
                    <w:bottom w:w="0" w:type="dxa"/>
                    <w:right w:w="0" w:type="dxa"/>
                  </w:tcMar>
                  <w:vAlign w:val="center"/>
                </w:tcPr>
                <w:p w14:paraId="6F53593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771</w:t>
                  </w:r>
                </w:p>
              </w:tc>
              <w:tc>
                <w:tcPr>
                  <w:tcW w:w="250" w:type="pct"/>
                  <w:tcMar>
                    <w:top w:w="0" w:type="dxa"/>
                    <w:left w:w="0" w:type="dxa"/>
                    <w:bottom w:w="0" w:type="dxa"/>
                    <w:right w:w="0" w:type="dxa"/>
                  </w:tcMar>
                  <w:vAlign w:val="center"/>
                </w:tcPr>
                <w:p w14:paraId="69DDDD6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-151</w:t>
                  </w:r>
                </w:p>
              </w:tc>
              <w:tc>
                <w:tcPr>
                  <w:tcW w:w="250" w:type="pct"/>
                  <w:tcMar>
                    <w:top w:w="0" w:type="dxa"/>
                    <w:left w:w="0" w:type="dxa"/>
                    <w:bottom w:w="0" w:type="dxa"/>
                    <w:right w:w="0" w:type="dxa"/>
                  </w:tcMar>
                  <w:vAlign w:val="center"/>
                </w:tcPr>
                <w:p w14:paraId="639ECB6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c>
                <w:tcPr>
                  <w:tcW w:w="223" w:type="pct"/>
                  <w:tcMar>
                    <w:top w:w="0" w:type="dxa"/>
                    <w:left w:w="0" w:type="dxa"/>
                    <w:bottom w:w="0" w:type="dxa"/>
                    <w:right w:w="0" w:type="dxa"/>
                  </w:tcMar>
                  <w:vAlign w:val="center"/>
                </w:tcPr>
                <w:p w14:paraId="2E61340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tcMar>
                    <w:top w:w="0" w:type="dxa"/>
                    <w:left w:w="0" w:type="dxa"/>
                    <w:bottom w:w="0" w:type="dxa"/>
                    <w:right w:w="0" w:type="dxa"/>
                  </w:tcMar>
                  <w:vAlign w:val="center"/>
                </w:tcPr>
                <w:p w14:paraId="6A57FA9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70</w:t>
                  </w:r>
                </w:p>
              </w:tc>
              <w:tc>
                <w:tcPr>
                  <w:tcW w:w="164" w:type="pct"/>
                  <w:tcMar>
                    <w:top w:w="0" w:type="dxa"/>
                    <w:left w:w="0" w:type="dxa"/>
                    <w:bottom w:w="0" w:type="dxa"/>
                    <w:right w:w="0" w:type="dxa"/>
                  </w:tcMar>
                  <w:vAlign w:val="center"/>
                </w:tcPr>
                <w:p w14:paraId="2EFB59DF">
                  <w:pPr>
                    <w:pStyle w:val="90"/>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356" w:type="pct"/>
                  <w:tcMar>
                    <w:top w:w="0" w:type="dxa"/>
                    <w:left w:w="0" w:type="dxa"/>
                    <w:bottom w:w="0" w:type="dxa"/>
                    <w:right w:w="0" w:type="dxa"/>
                  </w:tcMar>
                  <w:vAlign w:val="center"/>
                </w:tcPr>
                <w:p w14:paraId="24DB9D7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tcMar>
                    <w:top w:w="0" w:type="dxa"/>
                    <w:left w:w="0" w:type="dxa"/>
                    <w:bottom w:w="0" w:type="dxa"/>
                    <w:right w:w="0" w:type="dxa"/>
                  </w:tcMar>
                  <w:vAlign w:val="center"/>
                </w:tcPr>
                <w:p w14:paraId="7C20F85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185" w:type="pct"/>
                  <w:tcMar>
                    <w:top w:w="0" w:type="dxa"/>
                    <w:left w:w="0" w:type="dxa"/>
                    <w:bottom w:w="0" w:type="dxa"/>
                    <w:right w:w="0" w:type="dxa"/>
                  </w:tcMar>
                  <w:vAlign w:val="center"/>
                </w:tcPr>
                <w:p w14:paraId="4D512D1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14:paraId="0389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tcMar>
                    <w:top w:w="0" w:type="dxa"/>
                    <w:left w:w="0" w:type="dxa"/>
                    <w:bottom w:w="0" w:type="dxa"/>
                    <w:right w:w="0" w:type="dxa"/>
                  </w:tcMar>
                  <w:vAlign w:val="center"/>
                </w:tcPr>
                <w:p w14:paraId="7F7CDA2C">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4</w:t>
                  </w:r>
                </w:p>
              </w:tc>
              <w:tc>
                <w:tcPr>
                  <w:tcW w:w="372" w:type="pct"/>
                  <w:vMerge w:val="continue"/>
                  <w:tcMar>
                    <w:top w:w="0" w:type="dxa"/>
                    <w:left w:w="0" w:type="dxa"/>
                    <w:bottom w:w="0" w:type="dxa"/>
                    <w:right w:w="0" w:type="dxa"/>
                  </w:tcMar>
                  <w:vAlign w:val="center"/>
                </w:tcPr>
                <w:p w14:paraId="33A1DECF">
                  <w:pPr>
                    <w:pStyle w:val="138"/>
                    <w:rPr>
                      <w:rFonts w:cs="Times New Roman"/>
                      <w:color w:val="000000" w:themeColor="text1"/>
                      <w14:textFill>
                        <w14:solidFill>
                          <w14:schemeClr w14:val="tx1"/>
                        </w14:solidFill>
                      </w14:textFill>
                    </w:rPr>
                  </w:pPr>
                </w:p>
              </w:tc>
              <w:tc>
                <w:tcPr>
                  <w:tcW w:w="670" w:type="pct"/>
                  <w:tcMar>
                    <w:top w:w="0" w:type="dxa"/>
                    <w:left w:w="0" w:type="dxa"/>
                    <w:bottom w:w="0" w:type="dxa"/>
                    <w:right w:w="0" w:type="dxa"/>
                  </w:tcMar>
                  <w:vAlign w:val="center"/>
                </w:tcPr>
                <w:p w14:paraId="7D080FA3">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反渗透进水泵</w:t>
                  </w:r>
                </w:p>
              </w:tc>
              <w:tc>
                <w:tcPr>
                  <w:tcW w:w="129" w:type="pct"/>
                  <w:tcMar>
                    <w:top w:w="0" w:type="dxa"/>
                    <w:left w:w="0" w:type="dxa"/>
                    <w:bottom w:w="0" w:type="dxa"/>
                    <w:right w:w="0" w:type="dxa"/>
                  </w:tcMar>
                  <w:vAlign w:val="center"/>
                </w:tcPr>
                <w:p w14:paraId="366AA9C5">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w:t>
                  </w:r>
                </w:p>
              </w:tc>
              <w:tc>
                <w:tcPr>
                  <w:tcW w:w="630" w:type="pct"/>
                  <w:tcMar>
                    <w:top w:w="0" w:type="dxa"/>
                    <w:left w:w="0" w:type="dxa"/>
                    <w:bottom w:w="0" w:type="dxa"/>
                    <w:right w:w="0" w:type="dxa"/>
                  </w:tcMar>
                  <w:vAlign w:val="center"/>
                </w:tcPr>
                <w:p w14:paraId="26264E1D">
                  <w:pPr>
                    <w:pStyle w:val="90"/>
                    <w:rPr>
                      <w:color w:val="000000" w:themeColor="text1"/>
                      <w14:textFill>
                        <w14:solidFill>
                          <w14:schemeClr w14:val="tx1"/>
                        </w14:solidFill>
                      </w14:textFill>
                    </w:rPr>
                  </w:pPr>
                  <w:r>
                    <w:rPr>
                      <w:color w:val="000000" w:themeColor="text1"/>
                      <w14:textFill>
                        <w14:solidFill>
                          <w14:schemeClr w14:val="tx1"/>
                        </w14:solidFill>
                      </w14:textFill>
                    </w:rPr>
                    <w:t>75-80</w:t>
                  </w:r>
                </w:p>
              </w:tc>
              <w:tc>
                <w:tcPr>
                  <w:tcW w:w="637" w:type="pct"/>
                  <w:tcMar>
                    <w:top w:w="0" w:type="dxa"/>
                    <w:left w:w="0" w:type="dxa"/>
                    <w:bottom w:w="0" w:type="dxa"/>
                    <w:right w:w="0" w:type="dxa"/>
                  </w:tcMar>
                  <w:vAlign w:val="center"/>
                </w:tcPr>
                <w:p w14:paraId="73826850">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消音、基座减震加固、围墙隔声</w:t>
                  </w:r>
                </w:p>
              </w:tc>
              <w:tc>
                <w:tcPr>
                  <w:tcW w:w="279" w:type="pct"/>
                  <w:tcMar>
                    <w:top w:w="0" w:type="dxa"/>
                    <w:left w:w="0" w:type="dxa"/>
                    <w:bottom w:w="0" w:type="dxa"/>
                    <w:right w:w="0" w:type="dxa"/>
                  </w:tcMar>
                  <w:vAlign w:val="center"/>
                </w:tcPr>
                <w:p w14:paraId="4973B74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714</w:t>
                  </w:r>
                </w:p>
              </w:tc>
              <w:tc>
                <w:tcPr>
                  <w:tcW w:w="250" w:type="pct"/>
                  <w:tcMar>
                    <w:top w:w="0" w:type="dxa"/>
                    <w:left w:w="0" w:type="dxa"/>
                    <w:bottom w:w="0" w:type="dxa"/>
                    <w:right w:w="0" w:type="dxa"/>
                  </w:tcMar>
                  <w:vAlign w:val="center"/>
                </w:tcPr>
                <w:p w14:paraId="160ECAB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-223</w:t>
                  </w:r>
                </w:p>
              </w:tc>
              <w:tc>
                <w:tcPr>
                  <w:tcW w:w="250" w:type="pct"/>
                  <w:tcMar>
                    <w:top w:w="0" w:type="dxa"/>
                    <w:left w:w="0" w:type="dxa"/>
                    <w:bottom w:w="0" w:type="dxa"/>
                    <w:right w:w="0" w:type="dxa"/>
                  </w:tcMar>
                  <w:vAlign w:val="center"/>
                </w:tcPr>
                <w:p w14:paraId="48F720C5">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0.5</w:t>
                  </w:r>
                </w:p>
              </w:tc>
              <w:tc>
                <w:tcPr>
                  <w:tcW w:w="223" w:type="pct"/>
                  <w:tcMar>
                    <w:top w:w="0" w:type="dxa"/>
                    <w:left w:w="0" w:type="dxa"/>
                    <w:bottom w:w="0" w:type="dxa"/>
                    <w:right w:w="0" w:type="dxa"/>
                  </w:tcMar>
                  <w:vAlign w:val="center"/>
                </w:tcPr>
                <w:p w14:paraId="55C9F4D7">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tcMar>
                    <w:top w:w="0" w:type="dxa"/>
                    <w:left w:w="0" w:type="dxa"/>
                    <w:bottom w:w="0" w:type="dxa"/>
                    <w:right w:w="0" w:type="dxa"/>
                  </w:tcMar>
                  <w:vAlign w:val="center"/>
                </w:tcPr>
                <w:p w14:paraId="77ADE411">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70</w:t>
                  </w:r>
                </w:p>
              </w:tc>
              <w:tc>
                <w:tcPr>
                  <w:tcW w:w="164" w:type="pct"/>
                  <w:tcMar>
                    <w:top w:w="0" w:type="dxa"/>
                    <w:left w:w="0" w:type="dxa"/>
                    <w:bottom w:w="0" w:type="dxa"/>
                    <w:right w:w="0" w:type="dxa"/>
                  </w:tcMar>
                  <w:vAlign w:val="center"/>
                </w:tcPr>
                <w:p w14:paraId="190531D2">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间歇</w:t>
                  </w:r>
                </w:p>
              </w:tc>
              <w:tc>
                <w:tcPr>
                  <w:tcW w:w="356" w:type="pct"/>
                  <w:tcMar>
                    <w:top w:w="0" w:type="dxa"/>
                    <w:left w:w="0" w:type="dxa"/>
                    <w:bottom w:w="0" w:type="dxa"/>
                    <w:right w:w="0" w:type="dxa"/>
                  </w:tcMar>
                  <w:vAlign w:val="center"/>
                </w:tcPr>
                <w:p w14:paraId="29534F9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tcMar>
                    <w:top w:w="0" w:type="dxa"/>
                    <w:left w:w="0" w:type="dxa"/>
                    <w:bottom w:w="0" w:type="dxa"/>
                    <w:right w:w="0" w:type="dxa"/>
                  </w:tcMar>
                  <w:vAlign w:val="center"/>
                </w:tcPr>
                <w:p w14:paraId="73691B7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185" w:type="pct"/>
                  <w:tcMar>
                    <w:top w:w="0" w:type="dxa"/>
                    <w:left w:w="0" w:type="dxa"/>
                    <w:bottom w:w="0" w:type="dxa"/>
                    <w:right w:w="0" w:type="dxa"/>
                  </w:tcMar>
                  <w:vAlign w:val="center"/>
                </w:tcPr>
                <w:p w14:paraId="77B5D983">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w:t>
                  </w:r>
                </w:p>
              </w:tc>
            </w:tr>
            <w:tr w14:paraId="29AA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tcMar>
                    <w:top w:w="0" w:type="dxa"/>
                    <w:left w:w="0" w:type="dxa"/>
                    <w:bottom w:w="0" w:type="dxa"/>
                    <w:right w:w="0" w:type="dxa"/>
                  </w:tcMar>
                  <w:vAlign w:val="center"/>
                </w:tcPr>
                <w:p w14:paraId="6D31F4AE">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5</w:t>
                  </w:r>
                </w:p>
              </w:tc>
              <w:tc>
                <w:tcPr>
                  <w:tcW w:w="372" w:type="pct"/>
                  <w:vMerge w:val="continue"/>
                  <w:tcMar>
                    <w:top w:w="0" w:type="dxa"/>
                    <w:left w:w="0" w:type="dxa"/>
                    <w:bottom w:w="0" w:type="dxa"/>
                    <w:right w:w="0" w:type="dxa"/>
                  </w:tcMar>
                  <w:vAlign w:val="center"/>
                </w:tcPr>
                <w:p w14:paraId="56751C34">
                  <w:pPr>
                    <w:pStyle w:val="138"/>
                    <w:rPr>
                      <w:rFonts w:cs="Times New Roman"/>
                      <w:color w:val="000000" w:themeColor="text1"/>
                      <w14:textFill>
                        <w14:solidFill>
                          <w14:schemeClr w14:val="tx1"/>
                        </w14:solidFill>
                      </w14:textFill>
                    </w:rPr>
                  </w:pPr>
                </w:p>
              </w:tc>
              <w:tc>
                <w:tcPr>
                  <w:tcW w:w="670" w:type="pct"/>
                  <w:tcMar>
                    <w:top w:w="0" w:type="dxa"/>
                    <w:left w:w="0" w:type="dxa"/>
                    <w:bottom w:w="0" w:type="dxa"/>
                    <w:right w:w="0" w:type="dxa"/>
                  </w:tcMar>
                  <w:vAlign w:val="center"/>
                </w:tcPr>
                <w:p w14:paraId="1EBC2CD5">
                  <w:pPr>
                    <w:pStyle w:val="90"/>
                    <w:rPr>
                      <w:color w:val="000000" w:themeColor="text1"/>
                      <w14:textFill>
                        <w14:solidFill>
                          <w14:schemeClr w14:val="tx1"/>
                        </w14:solidFill>
                      </w14:textFill>
                    </w:rPr>
                  </w:pPr>
                  <w:r>
                    <w:rPr>
                      <w:color w:val="000000" w:themeColor="text1"/>
                      <w14:textFill>
                        <w14:solidFill>
                          <w14:schemeClr w14:val="tx1"/>
                        </w14:solidFill>
                      </w14:textFill>
                    </w:rPr>
                    <w:t>原水泵</w:t>
                  </w:r>
                </w:p>
              </w:tc>
              <w:tc>
                <w:tcPr>
                  <w:tcW w:w="129" w:type="pct"/>
                  <w:tcMar>
                    <w:top w:w="0" w:type="dxa"/>
                    <w:left w:w="0" w:type="dxa"/>
                    <w:bottom w:w="0" w:type="dxa"/>
                    <w:right w:w="0" w:type="dxa"/>
                  </w:tcMar>
                  <w:vAlign w:val="center"/>
                </w:tcPr>
                <w:p w14:paraId="4129C5BD">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w:t>
                  </w:r>
                </w:p>
              </w:tc>
              <w:tc>
                <w:tcPr>
                  <w:tcW w:w="630" w:type="pct"/>
                  <w:tcMar>
                    <w:top w:w="0" w:type="dxa"/>
                    <w:left w:w="0" w:type="dxa"/>
                    <w:bottom w:w="0" w:type="dxa"/>
                    <w:right w:w="0" w:type="dxa"/>
                  </w:tcMar>
                  <w:vAlign w:val="center"/>
                </w:tcPr>
                <w:p w14:paraId="5E2540B4">
                  <w:pPr>
                    <w:pStyle w:val="90"/>
                    <w:rPr>
                      <w:color w:val="000000" w:themeColor="text1"/>
                      <w14:textFill>
                        <w14:solidFill>
                          <w14:schemeClr w14:val="tx1"/>
                        </w14:solidFill>
                      </w14:textFill>
                    </w:rPr>
                  </w:pPr>
                  <w:r>
                    <w:rPr>
                      <w:color w:val="000000" w:themeColor="text1"/>
                      <w14:textFill>
                        <w14:solidFill>
                          <w14:schemeClr w14:val="tx1"/>
                        </w14:solidFill>
                      </w14:textFill>
                    </w:rPr>
                    <w:t>75-80</w:t>
                  </w:r>
                </w:p>
              </w:tc>
              <w:tc>
                <w:tcPr>
                  <w:tcW w:w="637" w:type="pct"/>
                  <w:tcMar>
                    <w:top w:w="0" w:type="dxa"/>
                    <w:left w:w="0" w:type="dxa"/>
                    <w:bottom w:w="0" w:type="dxa"/>
                    <w:right w:w="0" w:type="dxa"/>
                  </w:tcMar>
                  <w:vAlign w:val="center"/>
                </w:tcPr>
                <w:p w14:paraId="42DA73CC">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消音、基座减震加固、围墙隔声</w:t>
                  </w:r>
                </w:p>
              </w:tc>
              <w:tc>
                <w:tcPr>
                  <w:tcW w:w="279" w:type="pct"/>
                  <w:tcMar>
                    <w:top w:w="0" w:type="dxa"/>
                    <w:left w:w="0" w:type="dxa"/>
                    <w:bottom w:w="0" w:type="dxa"/>
                    <w:right w:w="0" w:type="dxa"/>
                  </w:tcMar>
                  <w:vAlign w:val="center"/>
                </w:tcPr>
                <w:p w14:paraId="03464B8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636</w:t>
                  </w:r>
                </w:p>
              </w:tc>
              <w:tc>
                <w:tcPr>
                  <w:tcW w:w="250" w:type="pct"/>
                  <w:tcMar>
                    <w:top w:w="0" w:type="dxa"/>
                    <w:left w:w="0" w:type="dxa"/>
                    <w:bottom w:w="0" w:type="dxa"/>
                    <w:right w:w="0" w:type="dxa"/>
                  </w:tcMar>
                  <w:vAlign w:val="center"/>
                </w:tcPr>
                <w:p w14:paraId="5AFFE77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-180</w:t>
                  </w:r>
                </w:p>
              </w:tc>
              <w:tc>
                <w:tcPr>
                  <w:tcW w:w="250" w:type="pct"/>
                  <w:tcMar>
                    <w:top w:w="0" w:type="dxa"/>
                    <w:left w:w="0" w:type="dxa"/>
                    <w:bottom w:w="0" w:type="dxa"/>
                    <w:right w:w="0" w:type="dxa"/>
                  </w:tcMar>
                  <w:vAlign w:val="center"/>
                </w:tcPr>
                <w:p w14:paraId="6E2CFCA1">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0.5</w:t>
                  </w:r>
                </w:p>
              </w:tc>
              <w:tc>
                <w:tcPr>
                  <w:tcW w:w="223" w:type="pct"/>
                  <w:tcMar>
                    <w:top w:w="0" w:type="dxa"/>
                    <w:left w:w="0" w:type="dxa"/>
                    <w:bottom w:w="0" w:type="dxa"/>
                    <w:right w:w="0" w:type="dxa"/>
                  </w:tcMar>
                  <w:vAlign w:val="center"/>
                </w:tcPr>
                <w:p w14:paraId="6FBA6EAF">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tcMar>
                    <w:top w:w="0" w:type="dxa"/>
                    <w:left w:w="0" w:type="dxa"/>
                    <w:bottom w:w="0" w:type="dxa"/>
                    <w:right w:w="0" w:type="dxa"/>
                  </w:tcMar>
                  <w:vAlign w:val="center"/>
                </w:tcPr>
                <w:p w14:paraId="3785C71B">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70</w:t>
                  </w:r>
                </w:p>
              </w:tc>
              <w:tc>
                <w:tcPr>
                  <w:tcW w:w="164" w:type="pct"/>
                  <w:tcMar>
                    <w:top w:w="0" w:type="dxa"/>
                    <w:left w:w="0" w:type="dxa"/>
                    <w:bottom w:w="0" w:type="dxa"/>
                    <w:right w:w="0" w:type="dxa"/>
                  </w:tcMar>
                  <w:vAlign w:val="center"/>
                </w:tcPr>
                <w:p w14:paraId="3D6AC901">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连续</w:t>
                  </w:r>
                </w:p>
              </w:tc>
              <w:tc>
                <w:tcPr>
                  <w:tcW w:w="356" w:type="pct"/>
                  <w:tcMar>
                    <w:top w:w="0" w:type="dxa"/>
                    <w:left w:w="0" w:type="dxa"/>
                    <w:bottom w:w="0" w:type="dxa"/>
                    <w:right w:w="0" w:type="dxa"/>
                  </w:tcMar>
                  <w:vAlign w:val="center"/>
                </w:tcPr>
                <w:p w14:paraId="0FA0134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tcMar>
                    <w:top w:w="0" w:type="dxa"/>
                    <w:left w:w="0" w:type="dxa"/>
                    <w:bottom w:w="0" w:type="dxa"/>
                    <w:right w:w="0" w:type="dxa"/>
                  </w:tcMar>
                  <w:vAlign w:val="center"/>
                </w:tcPr>
                <w:p w14:paraId="0F1D096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185" w:type="pct"/>
                  <w:tcMar>
                    <w:top w:w="0" w:type="dxa"/>
                    <w:left w:w="0" w:type="dxa"/>
                    <w:bottom w:w="0" w:type="dxa"/>
                    <w:right w:w="0" w:type="dxa"/>
                  </w:tcMar>
                  <w:vAlign w:val="center"/>
                </w:tcPr>
                <w:p w14:paraId="27F34572">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w:t>
                  </w:r>
                </w:p>
              </w:tc>
            </w:tr>
            <w:tr w14:paraId="40DD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tcMar>
                    <w:top w:w="0" w:type="dxa"/>
                    <w:left w:w="0" w:type="dxa"/>
                    <w:bottom w:w="0" w:type="dxa"/>
                    <w:right w:w="0" w:type="dxa"/>
                  </w:tcMar>
                  <w:vAlign w:val="center"/>
                </w:tcPr>
                <w:p w14:paraId="37270221">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6</w:t>
                  </w:r>
                </w:p>
              </w:tc>
              <w:tc>
                <w:tcPr>
                  <w:tcW w:w="372" w:type="pct"/>
                  <w:vMerge w:val="continue"/>
                  <w:tcMar>
                    <w:top w:w="0" w:type="dxa"/>
                    <w:left w:w="0" w:type="dxa"/>
                    <w:bottom w:w="0" w:type="dxa"/>
                    <w:right w:w="0" w:type="dxa"/>
                  </w:tcMar>
                  <w:vAlign w:val="center"/>
                </w:tcPr>
                <w:p w14:paraId="7A74991E">
                  <w:pPr>
                    <w:pStyle w:val="138"/>
                    <w:rPr>
                      <w:rFonts w:cs="Times New Roman"/>
                      <w:color w:val="000000" w:themeColor="text1"/>
                      <w14:textFill>
                        <w14:solidFill>
                          <w14:schemeClr w14:val="tx1"/>
                        </w14:solidFill>
                      </w14:textFill>
                    </w:rPr>
                  </w:pPr>
                </w:p>
              </w:tc>
              <w:tc>
                <w:tcPr>
                  <w:tcW w:w="670" w:type="pct"/>
                  <w:tcMar>
                    <w:top w:w="0" w:type="dxa"/>
                    <w:left w:w="0" w:type="dxa"/>
                    <w:bottom w:w="0" w:type="dxa"/>
                    <w:right w:w="0" w:type="dxa"/>
                  </w:tcMar>
                  <w:vAlign w:val="center"/>
                </w:tcPr>
                <w:p w14:paraId="1F816D8D">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高压泵</w:t>
                  </w:r>
                </w:p>
              </w:tc>
              <w:tc>
                <w:tcPr>
                  <w:tcW w:w="129" w:type="pct"/>
                  <w:tcMar>
                    <w:top w:w="0" w:type="dxa"/>
                    <w:left w:w="0" w:type="dxa"/>
                    <w:bottom w:w="0" w:type="dxa"/>
                    <w:right w:w="0" w:type="dxa"/>
                  </w:tcMar>
                  <w:vAlign w:val="center"/>
                </w:tcPr>
                <w:p w14:paraId="41A79BB7">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w:t>
                  </w:r>
                </w:p>
              </w:tc>
              <w:tc>
                <w:tcPr>
                  <w:tcW w:w="630" w:type="pct"/>
                  <w:tcMar>
                    <w:top w:w="0" w:type="dxa"/>
                    <w:left w:w="0" w:type="dxa"/>
                    <w:bottom w:w="0" w:type="dxa"/>
                    <w:right w:w="0" w:type="dxa"/>
                  </w:tcMar>
                  <w:vAlign w:val="center"/>
                </w:tcPr>
                <w:p w14:paraId="26EFE7FE">
                  <w:pPr>
                    <w:pStyle w:val="90"/>
                    <w:rPr>
                      <w:color w:val="000000" w:themeColor="text1"/>
                      <w14:textFill>
                        <w14:solidFill>
                          <w14:schemeClr w14:val="tx1"/>
                        </w14:solidFill>
                      </w14:textFill>
                    </w:rPr>
                  </w:pPr>
                  <w:r>
                    <w:rPr>
                      <w:color w:val="000000" w:themeColor="text1"/>
                      <w14:textFill>
                        <w14:solidFill>
                          <w14:schemeClr w14:val="tx1"/>
                        </w14:solidFill>
                      </w14:textFill>
                    </w:rPr>
                    <w:t>75-80</w:t>
                  </w:r>
                </w:p>
              </w:tc>
              <w:tc>
                <w:tcPr>
                  <w:tcW w:w="637" w:type="pct"/>
                  <w:tcMar>
                    <w:top w:w="0" w:type="dxa"/>
                    <w:left w:w="0" w:type="dxa"/>
                    <w:bottom w:w="0" w:type="dxa"/>
                    <w:right w:w="0" w:type="dxa"/>
                  </w:tcMar>
                  <w:vAlign w:val="center"/>
                </w:tcPr>
                <w:p w14:paraId="68459D75">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消音、基座减震加固、围墙隔声</w:t>
                  </w:r>
                </w:p>
              </w:tc>
              <w:tc>
                <w:tcPr>
                  <w:tcW w:w="279" w:type="pct"/>
                  <w:tcMar>
                    <w:top w:w="0" w:type="dxa"/>
                    <w:left w:w="0" w:type="dxa"/>
                    <w:bottom w:w="0" w:type="dxa"/>
                    <w:right w:w="0" w:type="dxa"/>
                  </w:tcMar>
                  <w:vAlign w:val="center"/>
                </w:tcPr>
                <w:p w14:paraId="68505CE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629</w:t>
                  </w:r>
                </w:p>
              </w:tc>
              <w:tc>
                <w:tcPr>
                  <w:tcW w:w="250" w:type="pct"/>
                  <w:tcMar>
                    <w:top w:w="0" w:type="dxa"/>
                    <w:left w:w="0" w:type="dxa"/>
                    <w:bottom w:w="0" w:type="dxa"/>
                    <w:right w:w="0" w:type="dxa"/>
                  </w:tcMar>
                  <w:vAlign w:val="center"/>
                </w:tcPr>
                <w:p w14:paraId="1A04772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-151</w:t>
                  </w:r>
                </w:p>
              </w:tc>
              <w:tc>
                <w:tcPr>
                  <w:tcW w:w="250" w:type="pct"/>
                  <w:tcMar>
                    <w:top w:w="0" w:type="dxa"/>
                    <w:left w:w="0" w:type="dxa"/>
                    <w:bottom w:w="0" w:type="dxa"/>
                    <w:right w:w="0" w:type="dxa"/>
                  </w:tcMar>
                  <w:vAlign w:val="center"/>
                </w:tcPr>
                <w:p w14:paraId="697007AB">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0.5</w:t>
                  </w:r>
                </w:p>
              </w:tc>
              <w:tc>
                <w:tcPr>
                  <w:tcW w:w="223" w:type="pct"/>
                  <w:tcMar>
                    <w:top w:w="0" w:type="dxa"/>
                    <w:left w:w="0" w:type="dxa"/>
                    <w:bottom w:w="0" w:type="dxa"/>
                    <w:right w:w="0" w:type="dxa"/>
                  </w:tcMar>
                  <w:vAlign w:val="center"/>
                </w:tcPr>
                <w:p w14:paraId="4468D11D">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tcMar>
                    <w:top w:w="0" w:type="dxa"/>
                    <w:left w:w="0" w:type="dxa"/>
                    <w:bottom w:w="0" w:type="dxa"/>
                    <w:right w:w="0" w:type="dxa"/>
                  </w:tcMar>
                  <w:vAlign w:val="center"/>
                </w:tcPr>
                <w:p w14:paraId="7F94D2D4">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70</w:t>
                  </w:r>
                </w:p>
              </w:tc>
              <w:tc>
                <w:tcPr>
                  <w:tcW w:w="164" w:type="pct"/>
                  <w:tcMar>
                    <w:top w:w="0" w:type="dxa"/>
                    <w:left w:w="0" w:type="dxa"/>
                    <w:bottom w:w="0" w:type="dxa"/>
                    <w:right w:w="0" w:type="dxa"/>
                  </w:tcMar>
                  <w:vAlign w:val="center"/>
                </w:tcPr>
                <w:p w14:paraId="78871816">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连续</w:t>
                  </w:r>
                </w:p>
              </w:tc>
              <w:tc>
                <w:tcPr>
                  <w:tcW w:w="356" w:type="pct"/>
                  <w:tcMar>
                    <w:top w:w="0" w:type="dxa"/>
                    <w:left w:w="0" w:type="dxa"/>
                    <w:bottom w:w="0" w:type="dxa"/>
                    <w:right w:w="0" w:type="dxa"/>
                  </w:tcMar>
                  <w:vAlign w:val="center"/>
                </w:tcPr>
                <w:p w14:paraId="5C2F163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tcMar>
                    <w:top w:w="0" w:type="dxa"/>
                    <w:left w:w="0" w:type="dxa"/>
                    <w:bottom w:w="0" w:type="dxa"/>
                    <w:right w:w="0" w:type="dxa"/>
                  </w:tcMar>
                  <w:vAlign w:val="center"/>
                </w:tcPr>
                <w:p w14:paraId="637704E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185" w:type="pct"/>
                  <w:tcMar>
                    <w:top w:w="0" w:type="dxa"/>
                    <w:left w:w="0" w:type="dxa"/>
                    <w:bottom w:w="0" w:type="dxa"/>
                    <w:right w:w="0" w:type="dxa"/>
                  </w:tcMar>
                  <w:vAlign w:val="center"/>
                </w:tcPr>
                <w:p w14:paraId="2A8CF38D">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w:t>
                  </w:r>
                </w:p>
              </w:tc>
            </w:tr>
            <w:tr w14:paraId="008F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tcMar>
                    <w:top w:w="0" w:type="dxa"/>
                    <w:left w:w="0" w:type="dxa"/>
                    <w:bottom w:w="0" w:type="dxa"/>
                    <w:right w:w="0" w:type="dxa"/>
                  </w:tcMar>
                  <w:vAlign w:val="center"/>
                </w:tcPr>
                <w:p w14:paraId="677592E5">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7</w:t>
                  </w:r>
                </w:p>
              </w:tc>
              <w:tc>
                <w:tcPr>
                  <w:tcW w:w="372" w:type="pct"/>
                  <w:vMerge w:val="continue"/>
                  <w:tcMar>
                    <w:top w:w="0" w:type="dxa"/>
                    <w:left w:w="0" w:type="dxa"/>
                    <w:bottom w:w="0" w:type="dxa"/>
                    <w:right w:w="0" w:type="dxa"/>
                  </w:tcMar>
                  <w:vAlign w:val="center"/>
                </w:tcPr>
                <w:p w14:paraId="65A7331D">
                  <w:pPr>
                    <w:pStyle w:val="138"/>
                    <w:rPr>
                      <w:rFonts w:cs="Times New Roman"/>
                      <w:color w:val="000000" w:themeColor="text1"/>
                      <w14:textFill>
                        <w14:solidFill>
                          <w14:schemeClr w14:val="tx1"/>
                        </w14:solidFill>
                      </w14:textFill>
                    </w:rPr>
                  </w:pPr>
                </w:p>
              </w:tc>
              <w:tc>
                <w:tcPr>
                  <w:tcW w:w="670" w:type="pct"/>
                  <w:tcMar>
                    <w:top w:w="0" w:type="dxa"/>
                    <w:left w:w="0" w:type="dxa"/>
                    <w:bottom w:w="0" w:type="dxa"/>
                    <w:right w:w="0" w:type="dxa"/>
                  </w:tcMar>
                  <w:vAlign w:val="center"/>
                </w:tcPr>
                <w:p w14:paraId="7682940D">
                  <w:pPr>
                    <w:pStyle w:val="90"/>
                    <w:rPr>
                      <w:color w:val="000000" w:themeColor="text1"/>
                      <w14:textFill>
                        <w14:solidFill>
                          <w14:schemeClr w14:val="tx1"/>
                        </w14:solidFill>
                      </w14:textFill>
                    </w:rPr>
                  </w:pPr>
                  <w:r>
                    <w:rPr>
                      <w:color w:val="000000" w:themeColor="text1"/>
                      <w14:textFill>
                        <w14:solidFill>
                          <w14:schemeClr w14:val="tx1"/>
                        </w14:solidFill>
                      </w14:textFill>
                    </w:rPr>
                    <w:t>提升泵</w:t>
                  </w:r>
                </w:p>
              </w:tc>
              <w:tc>
                <w:tcPr>
                  <w:tcW w:w="129" w:type="pct"/>
                  <w:tcMar>
                    <w:top w:w="0" w:type="dxa"/>
                    <w:left w:w="0" w:type="dxa"/>
                    <w:bottom w:w="0" w:type="dxa"/>
                    <w:right w:w="0" w:type="dxa"/>
                  </w:tcMar>
                  <w:vAlign w:val="center"/>
                </w:tcPr>
                <w:p w14:paraId="59EBD50A">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w:t>
                  </w:r>
                </w:p>
              </w:tc>
              <w:tc>
                <w:tcPr>
                  <w:tcW w:w="630" w:type="pct"/>
                  <w:tcMar>
                    <w:top w:w="0" w:type="dxa"/>
                    <w:left w:w="0" w:type="dxa"/>
                    <w:bottom w:w="0" w:type="dxa"/>
                    <w:right w:w="0" w:type="dxa"/>
                  </w:tcMar>
                  <w:vAlign w:val="center"/>
                </w:tcPr>
                <w:p w14:paraId="1CFA3CE5">
                  <w:pPr>
                    <w:pStyle w:val="90"/>
                    <w:rPr>
                      <w:color w:val="000000" w:themeColor="text1"/>
                      <w14:textFill>
                        <w14:solidFill>
                          <w14:schemeClr w14:val="tx1"/>
                        </w14:solidFill>
                      </w14:textFill>
                    </w:rPr>
                  </w:pPr>
                  <w:r>
                    <w:rPr>
                      <w:color w:val="000000" w:themeColor="text1"/>
                      <w14:textFill>
                        <w14:solidFill>
                          <w14:schemeClr w14:val="tx1"/>
                        </w14:solidFill>
                      </w14:textFill>
                    </w:rPr>
                    <w:t>75-80</w:t>
                  </w:r>
                </w:p>
              </w:tc>
              <w:tc>
                <w:tcPr>
                  <w:tcW w:w="637" w:type="pct"/>
                  <w:tcMar>
                    <w:top w:w="0" w:type="dxa"/>
                    <w:left w:w="0" w:type="dxa"/>
                    <w:bottom w:w="0" w:type="dxa"/>
                    <w:right w:w="0" w:type="dxa"/>
                  </w:tcMar>
                  <w:vAlign w:val="center"/>
                </w:tcPr>
                <w:p w14:paraId="1241709D">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消音、基座减震加固、围墙隔声</w:t>
                  </w:r>
                </w:p>
              </w:tc>
              <w:tc>
                <w:tcPr>
                  <w:tcW w:w="279" w:type="pct"/>
                  <w:tcMar>
                    <w:top w:w="0" w:type="dxa"/>
                    <w:left w:w="0" w:type="dxa"/>
                    <w:bottom w:w="0" w:type="dxa"/>
                    <w:right w:w="0" w:type="dxa"/>
                  </w:tcMar>
                  <w:vAlign w:val="center"/>
                </w:tcPr>
                <w:p w14:paraId="2CF3524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636</w:t>
                  </w:r>
                </w:p>
              </w:tc>
              <w:tc>
                <w:tcPr>
                  <w:tcW w:w="250" w:type="pct"/>
                  <w:tcMar>
                    <w:top w:w="0" w:type="dxa"/>
                    <w:left w:w="0" w:type="dxa"/>
                    <w:bottom w:w="0" w:type="dxa"/>
                    <w:right w:w="0" w:type="dxa"/>
                  </w:tcMar>
                  <w:vAlign w:val="center"/>
                </w:tcPr>
                <w:p w14:paraId="64EADAA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-173</w:t>
                  </w:r>
                </w:p>
              </w:tc>
              <w:tc>
                <w:tcPr>
                  <w:tcW w:w="250" w:type="pct"/>
                  <w:tcMar>
                    <w:top w:w="0" w:type="dxa"/>
                    <w:left w:w="0" w:type="dxa"/>
                    <w:bottom w:w="0" w:type="dxa"/>
                    <w:right w:w="0" w:type="dxa"/>
                  </w:tcMar>
                  <w:vAlign w:val="center"/>
                </w:tcPr>
                <w:p w14:paraId="5C551D0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c>
                <w:tcPr>
                  <w:tcW w:w="223" w:type="pct"/>
                  <w:tcMar>
                    <w:top w:w="0" w:type="dxa"/>
                    <w:left w:w="0" w:type="dxa"/>
                    <w:bottom w:w="0" w:type="dxa"/>
                    <w:right w:w="0" w:type="dxa"/>
                  </w:tcMar>
                  <w:vAlign w:val="center"/>
                </w:tcPr>
                <w:p w14:paraId="33AD5C11">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tcMar>
                    <w:top w:w="0" w:type="dxa"/>
                    <w:left w:w="0" w:type="dxa"/>
                    <w:bottom w:w="0" w:type="dxa"/>
                    <w:right w:w="0" w:type="dxa"/>
                  </w:tcMar>
                  <w:vAlign w:val="center"/>
                </w:tcPr>
                <w:p w14:paraId="341E1E25">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70</w:t>
                  </w:r>
                </w:p>
              </w:tc>
              <w:tc>
                <w:tcPr>
                  <w:tcW w:w="164" w:type="pct"/>
                  <w:tcMar>
                    <w:top w:w="0" w:type="dxa"/>
                    <w:left w:w="0" w:type="dxa"/>
                    <w:bottom w:w="0" w:type="dxa"/>
                    <w:right w:w="0" w:type="dxa"/>
                  </w:tcMar>
                  <w:vAlign w:val="center"/>
                </w:tcPr>
                <w:p w14:paraId="4A4E7135">
                  <w:pPr>
                    <w:pStyle w:val="90"/>
                    <w:rPr>
                      <w:color w:val="000000" w:themeColor="text1"/>
                      <w:lang w:val="zh-CN"/>
                      <w14:textFill>
                        <w14:solidFill>
                          <w14:schemeClr w14:val="tx1"/>
                        </w14:solidFill>
                      </w14:textFill>
                    </w:rPr>
                  </w:pPr>
                  <w:r>
                    <w:rPr>
                      <w:color w:val="000000" w:themeColor="text1"/>
                      <w14:textFill>
                        <w14:solidFill>
                          <w14:schemeClr w14:val="tx1"/>
                        </w14:solidFill>
                      </w14:textFill>
                    </w:rPr>
                    <w:t>连续</w:t>
                  </w:r>
                </w:p>
              </w:tc>
              <w:tc>
                <w:tcPr>
                  <w:tcW w:w="356" w:type="pct"/>
                  <w:tcMar>
                    <w:top w:w="0" w:type="dxa"/>
                    <w:left w:w="0" w:type="dxa"/>
                    <w:bottom w:w="0" w:type="dxa"/>
                    <w:right w:w="0" w:type="dxa"/>
                  </w:tcMar>
                  <w:vAlign w:val="center"/>
                </w:tcPr>
                <w:p w14:paraId="10662AB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tcMar>
                    <w:top w:w="0" w:type="dxa"/>
                    <w:left w:w="0" w:type="dxa"/>
                    <w:bottom w:w="0" w:type="dxa"/>
                    <w:right w:w="0" w:type="dxa"/>
                  </w:tcMar>
                  <w:vAlign w:val="center"/>
                </w:tcPr>
                <w:p w14:paraId="765AA09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185" w:type="pct"/>
                  <w:tcMar>
                    <w:top w:w="0" w:type="dxa"/>
                    <w:left w:w="0" w:type="dxa"/>
                    <w:bottom w:w="0" w:type="dxa"/>
                    <w:right w:w="0" w:type="dxa"/>
                  </w:tcMar>
                  <w:vAlign w:val="center"/>
                </w:tcPr>
                <w:p w14:paraId="42761A5E">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1</w:t>
                  </w:r>
                </w:p>
              </w:tc>
            </w:tr>
            <w:tr w14:paraId="14B7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tcMar>
                    <w:top w:w="0" w:type="dxa"/>
                    <w:left w:w="0" w:type="dxa"/>
                    <w:bottom w:w="0" w:type="dxa"/>
                    <w:right w:w="0" w:type="dxa"/>
                  </w:tcMar>
                  <w:vAlign w:val="center"/>
                </w:tcPr>
                <w:p w14:paraId="6CB57A2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372" w:type="pct"/>
                  <w:vMerge w:val="continue"/>
                  <w:tcMar>
                    <w:top w:w="0" w:type="dxa"/>
                    <w:left w:w="0" w:type="dxa"/>
                    <w:bottom w:w="0" w:type="dxa"/>
                    <w:right w:w="0" w:type="dxa"/>
                  </w:tcMar>
                  <w:vAlign w:val="center"/>
                </w:tcPr>
                <w:p w14:paraId="1A8B8BD6">
                  <w:pPr>
                    <w:pStyle w:val="138"/>
                    <w:rPr>
                      <w:rFonts w:cs="Times New Roman"/>
                      <w:color w:val="000000" w:themeColor="text1"/>
                      <w14:textFill>
                        <w14:solidFill>
                          <w14:schemeClr w14:val="tx1"/>
                        </w14:solidFill>
                      </w14:textFill>
                    </w:rPr>
                  </w:pPr>
                </w:p>
              </w:tc>
              <w:tc>
                <w:tcPr>
                  <w:tcW w:w="670" w:type="pct"/>
                  <w:tcMar>
                    <w:top w:w="0" w:type="dxa"/>
                    <w:left w:w="0" w:type="dxa"/>
                    <w:bottom w:w="0" w:type="dxa"/>
                    <w:right w:w="0" w:type="dxa"/>
                  </w:tcMar>
                  <w:vAlign w:val="center"/>
                </w:tcPr>
                <w:p w14:paraId="5A9BBECD">
                  <w:pPr>
                    <w:pStyle w:val="90"/>
                    <w:rPr>
                      <w:color w:val="000000" w:themeColor="text1"/>
                      <w14:textFill>
                        <w14:solidFill>
                          <w14:schemeClr w14:val="tx1"/>
                        </w14:solidFill>
                      </w14:textFill>
                    </w:rPr>
                  </w:pPr>
                  <w:r>
                    <w:rPr>
                      <w:color w:val="000000" w:themeColor="text1"/>
                      <w14:textFill>
                        <w14:solidFill>
                          <w14:schemeClr w14:val="tx1"/>
                        </w14:solidFill>
                      </w14:textFill>
                    </w:rPr>
                    <w:t>输送泵</w:t>
                  </w:r>
                </w:p>
              </w:tc>
              <w:tc>
                <w:tcPr>
                  <w:tcW w:w="129" w:type="pct"/>
                  <w:tcMar>
                    <w:top w:w="0" w:type="dxa"/>
                    <w:left w:w="0" w:type="dxa"/>
                    <w:bottom w:w="0" w:type="dxa"/>
                    <w:right w:w="0" w:type="dxa"/>
                  </w:tcMar>
                  <w:vAlign w:val="center"/>
                </w:tcPr>
                <w:p w14:paraId="1DC3003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0" w:type="pct"/>
                  <w:tcMar>
                    <w:top w:w="0" w:type="dxa"/>
                    <w:left w:w="0" w:type="dxa"/>
                    <w:bottom w:w="0" w:type="dxa"/>
                    <w:right w:w="0" w:type="dxa"/>
                  </w:tcMar>
                  <w:vAlign w:val="center"/>
                </w:tcPr>
                <w:p w14:paraId="4BB4725E">
                  <w:pPr>
                    <w:pStyle w:val="90"/>
                    <w:rPr>
                      <w:color w:val="000000" w:themeColor="text1"/>
                      <w14:textFill>
                        <w14:solidFill>
                          <w14:schemeClr w14:val="tx1"/>
                        </w14:solidFill>
                      </w14:textFill>
                    </w:rPr>
                  </w:pPr>
                  <w:r>
                    <w:rPr>
                      <w:color w:val="000000" w:themeColor="text1"/>
                      <w14:textFill>
                        <w14:solidFill>
                          <w14:schemeClr w14:val="tx1"/>
                        </w14:solidFill>
                      </w14:textFill>
                    </w:rPr>
                    <w:t>75-80</w:t>
                  </w:r>
                </w:p>
              </w:tc>
              <w:tc>
                <w:tcPr>
                  <w:tcW w:w="637" w:type="pct"/>
                  <w:tcMar>
                    <w:top w:w="0" w:type="dxa"/>
                    <w:left w:w="0" w:type="dxa"/>
                    <w:bottom w:w="0" w:type="dxa"/>
                    <w:right w:w="0" w:type="dxa"/>
                  </w:tcMar>
                  <w:vAlign w:val="center"/>
                </w:tcPr>
                <w:p w14:paraId="15288EBB">
                  <w:pPr>
                    <w:pStyle w:val="90"/>
                    <w:rPr>
                      <w:color w:val="000000" w:themeColor="text1"/>
                      <w14:textFill>
                        <w14:solidFill>
                          <w14:schemeClr w14:val="tx1"/>
                        </w14:solidFill>
                      </w14:textFill>
                    </w:rPr>
                  </w:pPr>
                  <w:r>
                    <w:rPr>
                      <w:color w:val="000000" w:themeColor="text1"/>
                      <w14:textFill>
                        <w14:solidFill>
                          <w14:schemeClr w14:val="tx1"/>
                        </w14:solidFill>
                      </w14:textFill>
                    </w:rPr>
                    <w:t>消音、基座减震加固、围墙隔声</w:t>
                  </w:r>
                </w:p>
              </w:tc>
              <w:tc>
                <w:tcPr>
                  <w:tcW w:w="279" w:type="pct"/>
                  <w:tcMar>
                    <w:top w:w="0" w:type="dxa"/>
                    <w:left w:w="0" w:type="dxa"/>
                    <w:bottom w:w="0" w:type="dxa"/>
                    <w:right w:w="0" w:type="dxa"/>
                  </w:tcMar>
                  <w:vAlign w:val="center"/>
                </w:tcPr>
                <w:p w14:paraId="665C6C9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664</w:t>
                  </w:r>
                </w:p>
              </w:tc>
              <w:tc>
                <w:tcPr>
                  <w:tcW w:w="250" w:type="pct"/>
                  <w:tcMar>
                    <w:top w:w="0" w:type="dxa"/>
                    <w:left w:w="0" w:type="dxa"/>
                    <w:bottom w:w="0" w:type="dxa"/>
                    <w:right w:w="0" w:type="dxa"/>
                  </w:tcMar>
                  <w:vAlign w:val="center"/>
                </w:tcPr>
                <w:p w14:paraId="2FB3007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-130</w:t>
                  </w:r>
                </w:p>
              </w:tc>
              <w:tc>
                <w:tcPr>
                  <w:tcW w:w="250" w:type="pct"/>
                  <w:tcMar>
                    <w:top w:w="0" w:type="dxa"/>
                    <w:left w:w="0" w:type="dxa"/>
                    <w:bottom w:w="0" w:type="dxa"/>
                    <w:right w:w="0" w:type="dxa"/>
                  </w:tcMar>
                  <w:vAlign w:val="center"/>
                </w:tcPr>
                <w:p w14:paraId="117B666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0.5</w:t>
                  </w:r>
                </w:p>
              </w:tc>
              <w:tc>
                <w:tcPr>
                  <w:tcW w:w="223" w:type="pct"/>
                  <w:tcMar>
                    <w:top w:w="0" w:type="dxa"/>
                    <w:left w:w="0" w:type="dxa"/>
                    <w:bottom w:w="0" w:type="dxa"/>
                    <w:right w:w="0" w:type="dxa"/>
                  </w:tcMar>
                  <w:vAlign w:val="center"/>
                </w:tcPr>
                <w:p w14:paraId="37464B1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tcMar>
                    <w:top w:w="0" w:type="dxa"/>
                    <w:left w:w="0" w:type="dxa"/>
                    <w:bottom w:w="0" w:type="dxa"/>
                    <w:right w:w="0" w:type="dxa"/>
                  </w:tcMar>
                  <w:vAlign w:val="center"/>
                </w:tcPr>
                <w:p w14:paraId="5315C59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70</w:t>
                  </w:r>
                </w:p>
              </w:tc>
              <w:tc>
                <w:tcPr>
                  <w:tcW w:w="164" w:type="pct"/>
                  <w:tcMar>
                    <w:top w:w="0" w:type="dxa"/>
                    <w:left w:w="0" w:type="dxa"/>
                    <w:bottom w:w="0" w:type="dxa"/>
                    <w:right w:w="0" w:type="dxa"/>
                  </w:tcMar>
                  <w:vAlign w:val="center"/>
                </w:tcPr>
                <w:p w14:paraId="25B860EE">
                  <w:pPr>
                    <w:pStyle w:val="90"/>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56" w:type="pct"/>
                  <w:tcMar>
                    <w:top w:w="0" w:type="dxa"/>
                    <w:left w:w="0" w:type="dxa"/>
                    <w:bottom w:w="0" w:type="dxa"/>
                    <w:right w:w="0" w:type="dxa"/>
                  </w:tcMar>
                  <w:vAlign w:val="center"/>
                </w:tcPr>
                <w:p w14:paraId="76A3794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tcMar>
                    <w:top w:w="0" w:type="dxa"/>
                    <w:left w:w="0" w:type="dxa"/>
                    <w:bottom w:w="0" w:type="dxa"/>
                    <w:right w:w="0" w:type="dxa"/>
                  </w:tcMar>
                  <w:vAlign w:val="center"/>
                </w:tcPr>
                <w:p w14:paraId="57AE2E0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185" w:type="pct"/>
                  <w:tcMar>
                    <w:top w:w="0" w:type="dxa"/>
                    <w:left w:w="0" w:type="dxa"/>
                    <w:bottom w:w="0" w:type="dxa"/>
                    <w:right w:w="0" w:type="dxa"/>
                  </w:tcMar>
                  <w:vAlign w:val="center"/>
                </w:tcPr>
                <w:p w14:paraId="0B08D71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14:paraId="330A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vAlign w:val="center"/>
                </w:tcPr>
                <w:p w14:paraId="305C9CB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w:t>
                  </w:r>
                </w:p>
              </w:tc>
              <w:tc>
                <w:tcPr>
                  <w:tcW w:w="372" w:type="pct"/>
                  <w:vMerge w:val="restart"/>
                  <w:vAlign w:val="center"/>
                </w:tcPr>
                <w:p w14:paraId="450E56E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锅炉房</w:t>
                  </w:r>
                </w:p>
              </w:tc>
              <w:tc>
                <w:tcPr>
                  <w:tcW w:w="670" w:type="pct"/>
                  <w:vAlign w:val="center"/>
                </w:tcPr>
                <w:p w14:paraId="630E5FF7">
                  <w:pPr>
                    <w:pStyle w:val="90"/>
                    <w:rPr>
                      <w:color w:val="000000" w:themeColor="text1"/>
                      <w14:textFill>
                        <w14:solidFill>
                          <w14:schemeClr w14:val="tx1"/>
                        </w14:solidFill>
                      </w14:textFill>
                    </w:rPr>
                  </w:pPr>
                  <w:r>
                    <w:rPr>
                      <w:color w:val="000000" w:themeColor="text1"/>
                      <w14:textFill>
                        <w14:solidFill>
                          <w14:schemeClr w14:val="tx1"/>
                        </w14:solidFill>
                      </w14:textFill>
                    </w:rPr>
                    <w:t>燃气锅炉排气</w:t>
                  </w:r>
                </w:p>
              </w:tc>
              <w:tc>
                <w:tcPr>
                  <w:tcW w:w="129" w:type="pct"/>
                  <w:vAlign w:val="center"/>
                </w:tcPr>
                <w:p w14:paraId="54616BA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0" w:type="pct"/>
                  <w:vAlign w:val="center"/>
                </w:tcPr>
                <w:p w14:paraId="68445DD6">
                  <w:pPr>
                    <w:pStyle w:val="90"/>
                    <w:rPr>
                      <w:color w:val="000000" w:themeColor="text1"/>
                      <w14:textFill>
                        <w14:solidFill>
                          <w14:schemeClr w14:val="tx1"/>
                        </w14:solidFill>
                      </w14:textFill>
                    </w:rPr>
                  </w:pPr>
                  <w:r>
                    <w:rPr>
                      <w:color w:val="000000" w:themeColor="text1"/>
                      <w14:textFill>
                        <w14:solidFill>
                          <w14:schemeClr w14:val="tx1"/>
                        </w14:solidFill>
                      </w14:textFill>
                    </w:rPr>
                    <w:t>95</w:t>
                  </w:r>
                </w:p>
              </w:tc>
              <w:tc>
                <w:tcPr>
                  <w:tcW w:w="637" w:type="pct"/>
                  <w:vAlign w:val="center"/>
                </w:tcPr>
                <w:p w14:paraId="51CCCD66">
                  <w:pPr>
                    <w:pStyle w:val="90"/>
                    <w:rPr>
                      <w:color w:val="000000" w:themeColor="text1"/>
                      <w14:textFill>
                        <w14:solidFill>
                          <w14:schemeClr w14:val="tx1"/>
                        </w14:solidFill>
                      </w14:textFill>
                    </w:rPr>
                  </w:pPr>
                  <w:r>
                    <w:rPr>
                      <w:color w:val="000000" w:themeColor="text1"/>
                      <w14:textFill>
                        <w14:solidFill>
                          <w14:schemeClr w14:val="tx1"/>
                        </w14:solidFill>
                      </w14:textFill>
                    </w:rPr>
                    <w:t>消音、基座减震加固、围墙隔声</w:t>
                  </w:r>
                </w:p>
              </w:tc>
              <w:tc>
                <w:tcPr>
                  <w:tcW w:w="279" w:type="pct"/>
                  <w:vAlign w:val="center"/>
                </w:tcPr>
                <w:p w14:paraId="4DED82F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707</w:t>
                  </w:r>
                </w:p>
              </w:tc>
              <w:tc>
                <w:tcPr>
                  <w:tcW w:w="250" w:type="pct"/>
                  <w:vAlign w:val="center"/>
                </w:tcPr>
                <w:p w14:paraId="49760F7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-137</w:t>
                  </w:r>
                </w:p>
              </w:tc>
              <w:tc>
                <w:tcPr>
                  <w:tcW w:w="250" w:type="pct"/>
                  <w:vAlign w:val="center"/>
                </w:tcPr>
                <w:p w14:paraId="57AA4E5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223" w:type="pct"/>
                  <w:vAlign w:val="center"/>
                </w:tcPr>
                <w:p w14:paraId="31ECC7B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vAlign w:val="center"/>
                </w:tcPr>
                <w:p w14:paraId="74ECAC2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85</w:t>
                  </w:r>
                </w:p>
              </w:tc>
              <w:tc>
                <w:tcPr>
                  <w:tcW w:w="164" w:type="pct"/>
                  <w:vAlign w:val="center"/>
                </w:tcPr>
                <w:p w14:paraId="6AC10D14">
                  <w:pPr>
                    <w:pStyle w:val="90"/>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356" w:type="pct"/>
                  <w:vAlign w:val="center"/>
                </w:tcPr>
                <w:p w14:paraId="3CAF02E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vAlign w:val="center"/>
                </w:tcPr>
                <w:p w14:paraId="0496ADBC">
                  <w:pPr>
                    <w:pStyle w:val="90"/>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85" w:type="pct"/>
                  <w:vAlign w:val="center"/>
                </w:tcPr>
                <w:p w14:paraId="7831C48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r w14:paraId="1CD7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 w:type="pct"/>
                  <w:vAlign w:val="center"/>
                </w:tcPr>
                <w:p w14:paraId="303A31BE">
                  <w:pPr>
                    <w:pStyle w:val="138"/>
                    <w:rPr>
                      <w:rFonts w:cs="Times New Roman"/>
                      <w:color w:val="000000" w:themeColor="text1"/>
                      <w14:textFill>
                        <w14:solidFill>
                          <w14:schemeClr w14:val="tx1"/>
                        </w14:solidFill>
                      </w14:textFill>
                    </w:rPr>
                  </w:pPr>
                </w:p>
              </w:tc>
              <w:tc>
                <w:tcPr>
                  <w:tcW w:w="372" w:type="pct"/>
                  <w:vMerge w:val="continue"/>
                  <w:vAlign w:val="center"/>
                </w:tcPr>
                <w:p w14:paraId="44053C37">
                  <w:pPr>
                    <w:pStyle w:val="138"/>
                    <w:rPr>
                      <w:rFonts w:cs="Times New Roman"/>
                      <w:color w:val="000000" w:themeColor="text1"/>
                      <w14:textFill>
                        <w14:solidFill>
                          <w14:schemeClr w14:val="tx1"/>
                        </w14:solidFill>
                      </w14:textFill>
                    </w:rPr>
                  </w:pPr>
                </w:p>
              </w:tc>
              <w:tc>
                <w:tcPr>
                  <w:tcW w:w="670" w:type="pct"/>
                  <w:vAlign w:val="center"/>
                </w:tcPr>
                <w:p w14:paraId="27117B5A">
                  <w:pPr>
                    <w:pStyle w:val="90"/>
                    <w:rPr>
                      <w:color w:val="000000" w:themeColor="text1"/>
                      <w14:textFill>
                        <w14:solidFill>
                          <w14:schemeClr w14:val="tx1"/>
                        </w14:solidFill>
                      </w14:textFill>
                    </w:rPr>
                  </w:pPr>
                  <w:r>
                    <w:rPr>
                      <w:color w:val="000000" w:themeColor="text1"/>
                      <w14:textFill>
                        <w14:solidFill>
                          <w14:schemeClr w14:val="tx1"/>
                        </w14:solidFill>
                      </w14:textFill>
                    </w:rPr>
                    <w:t>余热锅炉排气</w:t>
                  </w:r>
                </w:p>
              </w:tc>
              <w:tc>
                <w:tcPr>
                  <w:tcW w:w="129" w:type="pct"/>
                  <w:vAlign w:val="center"/>
                </w:tcPr>
                <w:p w14:paraId="72C1E51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30" w:type="pct"/>
                  <w:vAlign w:val="center"/>
                </w:tcPr>
                <w:p w14:paraId="506334D3">
                  <w:pPr>
                    <w:pStyle w:val="90"/>
                    <w:rPr>
                      <w:color w:val="000000" w:themeColor="text1"/>
                      <w14:textFill>
                        <w14:solidFill>
                          <w14:schemeClr w14:val="tx1"/>
                        </w14:solidFill>
                      </w14:textFill>
                    </w:rPr>
                  </w:pPr>
                  <w:r>
                    <w:rPr>
                      <w:color w:val="000000" w:themeColor="text1"/>
                      <w14:textFill>
                        <w14:solidFill>
                          <w14:schemeClr w14:val="tx1"/>
                        </w14:solidFill>
                      </w14:textFill>
                    </w:rPr>
                    <w:t>95</w:t>
                  </w:r>
                </w:p>
              </w:tc>
              <w:tc>
                <w:tcPr>
                  <w:tcW w:w="637" w:type="pct"/>
                  <w:vAlign w:val="center"/>
                </w:tcPr>
                <w:p w14:paraId="03240C4F">
                  <w:pPr>
                    <w:pStyle w:val="90"/>
                    <w:rPr>
                      <w:color w:val="000000" w:themeColor="text1"/>
                      <w14:textFill>
                        <w14:solidFill>
                          <w14:schemeClr w14:val="tx1"/>
                        </w14:solidFill>
                      </w14:textFill>
                    </w:rPr>
                  </w:pPr>
                  <w:r>
                    <w:rPr>
                      <w:color w:val="000000" w:themeColor="text1"/>
                      <w14:textFill>
                        <w14:solidFill>
                          <w14:schemeClr w14:val="tx1"/>
                        </w14:solidFill>
                      </w14:textFill>
                    </w:rPr>
                    <w:t>消音、基座减震加固、围墙隔声</w:t>
                  </w:r>
                </w:p>
              </w:tc>
              <w:tc>
                <w:tcPr>
                  <w:tcW w:w="279" w:type="pct"/>
                  <w:vAlign w:val="center"/>
                </w:tcPr>
                <w:p w14:paraId="402D5BB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622</w:t>
                  </w:r>
                </w:p>
              </w:tc>
              <w:tc>
                <w:tcPr>
                  <w:tcW w:w="250" w:type="pct"/>
                  <w:vAlign w:val="center"/>
                </w:tcPr>
                <w:p w14:paraId="0E8469B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-94</w:t>
                  </w:r>
                </w:p>
              </w:tc>
              <w:tc>
                <w:tcPr>
                  <w:tcW w:w="250" w:type="pct"/>
                  <w:vAlign w:val="center"/>
                </w:tcPr>
                <w:p w14:paraId="2D5319B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223" w:type="pct"/>
                  <w:vAlign w:val="center"/>
                </w:tcPr>
                <w:p w14:paraId="13EE34A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356" w:type="pct"/>
                  <w:vAlign w:val="center"/>
                </w:tcPr>
                <w:p w14:paraId="7F5237D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85</w:t>
                  </w:r>
                </w:p>
              </w:tc>
              <w:tc>
                <w:tcPr>
                  <w:tcW w:w="164" w:type="pct"/>
                  <w:vAlign w:val="center"/>
                </w:tcPr>
                <w:p w14:paraId="652759B5">
                  <w:pPr>
                    <w:pStyle w:val="90"/>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356" w:type="pct"/>
                  <w:vAlign w:val="center"/>
                </w:tcPr>
                <w:p w14:paraId="46FA2C5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56" w:type="pct"/>
                  <w:vAlign w:val="center"/>
                </w:tcPr>
                <w:p w14:paraId="4FFCB5A4">
                  <w:pPr>
                    <w:pStyle w:val="90"/>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85" w:type="pct"/>
                  <w:vAlign w:val="center"/>
                </w:tcPr>
                <w:p w14:paraId="5C7E5EB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r>
          </w:tbl>
          <w:p w14:paraId="0B528F0B">
            <w:pPr>
              <w:pStyle w:val="4"/>
              <w:rPr>
                <w:rFonts w:cs="Times New Roman"/>
                <w:color w:val="000000" w:themeColor="text1"/>
                <w14:textFill>
                  <w14:solidFill>
                    <w14:schemeClr w14:val="tx1"/>
                  </w14:solidFill>
                </w14:textFill>
              </w:rPr>
            </w:pPr>
            <w:bookmarkStart w:id="165" w:name="_Toc2"/>
            <w:r>
              <w:rPr>
                <w:rFonts w:cs="Times New Roman"/>
                <w:color w:val="000000" w:themeColor="text1"/>
                <w14:textFill>
                  <w14:solidFill>
                    <w14:schemeClr w14:val="tx1"/>
                  </w14:solidFill>
                </w14:textFill>
              </w:rPr>
              <w:t>预测模式</w:t>
            </w:r>
            <w:bookmarkEnd w:id="165"/>
          </w:p>
          <w:p w14:paraId="52483748">
            <w:pPr>
              <w:pStyle w:val="363"/>
              <w:ind w:firstLine="480"/>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噪声预测模式采用《环境影响评价技术导则  声环境》（HJ2.4-2021）中附录A和附录B中的预测模式。</w:t>
            </w:r>
          </w:p>
          <w:p w14:paraId="596E73BB">
            <w:pPr>
              <w:adjustRightInd w:val="0"/>
              <w:snapToGrid w:val="0"/>
              <w:ind w:firstLine="480"/>
              <w:rPr>
                <w:rFonts w:cs="Times New Roman"/>
                <w:b/>
                <w:color w:val="000000" w:themeColor="text1"/>
                <w14:textFill>
                  <w14:solidFill>
                    <w14:schemeClr w14:val="tx1"/>
                  </w14:solidFill>
                </w14:textFill>
              </w:rPr>
            </w:pPr>
            <w:r>
              <w:rPr>
                <w:rFonts w:cs="Times New Roman"/>
                <w:bCs/>
                <w:color w:val="000000" w:themeColor="text1"/>
                <w14:textFill>
                  <w14:solidFill>
                    <w14:schemeClr w14:val="tx1"/>
                  </w14:solidFill>
                </w14:textFill>
              </w:rPr>
              <w:t>1）室内声源等效室外声源声功率级计算方法</w:t>
            </w:r>
          </w:p>
          <w:p w14:paraId="034E5A01">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如下图所示，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14:paraId="050BEE0A">
            <w:pPr>
              <w:adjustRightInd w:val="0"/>
              <w:snapToGrid w:val="0"/>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1248410" cy="238760"/>
                  <wp:effectExtent l="0" t="0" r="1270" b="444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45"/>
                          <a:stretch>
                            <a:fillRect/>
                          </a:stretch>
                        </pic:blipFill>
                        <pic:spPr>
                          <a:xfrm>
                            <a:off x="0" y="0"/>
                            <a:ext cx="1248410" cy="238760"/>
                          </a:xfrm>
                          <a:prstGeom prst="rect">
                            <a:avLst/>
                          </a:prstGeom>
                          <a:noFill/>
                          <a:ln>
                            <a:noFill/>
                          </a:ln>
                        </pic:spPr>
                      </pic:pic>
                    </a:graphicData>
                  </a:graphic>
                </wp:inline>
              </w:drawing>
            </w:r>
          </w:p>
          <w:p w14:paraId="44C3F998">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2BF820D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p1</w:t>
            </w:r>
            <w:r>
              <w:rPr>
                <w:rFonts w:cs="Times New Roman"/>
                <w:color w:val="000000" w:themeColor="text1"/>
                <w14:textFill>
                  <w14:solidFill>
                    <w14:schemeClr w14:val="tx1"/>
                  </w14:solidFill>
                </w14:textFill>
              </w:rPr>
              <w:t>—靠近开口处(或窗户)室内某倍频带的声压级或A声级，dB；</w:t>
            </w:r>
          </w:p>
          <w:p w14:paraId="33811BE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p2</w:t>
            </w:r>
            <w:r>
              <w:rPr>
                <w:rFonts w:cs="Times New Roman"/>
                <w:color w:val="000000" w:themeColor="text1"/>
                <w14:textFill>
                  <w14:solidFill>
                    <w14:schemeClr w14:val="tx1"/>
                  </w14:solidFill>
                </w14:textFill>
              </w:rPr>
              <w:t>—靠近开口处(或窗户)室外某倍频带的声压级或A声级，dB；</w:t>
            </w:r>
          </w:p>
          <w:p w14:paraId="70A510B1">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TI—隔墙(或窗户)倍频带或A声级的隔声量，dB。</w:t>
            </w:r>
          </w:p>
          <w:p w14:paraId="1E31E90D">
            <w:pPr>
              <w:adjustRightInd w:val="0"/>
              <w:snapToGrid w:val="0"/>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2323465" cy="1275715"/>
                  <wp:effectExtent l="0" t="0" r="8255" b="444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46"/>
                          <a:stretch>
                            <a:fillRect/>
                          </a:stretch>
                        </pic:blipFill>
                        <pic:spPr>
                          <a:xfrm>
                            <a:off x="0" y="0"/>
                            <a:ext cx="2323465" cy="1275715"/>
                          </a:xfrm>
                          <a:prstGeom prst="rect">
                            <a:avLst/>
                          </a:prstGeom>
                          <a:noFill/>
                          <a:ln>
                            <a:noFill/>
                          </a:ln>
                        </pic:spPr>
                      </pic:pic>
                    </a:graphicData>
                  </a:graphic>
                </wp:inline>
              </w:drawing>
            </w:r>
          </w:p>
          <w:p w14:paraId="5FB63A42">
            <w:pPr>
              <w:adjustRightInd w:val="0"/>
              <w:snapToGrid w:val="0"/>
              <w:ind w:firstLine="482"/>
              <w:jc w:val="center"/>
              <w:rPr>
                <w:rFonts w:eastAsia="黑体" w:cs="Times New Roman"/>
                <w:color w:val="000000" w:themeColor="text1"/>
                <w14:textFill>
                  <w14:solidFill>
                    <w14:schemeClr w14:val="tx1"/>
                  </w14:solidFill>
                </w14:textFill>
              </w:rPr>
            </w:pPr>
            <w:r>
              <w:rPr>
                <w:rStyle w:val="352"/>
                <w:rFonts w:cs="Times New Roman"/>
                <w:color w:val="000000" w:themeColor="text1"/>
                <w14:textFill>
                  <w14:solidFill>
                    <w14:schemeClr w14:val="tx1"/>
                  </w14:solidFill>
                </w14:textFill>
              </w:rPr>
              <w:t xml:space="preserve">图 </w:t>
            </w:r>
            <w:r>
              <w:rPr>
                <w:rStyle w:val="352"/>
                <w:rFonts w:cs="Times New Roman"/>
                <w:color w:val="000000" w:themeColor="text1"/>
                <w14:textFill>
                  <w14:solidFill>
                    <w14:schemeClr w14:val="tx1"/>
                  </w14:solidFill>
                </w14:textFill>
              </w:rPr>
              <w:fldChar w:fldCharType="begin"/>
            </w:r>
            <w:r>
              <w:rPr>
                <w:rStyle w:val="352"/>
                <w:rFonts w:cs="Times New Roman"/>
                <w:color w:val="000000" w:themeColor="text1"/>
                <w14:textFill>
                  <w14:solidFill>
                    <w14:schemeClr w14:val="tx1"/>
                  </w14:solidFill>
                </w14:textFill>
              </w:rPr>
              <w:instrText xml:space="preserve"> STYLEREF 2 \s </w:instrText>
            </w:r>
            <w:r>
              <w:rPr>
                <w:rStyle w:val="352"/>
                <w:rFonts w:cs="Times New Roman"/>
                <w:color w:val="000000" w:themeColor="text1"/>
                <w14:textFill>
                  <w14:solidFill>
                    <w14:schemeClr w14:val="tx1"/>
                  </w14:solidFill>
                </w14:textFill>
              </w:rPr>
              <w:fldChar w:fldCharType="separate"/>
            </w:r>
            <w:r>
              <w:rPr>
                <w:rStyle w:val="352"/>
                <w:rFonts w:cs="Times New Roman"/>
                <w:color w:val="000000" w:themeColor="text1"/>
                <w14:textFill>
                  <w14:solidFill>
                    <w14:schemeClr w14:val="tx1"/>
                  </w14:solidFill>
                </w14:textFill>
              </w:rPr>
              <w:t>4.8</w:t>
            </w:r>
            <w:r>
              <w:rPr>
                <w:rStyle w:val="352"/>
                <w:rFonts w:cs="Times New Roman"/>
                <w:color w:val="000000" w:themeColor="text1"/>
                <w14:textFill>
                  <w14:solidFill>
                    <w14:schemeClr w14:val="tx1"/>
                  </w14:solidFill>
                </w14:textFill>
              </w:rPr>
              <w:fldChar w:fldCharType="end"/>
            </w:r>
            <w:r>
              <w:rPr>
                <w:rStyle w:val="352"/>
                <w:rFonts w:cs="Times New Roman"/>
                <w:color w:val="000000" w:themeColor="text1"/>
                <w14:textFill>
                  <w14:solidFill>
                    <w14:schemeClr w14:val="tx1"/>
                  </w14:solidFill>
                </w14:textFill>
              </w:rPr>
              <w:t>-</w:t>
            </w:r>
            <w:r>
              <w:rPr>
                <w:rStyle w:val="352"/>
                <w:rFonts w:cs="Times New Roman"/>
                <w:color w:val="000000" w:themeColor="text1"/>
                <w14:textFill>
                  <w14:solidFill>
                    <w14:schemeClr w14:val="tx1"/>
                  </w14:solidFill>
                </w14:textFill>
              </w:rPr>
              <w:fldChar w:fldCharType="begin"/>
            </w:r>
            <w:r>
              <w:rPr>
                <w:rStyle w:val="352"/>
                <w:rFonts w:cs="Times New Roman"/>
                <w:color w:val="000000" w:themeColor="text1"/>
                <w14:textFill>
                  <w14:solidFill>
                    <w14:schemeClr w14:val="tx1"/>
                  </w14:solidFill>
                </w14:textFill>
              </w:rPr>
              <w:instrText xml:space="preserve"> SEQ 图 \* ARABIC \s 2 </w:instrText>
            </w:r>
            <w:r>
              <w:rPr>
                <w:rStyle w:val="352"/>
                <w:rFonts w:cs="Times New Roman"/>
                <w:color w:val="000000" w:themeColor="text1"/>
                <w14:textFill>
                  <w14:solidFill>
                    <w14:schemeClr w14:val="tx1"/>
                  </w14:solidFill>
                </w14:textFill>
              </w:rPr>
              <w:fldChar w:fldCharType="separate"/>
            </w:r>
            <w:r>
              <w:rPr>
                <w:rStyle w:val="352"/>
                <w:rFonts w:cs="Times New Roman"/>
                <w:color w:val="000000" w:themeColor="text1"/>
                <w14:textFill>
                  <w14:solidFill>
                    <w14:schemeClr w14:val="tx1"/>
                  </w14:solidFill>
                </w14:textFill>
              </w:rPr>
              <w:t>1</w:t>
            </w:r>
            <w:r>
              <w:rPr>
                <w:rStyle w:val="352"/>
                <w:rFonts w:cs="Times New Roman"/>
                <w:color w:val="000000" w:themeColor="text1"/>
                <w14:textFill>
                  <w14:solidFill>
                    <w14:schemeClr w14:val="tx1"/>
                  </w14:solidFill>
                </w14:textFill>
              </w:rPr>
              <w:fldChar w:fldCharType="end"/>
            </w:r>
            <w:r>
              <w:rPr>
                <w:rFonts w:cs="Times New Roman"/>
                <w:b/>
                <w:bCs/>
                <w:color w:val="000000" w:themeColor="text1"/>
                <w14:textFill>
                  <w14:solidFill>
                    <w14:schemeClr w14:val="tx1"/>
                  </w14:solidFill>
                </w14:textFill>
              </w:rPr>
              <w:t>室内声源等效室外声源图例</w:t>
            </w:r>
          </w:p>
          <w:p w14:paraId="41A513C4">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②按下式计算某一室内声源靠近围护结构处产生的倍频带声压级或A声级：</w:t>
            </w:r>
          </w:p>
          <w:p w14:paraId="09ADC6E9">
            <w:pPr>
              <w:adjustRightInd w:val="0"/>
              <w:snapToGrid w:val="0"/>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1714500" cy="485775"/>
                  <wp:effectExtent l="0" t="0" r="7620" b="1905"/>
                  <wp:docPr id="1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2"/>
                          <pic:cNvPicPr>
                            <a:picLocks noChangeAspect="1"/>
                          </pic:cNvPicPr>
                        </pic:nvPicPr>
                        <pic:blipFill>
                          <a:blip r:embed="rId47"/>
                          <a:stretch>
                            <a:fillRect/>
                          </a:stretch>
                        </pic:blipFill>
                        <pic:spPr>
                          <a:xfrm>
                            <a:off x="0" y="0"/>
                            <a:ext cx="1714500" cy="485775"/>
                          </a:xfrm>
                          <a:prstGeom prst="rect">
                            <a:avLst/>
                          </a:prstGeom>
                          <a:noFill/>
                          <a:ln>
                            <a:noFill/>
                          </a:ln>
                        </pic:spPr>
                      </pic:pic>
                    </a:graphicData>
                  </a:graphic>
                </wp:inline>
              </w:drawing>
            </w:r>
          </w:p>
          <w:p w14:paraId="45391779">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0A9810C2">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Lp</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—靠近开口处(或窗户)室内某倍频带的声压级或A声级，dB；</w:t>
            </w:r>
          </w:p>
          <w:p w14:paraId="0ED71894">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Lw—点声源声功率级(A计权或倍频带)，dB；</w:t>
            </w:r>
          </w:p>
          <w:p w14:paraId="24135D2A">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Q—指向性因数；通常对无指向性声源，当声源放在房间中心时，Q=1；当放在一面墙的中心时，Q=2；当放在两面墙夹角处时，Q=4；当放在三面墙夹角处时，Q=8；</w:t>
            </w:r>
          </w:p>
          <w:p w14:paraId="1FD3BAE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R—房间常数；R=Sa/(1-a)，s为房间内表面面积，m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；a为平均吸声系数；</w:t>
            </w:r>
          </w:p>
          <w:p w14:paraId="5666E4E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r—声源到靠近围护结构某点处的距离，m。</w:t>
            </w:r>
          </w:p>
          <w:p w14:paraId="4D32557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③按下式计算出所有室内声源在靠近围护结构处产生的i倍频带叠加声压级：</w:t>
            </w:r>
          </w:p>
          <w:p w14:paraId="5701E761">
            <w:pPr>
              <w:adjustRightInd w:val="0"/>
              <w:snapToGrid w:val="0"/>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1687195" cy="485775"/>
                  <wp:effectExtent l="0" t="0" r="4445" b="1905"/>
                  <wp:docPr id="1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3"/>
                          <pic:cNvPicPr>
                            <a:picLocks noChangeAspect="1"/>
                          </pic:cNvPicPr>
                        </pic:nvPicPr>
                        <pic:blipFill>
                          <a:blip r:embed="rId48"/>
                          <a:stretch>
                            <a:fillRect/>
                          </a:stretch>
                        </pic:blipFill>
                        <pic:spPr>
                          <a:xfrm>
                            <a:off x="0" y="0"/>
                            <a:ext cx="1687195" cy="485775"/>
                          </a:xfrm>
                          <a:prstGeom prst="rect">
                            <a:avLst/>
                          </a:prstGeom>
                          <a:noFill/>
                          <a:ln>
                            <a:noFill/>
                          </a:ln>
                        </pic:spPr>
                      </pic:pic>
                    </a:graphicData>
                  </a:graphic>
                </wp:inline>
              </w:drawing>
            </w:r>
          </w:p>
          <w:p w14:paraId="2BFAF4D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6B21F29D">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p1i</w:t>
            </w:r>
            <w:r>
              <w:rPr>
                <w:rFonts w:cs="Times New Roman"/>
                <w:color w:val="000000" w:themeColor="text1"/>
                <w14:textFill>
                  <w14:solidFill>
                    <w14:schemeClr w14:val="tx1"/>
                  </w14:solidFill>
                </w14:textFill>
              </w:rPr>
              <w:t>(T)—靠近围护结构处室内N个声源i倍频带的叠加声压级，dB；</w:t>
            </w:r>
          </w:p>
          <w:p w14:paraId="17382BD6">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p1ij</w:t>
            </w:r>
            <w:r>
              <w:rPr>
                <w:rFonts w:cs="Times New Roman"/>
                <w:color w:val="000000" w:themeColor="text1"/>
                <w14:textFill>
                  <w14:solidFill>
                    <w14:schemeClr w14:val="tx1"/>
                  </w14:solidFill>
                </w14:textFill>
              </w:rPr>
              <w:t>—室内j声源i倍频带的声压级，dB；</w:t>
            </w:r>
          </w:p>
          <w:p w14:paraId="20621661">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N—室内声源总数。</w:t>
            </w:r>
          </w:p>
          <w:p w14:paraId="5B6877C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④在室内近似为扩散声场时，按下式计算出室外靠近围护结构处的声压级：</w:t>
            </w:r>
          </w:p>
          <w:p w14:paraId="7D031302">
            <w:pPr>
              <w:adjustRightInd w:val="0"/>
              <w:snapToGrid w:val="0"/>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1780540" cy="238760"/>
                  <wp:effectExtent l="0" t="0" r="2540" b="4445"/>
                  <wp:docPr id="1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4"/>
                          <pic:cNvPicPr>
                            <a:picLocks noChangeAspect="1"/>
                          </pic:cNvPicPr>
                        </pic:nvPicPr>
                        <pic:blipFill>
                          <a:blip r:embed="rId49"/>
                          <a:stretch>
                            <a:fillRect/>
                          </a:stretch>
                        </pic:blipFill>
                        <pic:spPr>
                          <a:xfrm>
                            <a:off x="0" y="0"/>
                            <a:ext cx="1780540" cy="238760"/>
                          </a:xfrm>
                          <a:prstGeom prst="rect">
                            <a:avLst/>
                          </a:prstGeom>
                          <a:noFill/>
                          <a:ln>
                            <a:noFill/>
                          </a:ln>
                        </pic:spPr>
                      </pic:pic>
                    </a:graphicData>
                  </a:graphic>
                </wp:inline>
              </w:drawing>
            </w:r>
          </w:p>
          <w:p w14:paraId="170F8D60">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19A0DBE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p2i</w:t>
            </w:r>
            <w:r>
              <w:rPr>
                <w:rFonts w:cs="Times New Roman"/>
                <w:color w:val="000000" w:themeColor="text1"/>
                <w14:textFill>
                  <w14:solidFill>
                    <w14:schemeClr w14:val="tx1"/>
                  </w14:solidFill>
                </w14:textFill>
              </w:rPr>
              <w:t>(T)—靠近围护结构处室外N个声源i倍频带的叠加声压级，dB；</w:t>
            </w:r>
          </w:p>
          <w:p w14:paraId="798C021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p1i</w:t>
            </w:r>
            <w:r>
              <w:rPr>
                <w:rFonts w:cs="Times New Roman"/>
                <w:color w:val="000000" w:themeColor="text1"/>
                <w14:textFill>
                  <w14:solidFill>
                    <w14:schemeClr w14:val="tx1"/>
                  </w14:solidFill>
                </w14:textFill>
              </w:rPr>
              <w:t>(T)—靠近围护结构处室内N个声源i倍频带的叠加声压级，dB；</w:t>
            </w:r>
          </w:p>
          <w:p w14:paraId="0C5451DE">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TL</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—围护结构i倍频带的隔声量，dB。</w:t>
            </w:r>
          </w:p>
          <w:p w14:paraId="332F4C7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⑤按下式将室外声源的声压级和透声面积换算成等效的室外声源，计算出中心位置位于透声面积(S)处的等效声源的倍频带的声功率级</w:t>
            </w:r>
            <w:r>
              <w:rPr>
                <w:rFonts w:cs="Times New Roman"/>
                <w:color w:val="000000" w:themeColor="text1"/>
                <w14:textFill>
                  <w14:solidFill>
                    <w14:schemeClr w14:val="tx1"/>
                  </w14:solidFill>
                </w14:textFill>
              </w:rPr>
              <w:softHyphen/>
            </w:r>
            <w:r>
              <w:rPr>
                <w:rFonts w:cs="Times New Roman"/>
                <w:color w:val="000000" w:themeColor="text1"/>
                <w14:textFill>
                  <w14:solidFill>
                    <w14:schemeClr w14:val="tx1"/>
                  </w14:solidFill>
                </w14:textFill>
              </w:rPr>
              <w:softHyphen/>
            </w:r>
            <w:r>
              <w:rPr>
                <w:rFonts w:cs="Times New Roman"/>
                <w:color w:val="000000" w:themeColor="text1"/>
                <w14:textFill>
                  <w14:solidFill>
                    <w14:schemeClr w14:val="tx1"/>
                  </w14:solidFill>
                </w14:textFill>
              </w:rPr>
              <w:t>：</w:t>
            </w:r>
          </w:p>
          <w:p w14:paraId="4B67B869">
            <w:pPr>
              <w:adjustRightInd w:val="0"/>
              <w:snapToGrid w:val="0"/>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1333500" cy="238760"/>
                  <wp:effectExtent l="0" t="0" r="7620" b="4445"/>
                  <wp:docPr id="1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5"/>
                          <pic:cNvPicPr>
                            <a:picLocks noChangeAspect="1"/>
                          </pic:cNvPicPr>
                        </pic:nvPicPr>
                        <pic:blipFill>
                          <a:blip r:embed="rId50"/>
                          <a:stretch>
                            <a:fillRect/>
                          </a:stretch>
                        </pic:blipFill>
                        <pic:spPr>
                          <a:xfrm>
                            <a:off x="0" y="0"/>
                            <a:ext cx="1333500" cy="238760"/>
                          </a:xfrm>
                          <a:prstGeom prst="rect">
                            <a:avLst/>
                          </a:prstGeom>
                          <a:noFill/>
                          <a:ln>
                            <a:noFill/>
                          </a:ln>
                        </pic:spPr>
                      </pic:pic>
                    </a:graphicData>
                  </a:graphic>
                </wp:inline>
              </w:drawing>
            </w:r>
          </w:p>
          <w:p w14:paraId="7C4985B3">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722C2812">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Lw—中心位置位于透声面积(S)处的等效声源的倍频带声功率级，dB；</w:t>
            </w:r>
          </w:p>
          <w:p w14:paraId="27D4E343">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Lp</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(T)—靠近围护结构处室外声源的声压级，dB；</w:t>
            </w:r>
          </w:p>
          <w:p w14:paraId="304C12D2">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S透声面积，m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p w14:paraId="6C91BB6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2）户外声传播的衰减</w:t>
            </w:r>
          </w:p>
          <w:p w14:paraId="4ABA82D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户外声传播衰减包括几何发散(Adiv)、大气吸收(Aatm)、地面效应(Agr)、障碍物屏蔽(Abar)、其他多方面效应(Amisc)引起的衰减。</w:t>
            </w:r>
          </w:p>
          <w:p w14:paraId="2239AC2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①基本公式</w:t>
            </w:r>
          </w:p>
          <w:p w14:paraId="044C696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某个声源在预测点处声压级的计算公式如下：</w:t>
            </w:r>
          </w:p>
          <w:p w14:paraId="1DDF77FA">
            <w:pPr>
              <w:adjustRightInd w:val="0"/>
              <w:snapToGrid w:val="0"/>
              <w:ind w:firstLine="480"/>
              <w:jc w:val="center"/>
              <w:rPr>
                <w:rFonts w:cs="Times New Roman"/>
                <w:color w:val="000000" w:themeColor="text1"/>
                <w14:textFill>
                  <w14:solidFill>
                    <w14:schemeClr w14:val="tx1"/>
                  </w14:solidFill>
                </w14:textFill>
              </w:rPr>
            </w:pPr>
            <w:r>
              <w:rPr>
                <w:rFonts w:eastAsia="Times New Roman" w:cs="Times New Roman"/>
                <w:i/>
                <w:color w:val="000000" w:themeColor="text1"/>
                <w14:textFill>
                  <w14:solidFill>
                    <w14:schemeClr w14:val="tx1"/>
                  </w14:solidFill>
                </w14:textFill>
              </w:rPr>
              <w:t>Lp</w:t>
            </w:r>
            <w:r>
              <w:rPr>
                <w:rFonts w:eastAsia="Times New Roman"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r</w:t>
            </w:r>
            <w:r>
              <w:rPr>
                <w:rFonts w:eastAsia="Times New Roman"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Lw</w:t>
            </w:r>
            <w:r>
              <w:rPr>
                <w:rFonts w:eastAsia="Times New Roman"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D</w:t>
            </w:r>
            <w:r>
              <w:rPr>
                <w:rFonts w:eastAsia="Times New Roman" w:cs="Times New Roman"/>
                <w:color w:val="000000" w:themeColor="text1"/>
                <w14:textFill>
                  <w14:solidFill>
                    <w14:schemeClr w14:val="tx1"/>
                  </w14:solidFill>
                </w14:textFill>
              </w:rPr>
              <w:t>C</w:t>
            </w:r>
            <w:r>
              <w:rPr>
                <w:rFonts w:cs="Times New Roman"/>
                <w:color w:val="000000" w:themeColor="text1"/>
                <w14:textFill>
                  <w14:solidFill>
                    <w14:schemeClr w14:val="tx1"/>
                  </w14:solidFill>
                </w14:textFill>
              </w:rPr>
              <w:t>－</w:t>
            </w:r>
            <w:r>
              <w:rPr>
                <w:rFonts w:eastAsia="Times New Roman"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A</w:t>
            </w:r>
            <w:r>
              <w:rPr>
                <w:rFonts w:eastAsia="Times New Roman" w:cs="Times New Roman"/>
                <w:color w:val="000000" w:themeColor="text1"/>
                <w14:textFill>
                  <w14:solidFill>
                    <w14:schemeClr w14:val="tx1"/>
                  </w14:solidFill>
                </w14:textFill>
              </w:rPr>
              <w:t>div</w:t>
            </w:r>
            <w:r>
              <w:rPr>
                <w:rFonts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A</w:t>
            </w:r>
            <w:r>
              <w:rPr>
                <w:rFonts w:eastAsia="Times New Roman" w:cs="Times New Roman"/>
                <w:color w:val="000000" w:themeColor="text1"/>
                <w14:textFill>
                  <w14:solidFill>
                    <w14:schemeClr w14:val="tx1"/>
                  </w14:solidFill>
                </w14:textFill>
              </w:rPr>
              <w:t>atm</w:t>
            </w:r>
            <w:r>
              <w:rPr>
                <w:rFonts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A</w:t>
            </w:r>
            <w:r>
              <w:rPr>
                <w:rFonts w:eastAsia="Times New Roman" w:cs="Times New Roman"/>
                <w:color w:val="000000" w:themeColor="text1"/>
                <w14:textFill>
                  <w14:solidFill>
                    <w14:schemeClr w14:val="tx1"/>
                  </w14:solidFill>
                </w14:textFill>
              </w:rPr>
              <w:t>gr</w:t>
            </w:r>
            <w:r>
              <w:rPr>
                <w:rFonts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A</w:t>
            </w:r>
            <w:r>
              <w:rPr>
                <w:rFonts w:eastAsia="Times New Roman" w:cs="Times New Roman"/>
                <w:color w:val="000000" w:themeColor="text1"/>
                <w14:textFill>
                  <w14:solidFill>
                    <w14:schemeClr w14:val="tx1"/>
                  </w14:solidFill>
                </w14:textFill>
              </w:rPr>
              <w:t>bar</w:t>
            </w:r>
            <w:r>
              <w:rPr>
                <w:rFonts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A</w:t>
            </w:r>
            <w:r>
              <w:rPr>
                <w:rFonts w:eastAsia="Times New Roman" w:cs="Times New Roman"/>
                <w:color w:val="000000" w:themeColor="text1"/>
                <w14:textFill>
                  <w14:solidFill>
                    <w14:schemeClr w14:val="tx1"/>
                  </w14:solidFill>
                </w14:textFill>
              </w:rPr>
              <w:t>misc)</w:t>
            </w:r>
          </w:p>
          <w:p w14:paraId="72429BBB">
            <w:pPr>
              <w:adjustRightInd w:val="0"/>
              <w:snapToGrid w:val="0"/>
              <w:ind w:firstLine="480"/>
              <w:jc w:val="center"/>
              <w:rPr>
                <w:rFonts w:cs="Times New Roman"/>
                <w:color w:val="000000" w:themeColor="text1"/>
                <w14:textFill>
                  <w14:solidFill>
                    <w14:schemeClr w14:val="tx1"/>
                  </w14:solidFill>
                </w14:textFill>
              </w:rPr>
            </w:pPr>
            <w:r>
              <w:rPr>
                <w:rFonts w:eastAsia="Times New Roman" w:cs="Times New Roman"/>
                <w:i/>
                <w:color w:val="000000" w:themeColor="text1"/>
                <w14:textFill>
                  <w14:solidFill>
                    <w14:schemeClr w14:val="tx1"/>
                  </w14:solidFill>
                </w14:textFill>
              </w:rPr>
              <w:t>Lp</w:t>
            </w:r>
            <w:r>
              <w:rPr>
                <w:rFonts w:eastAsia="Times New Roman"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r</w:t>
            </w:r>
            <w:r>
              <w:rPr>
                <w:rFonts w:eastAsia="Times New Roman"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Lp</w:t>
            </w:r>
            <w:r>
              <w:rPr>
                <w:rFonts w:eastAsia="Times New Roman"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r</w:t>
            </w:r>
            <w:r>
              <w:rPr>
                <w:rFonts w:eastAsia="Times New Roman" w:cs="Times New Roman"/>
                <w:color w:val="000000" w:themeColor="text1"/>
                <w14:textFill>
                  <w14:solidFill>
                    <w14:schemeClr w14:val="tx1"/>
                  </w14:solidFill>
                </w14:textFill>
              </w:rPr>
              <w:t>0)+</w:t>
            </w:r>
            <w:r>
              <w:rPr>
                <w:rFonts w:eastAsia="Times New Roman" w:cs="Times New Roman"/>
                <w:i/>
                <w:color w:val="000000" w:themeColor="text1"/>
                <w14:textFill>
                  <w14:solidFill>
                    <w14:schemeClr w14:val="tx1"/>
                  </w14:solidFill>
                </w14:textFill>
              </w:rPr>
              <w:t>D</w:t>
            </w:r>
            <w:r>
              <w:rPr>
                <w:rFonts w:eastAsia="Times New Roman" w:cs="Times New Roman"/>
                <w:color w:val="000000" w:themeColor="text1"/>
                <w14:textFill>
                  <w14:solidFill>
                    <w14:schemeClr w14:val="tx1"/>
                  </w14:solidFill>
                </w14:textFill>
              </w:rPr>
              <w:t>C</w:t>
            </w:r>
            <w:r>
              <w:rPr>
                <w:rFonts w:cs="Times New Roman"/>
                <w:color w:val="000000" w:themeColor="text1"/>
                <w14:textFill>
                  <w14:solidFill>
                    <w14:schemeClr w14:val="tx1"/>
                  </w14:solidFill>
                </w14:textFill>
              </w:rPr>
              <w:t>－</w:t>
            </w:r>
            <w:r>
              <w:rPr>
                <w:rFonts w:eastAsia="Times New Roman"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A</w:t>
            </w:r>
            <w:r>
              <w:rPr>
                <w:rFonts w:eastAsia="Times New Roman" w:cs="Times New Roman"/>
                <w:color w:val="000000" w:themeColor="text1"/>
                <w14:textFill>
                  <w14:solidFill>
                    <w14:schemeClr w14:val="tx1"/>
                  </w14:solidFill>
                </w14:textFill>
              </w:rPr>
              <w:t>div</w:t>
            </w:r>
            <w:r>
              <w:rPr>
                <w:rFonts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A</w:t>
            </w:r>
            <w:r>
              <w:rPr>
                <w:rFonts w:eastAsia="Times New Roman" w:cs="Times New Roman"/>
                <w:color w:val="000000" w:themeColor="text1"/>
                <w14:textFill>
                  <w14:solidFill>
                    <w14:schemeClr w14:val="tx1"/>
                  </w14:solidFill>
                </w14:textFill>
              </w:rPr>
              <w:t>atm</w:t>
            </w:r>
            <w:r>
              <w:rPr>
                <w:rFonts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A</w:t>
            </w:r>
            <w:r>
              <w:rPr>
                <w:rFonts w:eastAsia="Times New Roman" w:cs="Times New Roman"/>
                <w:color w:val="000000" w:themeColor="text1"/>
                <w14:textFill>
                  <w14:solidFill>
                    <w14:schemeClr w14:val="tx1"/>
                  </w14:solidFill>
                </w14:textFill>
              </w:rPr>
              <w:t>gr</w:t>
            </w:r>
            <w:r>
              <w:rPr>
                <w:rFonts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A</w:t>
            </w:r>
            <w:r>
              <w:rPr>
                <w:rFonts w:eastAsia="Times New Roman" w:cs="Times New Roman"/>
                <w:color w:val="000000" w:themeColor="text1"/>
                <w14:textFill>
                  <w14:solidFill>
                    <w14:schemeClr w14:val="tx1"/>
                  </w14:solidFill>
                </w14:textFill>
              </w:rPr>
              <w:t>bar</w:t>
            </w:r>
            <w:r>
              <w:rPr>
                <w:rFonts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A</w:t>
            </w:r>
            <w:r>
              <w:rPr>
                <w:rFonts w:eastAsia="Times New Roman" w:cs="Times New Roman"/>
                <w:color w:val="000000" w:themeColor="text1"/>
                <w14:textFill>
                  <w14:solidFill>
                    <w14:schemeClr w14:val="tx1"/>
                  </w14:solidFill>
                </w14:textFill>
              </w:rPr>
              <w:t>misc)</w:t>
            </w:r>
          </w:p>
          <w:p w14:paraId="203378A1">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415DD878">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Lp(r)—预测点处声压级，dB； </w:t>
            </w:r>
          </w:p>
          <w:p w14:paraId="201ECD43">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w:t>
            </w:r>
            <w:r>
              <w:rPr>
                <w:rFonts w:cs="Times New Roman"/>
                <w:color w:val="000000" w:themeColor="text1"/>
                <w14:textFill>
                  <w14:solidFill>
                    <w14:schemeClr w14:val="tx1"/>
                  </w14:solidFill>
                </w14:textFill>
              </w:rPr>
              <w:softHyphen/>
            </w:r>
            <w:r>
              <w:rPr>
                <w:rFonts w:cs="Times New Roman"/>
                <w:color w:val="000000" w:themeColor="text1"/>
                <w14:textFill>
                  <w14:solidFill>
                    <w14:schemeClr w14:val="tx1"/>
                  </w14:solidFill>
                </w14:textFill>
              </w:rPr>
              <w:softHyphen/>
            </w:r>
            <w:r>
              <w:rPr>
                <w:rFonts w:cs="Times New Roman"/>
                <w:color w:val="000000" w:themeColor="text1"/>
                <w14:textFill>
                  <w14:solidFill>
                    <w14:schemeClr w14:val="tx1"/>
                  </w14:solidFill>
                </w14:textFill>
              </w:rPr>
              <w:t>w—由点声源产生的声功率级(A计权或倍频带)，dB；</w:t>
            </w:r>
          </w:p>
          <w:p w14:paraId="48FFF7AD">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Lp(r0)—参考位置r0处的声压级，dB；</w:t>
            </w:r>
          </w:p>
          <w:p w14:paraId="1F6853A8">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Dc—指向性校正，它描述点声源的等效连续声压级与产生声功率级Lw的全向点声源在规定方向的声级的偏差程度，dB； </w:t>
            </w:r>
          </w:p>
          <w:p w14:paraId="6A9C60C3">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Adiv—几何发散引起的衰减，dB； </w:t>
            </w:r>
          </w:p>
          <w:p w14:paraId="2CB8BA7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Aatm—大气吸收引起的衰减，dB； </w:t>
            </w:r>
          </w:p>
          <w:p w14:paraId="66F99983">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Agr—地面效应引起的衰减，dB；</w:t>
            </w:r>
          </w:p>
          <w:p w14:paraId="768759A4">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Abar—障碍物屏蔽引起的衰减，dB；</w:t>
            </w:r>
          </w:p>
          <w:p w14:paraId="2B5A53BA">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Amisc—其他多方面效应引起的衰减，dB。</w:t>
            </w:r>
          </w:p>
          <w:p w14:paraId="3180209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②预测点的</w:t>
            </w:r>
            <w:r>
              <w:rPr>
                <w:rFonts w:eastAsia="Times New Roman"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声级</w:t>
            </w:r>
            <w:r>
              <w:rPr>
                <w:rFonts w:eastAsia="Times New Roman" w:cs="Times New Roman"/>
                <w:i/>
                <w:color w:val="000000" w:themeColor="text1"/>
                <w14:textFill>
                  <w14:solidFill>
                    <w14:schemeClr w14:val="tx1"/>
                  </w14:solidFill>
                </w14:textFill>
              </w:rPr>
              <w:t>L</w:t>
            </w:r>
            <w:r>
              <w:rPr>
                <w:rFonts w:eastAsia="Times New Roman" w:cs="Times New Roman"/>
                <w:color w:val="000000" w:themeColor="text1"/>
                <w:vertAlign w:val="subscript"/>
                <w14:textFill>
                  <w14:solidFill>
                    <w14:schemeClr w14:val="tx1"/>
                  </w14:solidFill>
                </w14:textFill>
              </w:rPr>
              <w:t>A</w:t>
            </w:r>
            <w:r>
              <w:rPr>
                <w:rFonts w:eastAsia="Times New Roman"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r</w:t>
            </w:r>
            <w:r>
              <w:rPr>
                <w:rFonts w:eastAsia="Times New Roman"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可按下式计算，即将</w:t>
            </w:r>
            <w:r>
              <w:rPr>
                <w:rFonts w:eastAsia="Times New Roman" w:cs="Times New Roman"/>
                <w:color w:val="000000" w:themeColor="text1"/>
                <w14:textFill>
                  <w14:solidFill>
                    <w14:schemeClr w14:val="tx1"/>
                  </w14:solidFill>
                </w14:textFill>
              </w:rPr>
              <w:t>8</w:t>
            </w:r>
            <w:r>
              <w:rPr>
                <w:rFonts w:cs="Times New Roman"/>
                <w:color w:val="000000" w:themeColor="text1"/>
                <w14:textFill>
                  <w14:solidFill>
                    <w14:schemeClr w14:val="tx1"/>
                  </w14:solidFill>
                </w14:textFill>
              </w:rPr>
              <w:t>个倍频带声压级合成，计算出预测点的</w:t>
            </w:r>
            <w:r>
              <w:rPr>
                <w:rFonts w:eastAsia="Times New Roman"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声级</w:t>
            </w:r>
            <w:r>
              <w:rPr>
                <w:rFonts w:eastAsia="Times New Roman"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L</w:t>
            </w:r>
            <w:r>
              <w:rPr>
                <w:rFonts w:eastAsia="Times New Roman" w:cs="Times New Roman"/>
                <w:color w:val="000000" w:themeColor="text1"/>
                <w:vertAlign w:val="subscript"/>
                <w14:textFill>
                  <w14:solidFill>
                    <w14:schemeClr w14:val="tx1"/>
                  </w14:solidFill>
                </w14:textFill>
              </w:rPr>
              <w:t>A</w:t>
            </w:r>
            <w:r>
              <w:rPr>
                <w:rFonts w:eastAsia="Times New Roman" w:cs="Times New Roman"/>
                <w:color w:val="000000" w:themeColor="text1"/>
                <w14:textFill>
                  <w14:solidFill>
                    <w14:schemeClr w14:val="tx1"/>
                  </w14:solidFill>
                </w14:textFill>
              </w:rPr>
              <w:t>(</w:t>
            </w:r>
            <w:r>
              <w:rPr>
                <w:rFonts w:eastAsia="Times New Roman" w:cs="Times New Roman"/>
                <w:i/>
                <w:color w:val="000000" w:themeColor="text1"/>
                <w14:textFill>
                  <w14:solidFill>
                    <w14:schemeClr w14:val="tx1"/>
                  </w14:solidFill>
                </w14:textFill>
              </w:rPr>
              <w:t>r</w:t>
            </w:r>
            <w:r>
              <w:rPr>
                <w:rFonts w:eastAsia="Times New Roman"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p>
          <w:p w14:paraId="71B0283E">
            <w:pPr>
              <w:ind w:firstLine="1778" w:firstLineChars="738"/>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drawing>
                <wp:inline distT="0" distB="0" distL="114300" distR="114300">
                  <wp:extent cx="1934210" cy="419735"/>
                  <wp:effectExtent l="0" t="0" r="1270" b="6985"/>
                  <wp:docPr id="1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6"/>
                          <pic:cNvPicPr>
                            <a:picLocks noChangeAspect="1"/>
                          </pic:cNvPicPr>
                        </pic:nvPicPr>
                        <pic:blipFill>
                          <a:blip r:embed="rId51"/>
                          <a:stretch>
                            <a:fillRect/>
                          </a:stretch>
                        </pic:blipFill>
                        <pic:spPr>
                          <a:xfrm>
                            <a:off x="0" y="0"/>
                            <a:ext cx="1934210" cy="419735"/>
                          </a:xfrm>
                          <a:prstGeom prst="rect">
                            <a:avLst/>
                          </a:prstGeom>
                          <a:noFill/>
                          <a:ln>
                            <a:noFill/>
                          </a:ln>
                        </pic:spPr>
                      </pic:pic>
                    </a:graphicData>
                  </a:graphic>
                </wp:inline>
              </w:drawing>
            </w:r>
            <w:r>
              <w:rPr>
                <w:rFonts w:cs="Times New Roman"/>
                <w:b/>
                <w:color w:val="000000" w:themeColor="text1"/>
                <w14:textFill>
                  <w14:solidFill>
                    <w14:schemeClr w14:val="tx1"/>
                  </w14:solidFill>
                </w14:textFill>
              </w:rPr>
              <w:t xml:space="preserve">                       </w:t>
            </w:r>
          </w:p>
          <w:p w14:paraId="1C0B20B6">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43DB61BB">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LA(r)—距声源r处的A声级，dB(A)；</w:t>
            </w:r>
          </w:p>
          <w:p w14:paraId="4B78467C">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Lpi(r)—预测点(r)处，第i倍频带声压级，dB；</w:t>
            </w:r>
          </w:p>
          <w:p w14:paraId="79C1AAB2">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△Li—i倍频带A计算网络修正值，dB(根据导则附录B计算)。</w:t>
            </w:r>
          </w:p>
          <w:p w14:paraId="3DA70EF7">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衰减项计算按导则附录A中A.3相关模式计算。</w:t>
            </w:r>
          </w:p>
          <w:p w14:paraId="307EB2BF">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3）噪声贡献值计算</w:t>
            </w:r>
          </w:p>
          <w:p w14:paraId="2A406015">
            <w:pPr>
              <w:adjustRightInd w:val="0"/>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设第i个室外声源在预测点产生的A声级为L</w:t>
            </w:r>
            <w:r>
              <w:rPr>
                <w:rFonts w:cs="Times New Roman"/>
                <w:color w:val="000000" w:themeColor="text1"/>
                <w:vertAlign w:val="subscript"/>
                <w14:textFill>
                  <w14:solidFill>
                    <w14:schemeClr w14:val="tx1"/>
                  </w14:solidFill>
                </w14:textFill>
              </w:rPr>
              <w:t>Ai</w:t>
            </w:r>
            <w:r>
              <w:rPr>
                <w:rFonts w:cs="Times New Roman"/>
                <w:color w:val="000000" w:themeColor="text1"/>
                <w14:textFill>
                  <w14:solidFill>
                    <w14:schemeClr w14:val="tx1"/>
                  </w14:solidFill>
                </w14:textFill>
              </w:rPr>
              <w:t>，在T时间内该声源工作时间为t</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；第j个等效室外声源在预测点产生的A声级为L</w:t>
            </w:r>
            <w:r>
              <w:rPr>
                <w:rFonts w:cs="Times New Roman"/>
                <w:color w:val="000000" w:themeColor="text1"/>
                <w:vertAlign w:val="subscript"/>
                <w14:textFill>
                  <w14:solidFill>
                    <w14:schemeClr w14:val="tx1"/>
                  </w14:solidFill>
                </w14:textFill>
              </w:rPr>
              <w:t>Aj</w:t>
            </w:r>
            <w:r>
              <w:rPr>
                <w:rFonts w:cs="Times New Roman"/>
                <w:color w:val="000000" w:themeColor="text1"/>
                <w14:textFill>
                  <w14:solidFill>
                    <w14:schemeClr w14:val="tx1"/>
                  </w14:solidFill>
                </w14:textFill>
              </w:rPr>
              <w:t>，在T时间内该声源工作时间为t</w:t>
            </w:r>
            <w:r>
              <w:rPr>
                <w:rFonts w:cs="Times New Roman"/>
                <w:color w:val="000000" w:themeColor="text1"/>
                <w:vertAlign w:val="subscript"/>
                <w14:textFill>
                  <w14:solidFill>
                    <w14:schemeClr w14:val="tx1"/>
                  </w14:solidFill>
                </w14:textFill>
              </w:rPr>
              <w:t xml:space="preserve"> j</w:t>
            </w:r>
            <w:r>
              <w:rPr>
                <w:rFonts w:cs="Times New Roman"/>
                <w:color w:val="000000" w:themeColor="text1"/>
                <w14:textFill>
                  <w14:solidFill>
                    <w14:schemeClr w14:val="tx1"/>
                  </w14:solidFill>
                </w14:textFill>
              </w:rPr>
              <w:t>，则拟建工程声源对预测点产生的贡献值(Leqg)为：</w:t>
            </w:r>
          </w:p>
          <w:p w14:paraId="246F0DAA">
            <w:pPr>
              <w:ind w:firstLine="480"/>
              <w:jc w:val="center"/>
              <w:rPr>
                <w:rFonts w:cs="Times New Roman"/>
                <w:color w:val="000000" w:themeColor="text1"/>
                <w:szCs w:val="28"/>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2372995" cy="485775"/>
                  <wp:effectExtent l="0" t="0" r="4445" b="1905"/>
                  <wp:docPr id="1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
                          <pic:cNvPicPr>
                            <a:picLocks noChangeAspect="1"/>
                          </pic:cNvPicPr>
                        </pic:nvPicPr>
                        <pic:blipFill>
                          <a:blip r:embed="rId52"/>
                          <a:stretch>
                            <a:fillRect/>
                          </a:stretch>
                        </pic:blipFill>
                        <pic:spPr>
                          <a:xfrm>
                            <a:off x="0" y="0"/>
                            <a:ext cx="2372995" cy="485775"/>
                          </a:xfrm>
                          <a:prstGeom prst="rect">
                            <a:avLst/>
                          </a:prstGeom>
                          <a:noFill/>
                          <a:ln>
                            <a:noFill/>
                          </a:ln>
                        </pic:spPr>
                      </pic:pic>
                    </a:graphicData>
                  </a:graphic>
                </wp:inline>
              </w:drawing>
            </w:r>
            <w:r>
              <w:rPr>
                <w:rFonts w:cs="Times New Roman"/>
                <w:color w:val="000000" w:themeColor="text1"/>
                <w:szCs w:val="28"/>
                <w14:textFill>
                  <w14:solidFill>
                    <w14:schemeClr w14:val="tx1"/>
                  </w14:solidFill>
                </w14:textFill>
              </w:rPr>
              <w:t xml:space="preserve">  </w:t>
            </w:r>
          </w:p>
          <w:p w14:paraId="3D359D5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式中：Leqg——建设项目声源在预测点产生的噪声贡献值，dB(A)； </w:t>
            </w:r>
          </w:p>
          <w:p w14:paraId="4868B65B">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T——用于计算等效声级的时间，s； </w:t>
            </w:r>
          </w:p>
          <w:p w14:paraId="7BC68E98">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N——室外声源个数； </w:t>
            </w:r>
          </w:p>
          <w:p w14:paraId="5CDD12B7">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 xml:space="preserve">——在T时间内i声源工作时间，s； </w:t>
            </w:r>
          </w:p>
          <w:p w14:paraId="20C45941">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M——等效室外声源个数； </w:t>
            </w:r>
          </w:p>
          <w:p w14:paraId="76C705A6">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w:t>
            </w:r>
            <w:r>
              <w:rPr>
                <w:rFonts w:cs="Times New Roman"/>
                <w:color w:val="000000" w:themeColor="text1"/>
                <w:vertAlign w:val="subscript"/>
                <w14:textFill>
                  <w14:solidFill>
                    <w14:schemeClr w14:val="tx1"/>
                  </w14:solidFill>
                </w14:textFill>
              </w:rPr>
              <w:t xml:space="preserve">j </w:t>
            </w:r>
            <w:r>
              <w:rPr>
                <w:rFonts w:cs="Times New Roman"/>
                <w:color w:val="000000" w:themeColor="text1"/>
                <w14:textFill>
                  <w14:solidFill>
                    <w14:schemeClr w14:val="tx1"/>
                  </w14:solidFill>
                </w14:textFill>
              </w:rPr>
              <w:t>——在T时间内j声源工作时间，s。</w:t>
            </w:r>
          </w:p>
          <w:p w14:paraId="591A2FA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4）噪声预测值计算</w:t>
            </w:r>
          </w:p>
          <w:p w14:paraId="1A18E7E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预测点的贡献值和背景值按能量叠加方法计算得到的声级，计算公式：</w:t>
            </w:r>
          </w:p>
          <w:p w14:paraId="7E19F1AD">
            <w:pPr>
              <w:ind w:firstLine="1680" w:firstLineChars="7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1903730" cy="304800"/>
                  <wp:effectExtent l="0" t="0" r="1270" b="0"/>
                  <wp:docPr id="1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8"/>
                          <pic:cNvPicPr>
                            <a:picLocks noChangeAspect="1"/>
                          </pic:cNvPicPr>
                        </pic:nvPicPr>
                        <pic:blipFill>
                          <a:blip r:embed="rId53"/>
                          <a:stretch>
                            <a:fillRect/>
                          </a:stretch>
                        </pic:blipFill>
                        <pic:spPr>
                          <a:xfrm>
                            <a:off x="0" y="0"/>
                            <a:ext cx="1903730" cy="304800"/>
                          </a:xfrm>
                          <a:prstGeom prst="rect">
                            <a:avLst/>
                          </a:prstGeom>
                          <a:noFill/>
                          <a:ln>
                            <a:noFill/>
                          </a:ln>
                        </pic:spPr>
                      </pic:pic>
                    </a:graphicData>
                  </a:graphic>
                </wp:inline>
              </w:drawing>
            </w:r>
            <w:r>
              <w:rPr>
                <w:rFonts w:cs="Times New Roman"/>
                <w:color w:val="000000" w:themeColor="text1"/>
                <w14:textFill>
                  <w14:solidFill>
                    <w14:schemeClr w14:val="tx1"/>
                  </w14:solidFill>
                </w14:textFill>
              </w:rPr>
              <w:t xml:space="preserve">            (2)</w:t>
            </w:r>
          </w:p>
          <w:p w14:paraId="062BD89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w:p>
          <w:p w14:paraId="4E11D63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Leq—预测点的噪声预测值，dB；</w:t>
            </w:r>
          </w:p>
          <w:p w14:paraId="34A3802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Leqg—建设项目声源在预测点产生的噪声贡献值，dB；</w:t>
            </w:r>
          </w:p>
          <w:p w14:paraId="5B114C5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Leqb—预测点的背景噪声值，dB。</w:t>
            </w:r>
          </w:p>
          <w:p w14:paraId="088853B7">
            <w:pPr>
              <w:pStyle w:val="4"/>
              <w:rPr>
                <w:rFonts w:cs="Times New Roman"/>
                <w:color w:val="000000" w:themeColor="text1"/>
                <w14:textFill>
                  <w14:solidFill>
                    <w14:schemeClr w14:val="tx1"/>
                  </w14:solidFill>
                </w14:textFill>
              </w:rPr>
            </w:pPr>
            <w:bookmarkStart w:id="166" w:name="_Toc32148"/>
            <w:r>
              <w:rPr>
                <w:rFonts w:cs="Times New Roman"/>
                <w:color w:val="000000" w:themeColor="text1"/>
                <w14:textFill>
                  <w14:solidFill>
                    <w14:schemeClr w14:val="tx1"/>
                  </w14:solidFill>
                </w14:textFill>
              </w:rPr>
              <w:t>预测结果</w:t>
            </w:r>
            <w:bookmarkEnd w:id="166"/>
          </w:p>
          <w:p w14:paraId="59AD32E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噪声预测结果如下所示。</w:t>
            </w:r>
          </w:p>
          <w:p w14:paraId="10D2D76D">
            <w:pPr>
              <w:pStyle w:val="97"/>
              <w:spacing w:before="0" w:beforeLines="0" w:after="0" w:afterLine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4.8</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 xml:space="preserve"> </w:t>
            </w:r>
            <w:r>
              <w:rPr>
                <w:rFonts w:cs="Times New Roman"/>
                <w:color w:val="000000" w:themeColor="text1"/>
                <w14:textFill>
                  <w14:solidFill>
                    <w14:schemeClr w14:val="tx1"/>
                  </w14:solidFill>
                </w14:textFill>
              </w:rPr>
              <w:t>厂界环境噪声预测结果一览表   单位：dB（A）</w:t>
            </w:r>
          </w:p>
          <w:tbl>
            <w:tblPr>
              <w:tblStyle w:val="46"/>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491"/>
              <w:gridCol w:w="526"/>
              <w:gridCol w:w="600"/>
              <w:gridCol w:w="538"/>
              <w:gridCol w:w="549"/>
              <w:gridCol w:w="538"/>
              <w:gridCol w:w="557"/>
              <w:gridCol w:w="538"/>
              <w:gridCol w:w="557"/>
              <w:gridCol w:w="537"/>
              <w:gridCol w:w="552"/>
              <w:gridCol w:w="538"/>
              <w:gridCol w:w="564"/>
            </w:tblGrid>
            <w:tr w14:paraId="0551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Merge w:val="restart"/>
                  <w:tcMar>
                    <w:top w:w="0" w:type="dxa"/>
                    <w:left w:w="0" w:type="dxa"/>
                    <w:bottom w:w="0" w:type="dxa"/>
                    <w:right w:w="0" w:type="dxa"/>
                  </w:tcMar>
                  <w:vAlign w:val="center"/>
                </w:tcPr>
                <w:p w14:paraId="2360D67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编号</w:t>
                  </w:r>
                </w:p>
              </w:tc>
              <w:tc>
                <w:tcPr>
                  <w:tcW w:w="871" w:type="pct"/>
                  <w:vMerge w:val="restart"/>
                  <w:tcMar>
                    <w:top w:w="0" w:type="dxa"/>
                    <w:left w:w="0" w:type="dxa"/>
                    <w:bottom w:w="0" w:type="dxa"/>
                    <w:right w:w="0" w:type="dxa"/>
                  </w:tcMar>
                  <w:vAlign w:val="center"/>
                </w:tcPr>
                <w:p w14:paraId="6CDF775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位置</w:t>
                  </w:r>
                </w:p>
              </w:tc>
              <w:tc>
                <w:tcPr>
                  <w:tcW w:w="658" w:type="pct"/>
                  <w:gridSpan w:val="2"/>
                  <w:tcMar>
                    <w:top w:w="0" w:type="dxa"/>
                    <w:left w:w="0" w:type="dxa"/>
                    <w:bottom w:w="0" w:type="dxa"/>
                    <w:right w:w="0" w:type="dxa"/>
                  </w:tcMar>
                  <w:vAlign w:val="center"/>
                </w:tcPr>
                <w:p w14:paraId="0BDA26F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噪声现状值</w:t>
                  </w:r>
                </w:p>
                <w:p w14:paraId="7DB7F2F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/dB(A)</w:t>
                  </w:r>
                </w:p>
              </w:tc>
              <w:tc>
                <w:tcPr>
                  <w:tcW w:w="636" w:type="pct"/>
                  <w:gridSpan w:val="2"/>
                  <w:tcMar>
                    <w:top w:w="0" w:type="dxa"/>
                    <w:left w:w="0" w:type="dxa"/>
                    <w:bottom w:w="0" w:type="dxa"/>
                    <w:right w:w="0" w:type="dxa"/>
                  </w:tcMar>
                  <w:vAlign w:val="center"/>
                </w:tcPr>
                <w:p w14:paraId="7B21BFC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噪声标准</w:t>
                  </w:r>
                </w:p>
                <w:p w14:paraId="711FE16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/dB(A)</w:t>
                  </w:r>
                </w:p>
              </w:tc>
              <w:tc>
                <w:tcPr>
                  <w:tcW w:w="641" w:type="pct"/>
                  <w:gridSpan w:val="2"/>
                  <w:tcMar>
                    <w:top w:w="0" w:type="dxa"/>
                    <w:left w:w="0" w:type="dxa"/>
                    <w:bottom w:w="0" w:type="dxa"/>
                    <w:right w:w="0" w:type="dxa"/>
                  </w:tcMar>
                  <w:vAlign w:val="center"/>
                </w:tcPr>
                <w:p w14:paraId="22EEABF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p w14:paraId="33D6399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贡献值</w:t>
                  </w:r>
                </w:p>
                <w:p w14:paraId="7E160FB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/dB(A)</w:t>
                  </w:r>
                </w:p>
              </w:tc>
              <w:tc>
                <w:tcPr>
                  <w:tcW w:w="641" w:type="pct"/>
                  <w:gridSpan w:val="2"/>
                  <w:tcMar>
                    <w:top w:w="0" w:type="dxa"/>
                    <w:left w:w="0" w:type="dxa"/>
                    <w:bottom w:w="0" w:type="dxa"/>
                    <w:right w:w="0" w:type="dxa"/>
                  </w:tcMar>
                  <w:vAlign w:val="center"/>
                </w:tcPr>
                <w:p w14:paraId="49856B0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p w14:paraId="65A3BA4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预测值</w:t>
                  </w:r>
                </w:p>
                <w:p w14:paraId="432DE01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/dB(A)</w:t>
                  </w:r>
                </w:p>
              </w:tc>
              <w:tc>
                <w:tcPr>
                  <w:tcW w:w="637" w:type="pct"/>
                  <w:gridSpan w:val="2"/>
                  <w:tcMar>
                    <w:top w:w="0" w:type="dxa"/>
                    <w:left w:w="0" w:type="dxa"/>
                    <w:bottom w:w="0" w:type="dxa"/>
                    <w:right w:w="0" w:type="dxa"/>
                  </w:tcMar>
                  <w:vAlign w:val="center"/>
                </w:tcPr>
                <w:p w14:paraId="2062775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较现状</w:t>
                  </w:r>
                </w:p>
                <w:p w14:paraId="754B2CE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增量</w:t>
                  </w:r>
                </w:p>
                <w:p w14:paraId="78311D0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/dB(A)</w:t>
                  </w:r>
                </w:p>
              </w:tc>
              <w:tc>
                <w:tcPr>
                  <w:tcW w:w="645" w:type="pct"/>
                  <w:gridSpan w:val="2"/>
                  <w:tcMar>
                    <w:top w:w="0" w:type="dxa"/>
                    <w:left w:w="0" w:type="dxa"/>
                    <w:bottom w:w="0" w:type="dxa"/>
                    <w:right w:w="0" w:type="dxa"/>
                  </w:tcMar>
                  <w:vAlign w:val="center"/>
                </w:tcPr>
                <w:p w14:paraId="2C5BB10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达标情况</w:t>
                  </w:r>
                </w:p>
              </w:tc>
            </w:tr>
            <w:tr w14:paraId="631B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Merge w:val="continue"/>
                  <w:tcMar>
                    <w:top w:w="0" w:type="dxa"/>
                    <w:left w:w="0" w:type="dxa"/>
                    <w:bottom w:w="0" w:type="dxa"/>
                    <w:right w:w="0" w:type="dxa"/>
                  </w:tcMar>
                  <w:vAlign w:val="center"/>
                </w:tcPr>
                <w:p w14:paraId="5F8DF29F">
                  <w:pPr>
                    <w:pStyle w:val="138"/>
                    <w:rPr>
                      <w:rFonts w:cs="Times New Roman"/>
                      <w:color w:val="000000" w:themeColor="text1"/>
                      <w14:textFill>
                        <w14:solidFill>
                          <w14:schemeClr w14:val="tx1"/>
                        </w14:solidFill>
                      </w14:textFill>
                    </w:rPr>
                  </w:pPr>
                </w:p>
              </w:tc>
              <w:tc>
                <w:tcPr>
                  <w:tcW w:w="871" w:type="pct"/>
                  <w:vMerge w:val="continue"/>
                  <w:tcMar>
                    <w:top w:w="0" w:type="dxa"/>
                    <w:left w:w="0" w:type="dxa"/>
                    <w:bottom w:w="0" w:type="dxa"/>
                    <w:right w:w="0" w:type="dxa"/>
                  </w:tcMar>
                  <w:vAlign w:val="center"/>
                </w:tcPr>
                <w:p w14:paraId="4C675895">
                  <w:pPr>
                    <w:pStyle w:val="138"/>
                    <w:rPr>
                      <w:rFonts w:cs="Times New Roman"/>
                      <w:color w:val="000000" w:themeColor="text1"/>
                      <w14:textFill>
                        <w14:solidFill>
                          <w14:schemeClr w14:val="tx1"/>
                        </w14:solidFill>
                      </w14:textFill>
                    </w:rPr>
                  </w:pPr>
                </w:p>
              </w:tc>
              <w:tc>
                <w:tcPr>
                  <w:tcW w:w="307" w:type="pct"/>
                  <w:tcMar>
                    <w:top w:w="0" w:type="dxa"/>
                    <w:left w:w="0" w:type="dxa"/>
                    <w:bottom w:w="0" w:type="dxa"/>
                    <w:right w:w="0" w:type="dxa"/>
                  </w:tcMar>
                  <w:vAlign w:val="center"/>
                </w:tcPr>
                <w:p w14:paraId="4F4F04E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昼间</w:t>
                  </w:r>
                </w:p>
              </w:tc>
              <w:tc>
                <w:tcPr>
                  <w:tcW w:w="351" w:type="pct"/>
                  <w:tcMar>
                    <w:top w:w="0" w:type="dxa"/>
                    <w:left w:w="0" w:type="dxa"/>
                    <w:bottom w:w="0" w:type="dxa"/>
                    <w:right w:w="0" w:type="dxa"/>
                  </w:tcMar>
                  <w:vAlign w:val="center"/>
                </w:tcPr>
                <w:p w14:paraId="381172B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夜间</w:t>
                  </w:r>
                </w:p>
              </w:tc>
              <w:tc>
                <w:tcPr>
                  <w:tcW w:w="315" w:type="pct"/>
                  <w:tcMar>
                    <w:top w:w="0" w:type="dxa"/>
                    <w:left w:w="0" w:type="dxa"/>
                    <w:bottom w:w="0" w:type="dxa"/>
                    <w:right w:w="0" w:type="dxa"/>
                  </w:tcMar>
                  <w:vAlign w:val="center"/>
                </w:tcPr>
                <w:p w14:paraId="0B90D70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昼间</w:t>
                  </w:r>
                </w:p>
              </w:tc>
              <w:tc>
                <w:tcPr>
                  <w:tcW w:w="321" w:type="pct"/>
                  <w:tcMar>
                    <w:top w:w="0" w:type="dxa"/>
                    <w:left w:w="0" w:type="dxa"/>
                    <w:bottom w:w="0" w:type="dxa"/>
                    <w:right w:w="0" w:type="dxa"/>
                  </w:tcMar>
                  <w:vAlign w:val="center"/>
                </w:tcPr>
                <w:p w14:paraId="454756C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夜间</w:t>
                  </w:r>
                </w:p>
              </w:tc>
              <w:tc>
                <w:tcPr>
                  <w:tcW w:w="315" w:type="pct"/>
                  <w:tcMar>
                    <w:top w:w="0" w:type="dxa"/>
                    <w:left w:w="0" w:type="dxa"/>
                    <w:bottom w:w="0" w:type="dxa"/>
                    <w:right w:w="0" w:type="dxa"/>
                  </w:tcMar>
                  <w:vAlign w:val="center"/>
                </w:tcPr>
                <w:p w14:paraId="1559D97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昼间</w:t>
                  </w:r>
                </w:p>
              </w:tc>
              <w:tc>
                <w:tcPr>
                  <w:tcW w:w="325" w:type="pct"/>
                  <w:tcMar>
                    <w:top w:w="0" w:type="dxa"/>
                    <w:left w:w="0" w:type="dxa"/>
                    <w:bottom w:w="0" w:type="dxa"/>
                    <w:right w:w="0" w:type="dxa"/>
                  </w:tcMar>
                  <w:vAlign w:val="center"/>
                </w:tcPr>
                <w:p w14:paraId="16E7221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夜间</w:t>
                  </w:r>
                </w:p>
              </w:tc>
              <w:tc>
                <w:tcPr>
                  <w:tcW w:w="315" w:type="pct"/>
                  <w:tcMar>
                    <w:top w:w="0" w:type="dxa"/>
                    <w:left w:w="0" w:type="dxa"/>
                    <w:bottom w:w="0" w:type="dxa"/>
                    <w:right w:w="0" w:type="dxa"/>
                  </w:tcMar>
                  <w:vAlign w:val="center"/>
                </w:tcPr>
                <w:p w14:paraId="034D820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昼间</w:t>
                  </w:r>
                </w:p>
              </w:tc>
              <w:tc>
                <w:tcPr>
                  <w:tcW w:w="325" w:type="pct"/>
                  <w:tcMar>
                    <w:top w:w="0" w:type="dxa"/>
                    <w:left w:w="0" w:type="dxa"/>
                    <w:bottom w:w="0" w:type="dxa"/>
                    <w:right w:w="0" w:type="dxa"/>
                  </w:tcMar>
                  <w:vAlign w:val="center"/>
                </w:tcPr>
                <w:p w14:paraId="2F4FCC2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夜间</w:t>
                  </w:r>
                </w:p>
              </w:tc>
              <w:tc>
                <w:tcPr>
                  <w:tcW w:w="314" w:type="pct"/>
                  <w:tcMar>
                    <w:top w:w="0" w:type="dxa"/>
                    <w:left w:w="0" w:type="dxa"/>
                    <w:bottom w:w="0" w:type="dxa"/>
                    <w:right w:w="0" w:type="dxa"/>
                  </w:tcMar>
                  <w:vAlign w:val="center"/>
                </w:tcPr>
                <w:p w14:paraId="63AE226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昼间</w:t>
                  </w:r>
                </w:p>
              </w:tc>
              <w:tc>
                <w:tcPr>
                  <w:tcW w:w="323" w:type="pct"/>
                  <w:tcMar>
                    <w:top w:w="0" w:type="dxa"/>
                    <w:left w:w="0" w:type="dxa"/>
                    <w:bottom w:w="0" w:type="dxa"/>
                    <w:right w:w="0" w:type="dxa"/>
                  </w:tcMar>
                  <w:vAlign w:val="center"/>
                </w:tcPr>
                <w:p w14:paraId="156154F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夜间</w:t>
                  </w:r>
                </w:p>
              </w:tc>
              <w:tc>
                <w:tcPr>
                  <w:tcW w:w="551" w:type="dxa"/>
                  <w:tcMar>
                    <w:top w:w="0" w:type="dxa"/>
                    <w:left w:w="0" w:type="dxa"/>
                    <w:bottom w:w="0" w:type="dxa"/>
                    <w:right w:w="0" w:type="dxa"/>
                  </w:tcMar>
                  <w:vAlign w:val="center"/>
                </w:tcPr>
                <w:p w14:paraId="63332A8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昼间</w:t>
                  </w:r>
                </w:p>
              </w:tc>
              <w:tc>
                <w:tcPr>
                  <w:tcW w:w="552" w:type="dxa"/>
                  <w:tcMar>
                    <w:top w:w="0" w:type="dxa"/>
                    <w:left w:w="0" w:type="dxa"/>
                    <w:bottom w:w="0" w:type="dxa"/>
                    <w:right w:w="0" w:type="dxa"/>
                  </w:tcMar>
                  <w:vAlign w:val="center"/>
                </w:tcPr>
                <w:p w14:paraId="5F6AF40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夜间</w:t>
                  </w:r>
                </w:p>
              </w:tc>
            </w:tr>
            <w:tr w14:paraId="5FFC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Mar>
                    <w:top w:w="0" w:type="dxa"/>
                    <w:left w:w="0" w:type="dxa"/>
                    <w:bottom w:w="0" w:type="dxa"/>
                    <w:right w:w="0" w:type="dxa"/>
                  </w:tcMar>
                  <w:vAlign w:val="center"/>
                </w:tcPr>
                <w:p w14:paraId="46CDFA5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Z1</w:t>
                  </w:r>
                </w:p>
              </w:tc>
              <w:tc>
                <w:tcPr>
                  <w:tcW w:w="871" w:type="pct"/>
                  <w:tcMar>
                    <w:top w:w="0" w:type="dxa"/>
                    <w:left w:w="0" w:type="dxa"/>
                    <w:bottom w:w="0" w:type="dxa"/>
                    <w:right w:w="0" w:type="dxa"/>
                  </w:tcMar>
                  <w:vAlign w:val="center"/>
                </w:tcPr>
                <w:p w14:paraId="47D5BBD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项目厂区南侧</w:t>
                  </w:r>
                </w:p>
              </w:tc>
              <w:tc>
                <w:tcPr>
                  <w:tcW w:w="307" w:type="pct"/>
                  <w:tcMar>
                    <w:top w:w="0" w:type="dxa"/>
                    <w:left w:w="0" w:type="dxa"/>
                    <w:bottom w:w="0" w:type="dxa"/>
                    <w:right w:w="0" w:type="dxa"/>
                  </w:tcMar>
                </w:tcPr>
                <w:p w14:paraId="2229417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59.8</w:t>
                  </w:r>
                </w:p>
              </w:tc>
              <w:tc>
                <w:tcPr>
                  <w:tcW w:w="351" w:type="pct"/>
                  <w:tcMar>
                    <w:top w:w="0" w:type="dxa"/>
                    <w:left w:w="0" w:type="dxa"/>
                    <w:bottom w:w="0" w:type="dxa"/>
                    <w:right w:w="0" w:type="dxa"/>
                  </w:tcMar>
                </w:tcPr>
                <w:p w14:paraId="5A8D5E3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54.5</w:t>
                  </w:r>
                </w:p>
              </w:tc>
              <w:tc>
                <w:tcPr>
                  <w:tcW w:w="315" w:type="pct"/>
                  <w:tcMar>
                    <w:top w:w="0" w:type="dxa"/>
                    <w:left w:w="0" w:type="dxa"/>
                    <w:bottom w:w="0" w:type="dxa"/>
                    <w:right w:w="0" w:type="dxa"/>
                  </w:tcMar>
                  <w:vAlign w:val="center"/>
                </w:tcPr>
                <w:p w14:paraId="6286B81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w:t>
                  </w:r>
                </w:p>
              </w:tc>
              <w:tc>
                <w:tcPr>
                  <w:tcW w:w="321" w:type="pct"/>
                  <w:tcMar>
                    <w:top w:w="0" w:type="dxa"/>
                    <w:left w:w="0" w:type="dxa"/>
                    <w:bottom w:w="0" w:type="dxa"/>
                    <w:right w:w="0" w:type="dxa"/>
                  </w:tcMar>
                  <w:vAlign w:val="center"/>
                </w:tcPr>
                <w:p w14:paraId="57D0A65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315" w:type="pct"/>
                  <w:tcMar>
                    <w:top w:w="0" w:type="dxa"/>
                    <w:left w:w="0" w:type="dxa"/>
                    <w:bottom w:w="0" w:type="dxa"/>
                    <w:right w:w="0" w:type="dxa"/>
                  </w:tcMar>
                  <w:vAlign w:val="center"/>
                </w:tcPr>
                <w:p w14:paraId="5B55C4A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29</w:t>
                  </w:r>
                </w:p>
              </w:tc>
              <w:tc>
                <w:tcPr>
                  <w:tcW w:w="325" w:type="pct"/>
                  <w:tcMar>
                    <w:top w:w="0" w:type="dxa"/>
                    <w:left w:w="0" w:type="dxa"/>
                    <w:bottom w:w="0" w:type="dxa"/>
                    <w:right w:w="0" w:type="dxa"/>
                  </w:tcMar>
                  <w:vAlign w:val="center"/>
                </w:tcPr>
                <w:p w14:paraId="6CBE3D4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29</w:t>
                  </w:r>
                </w:p>
              </w:tc>
              <w:tc>
                <w:tcPr>
                  <w:tcW w:w="315" w:type="pct"/>
                  <w:tcMar>
                    <w:top w:w="0" w:type="dxa"/>
                    <w:left w:w="0" w:type="dxa"/>
                    <w:bottom w:w="0" w:type="dxa"/>
                    <w:right w:w="0" w:type="dxa"/>
                  </w:tcMar>
                  <w:vAlign w:val="center"/>
                </w:tcPr>
                <w:p w14:paraId="057D162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59.8</w:t>
                  </w:r>
                </w:p>
              </w:tc>
              <w:tc>
                <w:tcPr>
                  <w:tcW w:w="325" w:type="pct"/>
                  <w:tcMar>
                    <w:top w:w="0" w:type="dxa"/>
                    <w:left w:w="0" w:type="dxa"/>
                    <w:bottom w:w="0" w:type="dxa"/>
                    <w:right w:w="0" w:type="dxa"/>
                  </w:tcMar>
                  <w:vAlign w:val="center"/>
                </w:tcPr>
                <w:p w14:paraId="3CA5905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54.5</w:t>
                  </w:r>
                </w:p>
              </w:tc>
              <w:tc>
                <w:tcPr>
                  <w:tcW w:w="314" w:type="pct"/>
                  <w:tcMar>
                    <w:top w:w="0" w:type="dxa"/>
                    <w:left w:w="0" w:type="dxa"/>
                    <w:bottom w:w="0" w:type="dxa"/>
                    <w:right w:w="0" w:type="dxa"/>
                  </w:tcMar>
                  <w:vAlign w:val="center"/>
                </w:tcPr>
                <w:p w14:paraId="5C478E7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23" w:type="pct"/>
                  <w:tcMar>
                    <w:top w:w="0" w:type="dxa"/>
                    <w:left w:w="0" w:type="dxa"/>
                    <w:bottom w:w="0" w:type="dxa"/>
                    <w:right w:w="0" w:type="dxa"/>
                  </w:tcMar>
                  <w:vAlign w:val="center"/>
                </w:tcPr>
                <w:p w14:paraId="5D80403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15" w:type="pct"/>
                  <w:tcMar>
                    <w:top w:w="0" w:type="dxa"/>
                    <w:left w:w="0" w:type="dxa"/>
                    <w:bottom w:w="0" w:type="dxa"/>
                    <w:right w:w="0" w:type="dxa"/>
                  </w:tcMar>
                  <w:vAlign w:val="center"/>
                </w:tcPr>
                <w:p w14:paraId="78DFF4E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c>
                <w:tcPr>
                  <w:tcW w:w="330" w:type="pct"/>
                  <w:tcMar>
                    <w:top w:w="0" w:type="dxa"/>
                    <w:left w:w="0" w:type="dxa"/>
                    <w:bottom w:w="0" w:type="dxa"/>
                    <w:right w:w="0" w:type="dxa"/>
                  </w:tcMar>
                  <w:vAlign w:val="center"/>
                </w:tcPr>
                <w:p w14:paraId="075210A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14:paraId="1F46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Mar>
                    <w:top w:w="0" w:type="dxa"/>
                    <w:left w:w="0" w:type="dxa"/>
                    <w:bottom w:w="0" w:type="dxa"/>
                    <w:right w:w="0" w:type="dxa"/>
                  </w:tcMar>
                  <w:vAlign w:val="center"/>
                </w:tcPr>
                <w:p w14:paraId="68D4F39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Z2</w:t>
                  </w:r>
                </w:p>
              </w:tc>
              <w:tc>
                <w:tcPr>
                  <w:tcW w:w="871" w:type="pct"/>
                  <w:tcMar>
                    <w:top w:w="0" w:type="dxa"/>
                    <w:left w:w="0" w:type="dxa"/>
                    <w:bottom w:w="0" w:type="dxa"/>
                    <w:right w:w="0" w:type="dxa"/>
                  </w:tcMar>
                  <w:vAlign w:val="center"/>
                </w:tcPr>
                <w:p w14:paraId="0773757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项目厂区南侧</w:t>
                  </w:r>
                </w:p>
              </w:tc>
              <w:tc>
                <w:tcPr>
                  <w:tcW w:w="307" w:type="pct"/>
                  <w:tcMar>
                    <w:top w:w="0" w:type="dxa"/>
                    <w:left w:w="0" w:type="dxa"/>
                    <w:bottom w:w="0" w:type="dxa"/>
                    <w:right w:w="0" w:type="dxa"/>
                  </w:tcMar>
                </w:tcPr>
                <w:p w14:paraId="4D18F66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56.4</w:t>
                  </w:r>
                </w:p>
              </w:tc>
              <w:tc>
                <w:tcPr>
                  <w:tcW w:w="351" w:type="pct"/>
                  <w:tcMar>
                    <w:top w:w="0" w:type="dxa"/>
                    <w:left w:w="0" w:type="dxa"/>
                    <w:bottom w:w="0" w:type="dxa"/>
                    <w:right w:w="0" w:type="dxa"/>
                  </w:tcMar>
                </w:tcPr>
                <w:p w14:paraId="15A2C4C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52.8</w:t>
                  </w:r>
                </w:p>
              </w:tc>
              <w:tc>
                <w:tcPr>
                  <w:tcW w:w="315" w:type="pct"/>
                  <w:tcMar>
                    <w:top w:w="0" w:type="dxa"/>
                    <w:left w:w="0" w:type="dxa"/>
                    <w:bottom w:w="0" w:type="dxa"/>
                    <w:right w:w="0" w:type="dxa"/>
                  </w:tcMar>
                  <w:vAlign w:val="center"/>
                </w:tcPr>
                <w:p w14:paraId="7C053F7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w:t>
                  </w:r>
                </w:p>
              </w:tc>
              <w:tc>
                <w:tcPr>
                  <w:tcW w:w="321" w:type="pct"/>
                  <w:tcMar>
                    <w:top w:w="0" w:type="dxa"/>
                    <w:left w:w="0" w:type="dxa"/>
                    <w:bottom w:w="0" w:type="dxa"/>
                    <w:right w:w="0" w:type="dxa"/>
                  </w:tcMar>
                  <w:vAlign w:val="center"/>
                </w:tcPr>
                <w:p w14:paraId="60BC788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315" w:type="pct"/>
                  <w:tcMar>
                    <w:top w:w="0" w:type="dxa"/>
                    <w:left w:w="0" w:type="dxa"/>
                    <w:bottom w:w="0" w:type="dxa"/>
                    <w:right w:w="0" w:type="dxa"/>
                  </w:tcMar>
                  <w:vAlign w:val="center"/>
                </w:tcPr>
                <w:p w14:paraId="32E22C4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29</w:t>
                  </w:r>
                </w:p>
              </w:tc>
              <w:tc>
                <w:tcPr>
                  <w:tcW w:w="325" w:type="pct"/>
                  <w:tcMar>
                    <w:top w:w="0" w:type="dxa"/>
                    <w:left w:w="0" w:type="dxa"/>
                    <w:bottom w:w="0" w:type="dxa"/>
                    <w:right w:w="0" w:type="dxa"/>
                  </w:tcMar>
                  <w:vAlign w:val="center"/>
                </w:tcPr>
                <w:p w14:paraId="7FD90DD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29</w:t>
                  </w:r>
                </w:p>
              </w:tc>
              <w:tc>
                <w:tcPr>
                  <w:tcW w:w="315" w:type="pct"/>
                  <w:tcMar>
                    <w:top w:w="0" w:type="dxa"/>
                    <w:left w:w="0" w:type="dxa"/>
                    <w:bottom w:w="0" w:type="dxa"/>
                    <w:right w:w="0" w:type="dxa"/>
                  </w:tcMar>
                  <w:vAlign w:val="center"/>
                </w:tcPr>
                <w:p w14:paraId="36B054E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56.4</w:t>
                  </w:r>
                </w:p>
              </w:tc>
              <w:tc>
                <w:tcPr>
                  <w:tcW w:w="325" w:type="pct"/>
                  <w:tcMar>
                    <w:top w:w="0" w:type="dxa"/>
                    <w:left w:w="0" w:type="dxa"/>
                    <w:bottom w:w="0" w:type="dxa"/>
                    <w:right w:w="0" w:type="dxa"/>
                  </w:tcMar>
                  <w:vAlign w:val="center"/>
                </w:tcPr>
                <w:p w14:paraId="0D7D7FF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52.8</w:t>
                  </w:r>
                </w:p>
              </w:tc>
              <w:tc>
                <w:tcPr>
                  <w:tcW w:w="314" w:type="pct"/>
                  <w:tcMar>
                    <w:top w:w="0" w:type="dxa"/>
                    <w:left w:w="0" w:type="dxa"/>
                    <w:bottom w:w="0" w:type="dxa"/>
                    <w:right w:w="0" w:type="dxa"/>
                  </w:tcMar>
                  <w:vAlign w:val="center"/>
                </w:tcPr>
                <w:p w14:paraId="1718936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23" w:type="pct"/>
                  <w:tcMar>
                    <w:top w:w="0" w:type="dxa"/>
                    <w:left w:w="0" w:type="dxa"/>
                    <w:bottom w:w="0" w:type="dxa"/>
                    <w:right w:w="0" w:type="dxa"/>
                  </w:tcMar>
                  <w:vAlign w:val="center"/>
                </w:tcPr>
                <w:p w14:paraId="6095384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15" w:type="pct"/>
                  <w:tcMar>
                    <w:top w:w="0" w:type="dxa"/>
                    <w:left w:w="0" w:type="dxa"/>
                    <w:bottom w:w="0" w:type="dxa"/>
                    <w:right w:w="0" w:type="dxa"/>
                  </w:tcMar>
                  <w:vAlign w:val="center"/>
                </w:tcPr>
                <w:p w14:paraId="33A9884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c>
                <w:tcPr>
                  <w:tcW w:w="330" w:type="pct"/>
                  <w:tcMar>
                    <w:top w:w="0" w:type="dxa"/>
                    <w:left w:w="0" w:type="dxa"/>
                    <w:bottom w:w="0" w:type="dxa"/>
                    <w:right w:w="0" w:type="dxa"/>
                  </w:tcMar>
                  <w:vAlign w:val="center"/>
                </w:tcPr>
                <w:p w14:paraId="5D797F2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14:paraId="611C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Mar>
                    <w:top w:w="0" w:type="dxa"/>
                    <w:left w:w="0" w:type="dxa"/>
                    <w:bottom w:w="0" w:type="dxa"/>
                    <w:right w:w="0" w:type="dxa"/>
                  </w:tcMar>
                  <w:vAlign w:val="center"/>
                </w:tcPr>
                <w:p w14:paraId="0532EA7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Z3</w:t>
                  </w:r>
                </w:p>
              </w:tc>
              <w:tc>
                <w:tcPr>
                  <w:tcW w:w="871" w:type="pct"/>
                  <w:tcMar>
                    <w:top w:w="0" w:type="dxa"/>
                    <w:left w:w="0" w:type="dxa"/>
                    <w:bottom w:w="0" w:type="dxa"/>
                    <w:right w:w="0" w:type="dxa"/>
                  </w:tcMar>
                  <w:vAlign w:val="center"/>
                </w:tcPr>
                <w:p w14:paraId="1D73415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项目厂区东北侧</w:t>
                  </w:r>
                </w:p>
              </w:tc>
              <w:tc>
                <w:tcPr>
                  <w:tcW w:w="307" w:type="pct"/>
                  <w:tcMar>
                    <w:top w:w="0" w:type="dxa"/>
                    <w:left w:w="0" w:type="dxa"/>
                    <w:bottom w:w="0" w:type="dxa"/>
                    <w:right w:w="0" w:type="dxa"/>
                  </w:tcMar>
                </w:tcPr>
                <w:p w14:paraId="2DBDF7E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60.6</w:t>
                  </w:r>
                </w:p>
              </w:tc>
              <w:tc>
                <w:tcPr>
                  <w:tcW w:w="351" w:type="pct"/>
                  <w:tcMar>
                    <w:top w:w="0" w:type="dxa"/>
                    <w:left w:w="0" w:type="dxa"/>
                    <w:bottom w:w="0" w:type="dxa"/>
                    <w:right w:w="0" w:type="dxa"/>
                  </w:tcMar>
                </w:tcPr>
                <w:p w14:paraId="5F9E14E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53.9</w:t>
                  </w:r>
                </w:p>
              </w:tc>
              <w:tc>
                <w:tcPr>
                  <w:tcW w:w="315" w:type="pct"/>
                  <w:tcMar>
                    <w:top w:w="0" w:type="dxa"/>
                    <w:left w:w="0" w:type="dxa"/>
                    <w:bottom w:w="0" w:type="dxa"/>
                    <w:right w:w="0" w:type="dxa"/>
                  </w:tcMar>
                  <w:vAlign w:val="center"/>
                </w:tcPr>
                <w:p w14:paraId="3E8339F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w:t>
                  </w:r>
                </w:p>
              </w:tc>
              <w:tc>
                <w:tcPr>
                  <w:tcW w:w="321" w:type="pct"/>
                  <w:tcMar>
                    <w:top w:w="0" w:type="dxa"/>
                    <w:left w:w="0" w:type="dxa"/>
                    <w:bottom w:w="0" w:type="dxa"/>
                    <w:right w:w="0" w:type="dxa"/>
                  </w:tcMar>
                  <w:vAlign w:val="center"/>
                </w:tcPr>
                <w:p w14:paraId="7484CDC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315" w:type="pct"/>
                  <w:tcMar>
                    <w:top w:w="0" w:type="dxa"/>
                    <w:left w:w="0" w:type="dxa"/>
                    <w:bottom w:w="0" w:type="dxa"/>
                    <w:right w:w="0" w:type="dxa"/>
                  </w:tcMar>
                  <w:vAlign w:val="center"/>
                </w:tcPr>
                <w:p w14:paraId="67C05B2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39</w:t>
                  </w:r>
                </w:p>
              </w:tc>
              <w:tc>
                <w:tcPr>
                  <w:tcW w:w="325" w:type="pct"/>
                  <w:tcMar>
                    <w:top w:w="0" w:type="dxa"/>
                    <w:left w:w="0" w:type="dxa"/>
                    <w:bottom w:w="0" w:type="dxa"/>
                    <w:right w:w="0" w:type="dxa"/>
                  </w:tcMar>
                  <w:vAlign w:val="center"/>
                </w:tcPr>
                <w:p w14:paraId="497B196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39</w:t>
                  </w:r>
                </w:p>
              </w:tc>
              <w:tc>
                <w:tcPr>
                  <w:tcW w:w="315" w:type="pct"/>
                  <w:tcMar>
                    <w:top w:w="0" w:type="dxa"/>
                    <w:left w:w="0" w:type="dxa"/>
                    <w:bottom w:w="0" w:type="dxa"/>
                    <w:right w:w="0" w:type="dxa"/>
                  </w:tcMar>
                  <w:vAlign w:val="center"/>
                </w:tcPr>
                <w:p w14:paraId="325456B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60.6</w:t>
                  </w:r>
                </w:p>
              </w:tc>
              <w:tc>
                <w:tcPr>
                  <w:tcW w:w="325" w:type="pct"/>
                  <w:tcMar>
                    <w:top w:w="0" w:type="dxa"/>
                    <w:left w:w="0" w:type="dxa"/>
                    <w:bottom w:w="0" w:type="dxa"/>
                    <w:right w:w="0" w:type="dxa"/>
                  </w:tcMar>
                  <w:vAlign w:val="center"/>
                </w:tcPr>
                <w:p w14:paraId="721D034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53.9</w:t>
                  </w:r>
                </w:p>
              </w:tc>
              <w:tc>
                <w:tcPr>
                  <w:tcW w:w="314" w:type="pct"/>
                  <w:tcMar>
                    <w:top w:w="0" w:type="dxa"/>
                    <w:left w:w="0" w:type="dxa"/>
                    <w:bottom w:w="0" w:type="dxa"/>
                    <w:right w:w="0" w:type="dxa"/>
                  </w:tcMar>
                  <w:vAlign w:val="center"/>
                </w:tcPr>
                <w:p w14:paraId="479957D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23" w:type="pct"/>
                  <w:tcMar>
                    <w:top w:w="0" w:type="dxa"/>
                    <w:left w:w="0" w:type="dxa"/>
                    <w:bottom w:w="0" w:type="dxa"/>
                    <w:right w:w="0" w:type="dxa"/>
                  </w:tcMar>
                  <w:vAlign w:val="center"/>
                </w:tcPr>
                <w:p w14:paraId="59165D0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15" w:type="pct"/>
                  <w:tcMar>
                    <w:top w:w="0" w:type="dxa"/>
                    <w:left w:w="0" w:type="dxa"/>
                    <w:bottom w:w="0" w:type="dxa"/>
                    <w:right w:w="0" w:type="dxa"/>
                  </w:tcMar>
                  <w:vAlign w:val="center"/>
                </w:tcPr>
                <w:p w14:paraId="065C233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c>
                <w:tcPr>
                  <w:tcW w:w="330" w:type="pct"/>
                  <w:tcMar>
                    <w:top w:w="0" w:type="dxa"/>
                    <w:left w:w="0" w:type="dxa"/>
                    <w:bottom w:w="0" w:type="dxa"/>
                    <w:right w:w="0" w:type="dxa"/>
                  </w:tcMar>
                  <w:vAlign w:val="center"/>
                </w:tcPr>
                <w:p w14:paraId="021ADD2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14:paraId="7FF6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Mar>
                    <w:top w:w="0" w:type="dxa"/>
                    <w:left w:w="0" w:type="dxa"/>
                    <w:bottom w:w="0" w:type="dxa"/>
                    <w:right w:w="0" w:type="dxa"/>
                  </w:tcMar>
                  <w:vAlign w:val="center"/>
                </w:tcPr>
                <w:p w14:paraId="1BA0CD5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Z4</w:t>
                  </w:r>
                </w:p>
              </w:tc>
              <w:tc>
                <w:tcPr>
                  <w:tcW w:w="871" w:type="pct"/>
                  <w:tcMar>
                    <w:top w:w="0" w:type="dxa"/>
                    <w:left w:w="0" w:type="dxa"/>
                    <w:bottom w:w="0" w:type="dxa"/>
                    <w:right w:w="0" w:type="dxa"/>
                  </w:tcMar>
                  <w:vAlign w:val="center"/>
                </w:tcPr>
                <w:p w14:paraId="7F0E873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项目厂区西北侧</w:t>
                  </w:r>
                </w:p>
              </w:tc>
              <w:tc>
                <w:tcPr>
                  <w:tcW w:w="307" w:type="pct"/>
                  <w:tcMar>
                    <w:top w:w="0" w:type="dxa"/>
                    <w:left w:w="0" w:type="dxa"/>
                    <w:bottom w:w="0" w:type="dxa"/>
                    <w:right w:w="0" w:type="dxa"/>
                  </w:tcMar>
                </w:tcPr>
                <w:p w14:paraId="013D2C3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62.6</w:t>
                  </w:r>
                </w:p>
              </w:tc>
              <w:tc>
                <w:tcPr>
                  <w:tcW w:w="351" w:type="pct"/>
                  <w:tcMar>
                    <w:top w:w="0" w:type="dxa"/>
                    <w:left w:w="0" w:type="dxa"/>
                    <w:bottom w:w="0" w:type="dxa"/>
                    <w:right w:w="0" w:type="dxa"/>
                  </w:tcMar>
                </w:tcPr>
                <w:p w14:paraId="1CE7EB7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53.3</w:t>
                  </w:r>
                </w:p>
              </w:tc>
              <w:tc>
                <w:tcPr>
                  <w:tcW w:w="315" w:type="pct"/>
                  <w:tcMar>
                    <w:top w:w="0" w:type="dxa"/>
                    <w:left w:w="0" w:type="dxa"/>
                    <w:bottom w:w="0" w:type="dxa"/>
                    <w:right w:w="0" w:type="dxa"/>
                  </w:tcMar>
                  <w:vAlign w:val="center"/>
                </w:tcPr>
                <w:p w14:paraId="641C73A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w:t>
                  </w:r>
                </w:p>
              </w:tc>
              <w:tc>
                <w:tcPr>
                  <w:tcW w:w="321" w:type="pct"/>
                  <w:tcMar>
                    <w:top w:w="0" w:type="dxa"/>
                    <w:left w:w="0" w:type="dxa"/>
                    <w:bottom w:w="0" w:type="dxa"/>
                    <w:right w:w="0" w:type="dxa"/>
                  </w:tcMar>
                  <w:vAlign w:val="center"/>
                </w:tcPr>
                <w:p w14:paraId="3F2DD02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315" w:type="pct"/>
                  <w:tcMar>
                    <w:top w:w="0" w:type="dxa"/>
                    <w:left w:w="0" w:type="dxa"/>
                    <w:bottom w:w="0" w:type="dxa"/>
                    <w:right w:w="0" w:type="dxa"/>
                  </w:tcMar>
                  <w:vAlign w:val="center"/>
                </w:tcPr>
                <w:p w14:paraId="54A7EF8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31</w:t>
                  </w:r>
                </w:p>
              </w:tc>
              <w:tc>
                <w:tcPr>
                  <w:tcW w:w="325" w:type="pct"/>
                  <w:tcMar>
                    <w:top w:w="0" w:type="dxa"/>
                    <w:left w:w="0" w:type="dxa"/>
                    <w:bottom w:w="0" w:type="dxa"/>
                    <w:right w:w="0" w:type="dxa"/>
                  </w:tcMar>
                  <w:vAlign w:val="center"/>
                </w:tcPr>
                <w:p w14:paraId="6D6381A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31</w:t>
                  </w:r>
                </w:p>
              </w:tc>
              <w:tc>
                <w:tcPr>
                  <w:tcW w:w="315" w:type="pct"/>
                  <w:tcMar>
                    <w:top w:w="0" w:type="dxa"/>
                    <w:left w:w="0" w:type="dxa"/>
                    <w:bottom w:w="0" w:type="dxa"/>
                    <w:right w:w="0" w:type="dxa"/>
                  </w:tcMar>
                  <w:vAlign w:val="center"/>
                </w:tcPr>
                <w:p w14:paraId="7408A0C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62.6</w:t>
                  </w:r>
                </w:p>
              </w:tc>
              <w:tc>
                <w:tcPr>
                  <w:tcW w:w="325" w:type="pct"/>
                  <w:tcMar>
                    <w:top w:w="0" w:type="dxa"/>
                    <w:left w:w="0" w:type="dxa"/>
                    <w:bottom w:w="0" w:type="dxa"/>
                    <w:right w:w="0" w:type="dxa"/>
                  </w:tcMar>
                  <w:vAlign w:val="center"/>
                </w:tcPr>
                <w:p w14:paraId="299D29A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53.3</w:t>
                  </w:r>
                </w:p>
              </w:tc>
              <w:tc>
                <w:tcPr>
                  <w:tcW w:w="314" w:type="pct"/>
                  <w:tcMar>
                    <w:top w:w="0" w:type="dxa"/>
                    <w:left w:w="0" w:type="dxa"/>
                    <w:bottom w:w="0" w:type="dxa"/>
                    <w:right w:w="0" w:type="dxa"/>
                  </w:tcMar>
                  <w:vAlign w:val="center"/>
                </w:tcPr>
                <w:p w14:paraId="0085270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23" w:type="pct"/>
                  <w:tcMar>
                    <w:top w:w="0" w:type="dxa"/>
                    <w:left w:w="0" w:type="dxa"/>
                    <w:bottom w:w="0" w:type="dxa"/>
                    <w:right w:w="0" w:type="dxa"/>
                  </w:tcMar>
                  <w:vAlign w:val="center"/>
                </w:tcPr>
                <w:p w14:paraId="7E1EAFD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15" w:type="pct"/>
                  <w:tcMar>
                    <w:top w:w="0" w:type="dxa"/>
                    <w:left w:w="0" w:type="dxa"/>
                    <w:bottom w:w="0" w:type="dxa"/>
                    <w:right w:w="0" w:type="dxa"/>
                  </w:tcMar>
                  <w:vAlign w:val="center"/>
                </w:tcPr>
                <w:p w14:paraId="1A18065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c>
                <w:tcPr>
                  <w:tcW w:w="330" w:type="pct"/>
                  <w:tcMar>
                    <w:top w:w="0" w:type="dxa"/>
                    <w:left w:w="0" w:type="dxa"/>
                    <w:bottom w:w="0" w:type="dxa"/>
                    <w:right w:w="0" w:type="dxa"/>
                  </w:tcMar>
                  <w:vAlign w:val="center"/>
                </w:tcPr>
                <w:p w14:paraId="56D5721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14:paraId="5702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Mar>
                    <w:top w:w="0" w:type="dxa"/>
                    <w:left w:w="0" w:type="dxa"/>
                    <w:bottom w:w="0" w:type="dxa"/>
                    <w:right w:w="0" w:type="dxa"/>
                  </w:tcMar>
                  <w:vAlign w:val="center"/>
                </w:tcPr>
                <w:p w14:paraId="0A87DDE4">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Z5</w:t>
                  </w:r>
                </w:p>
              </w:tc>
              <w:tc>
                <w:tcPr>
                  <w:tcW w:w="871" w:type="pct"/>
                  <w:tcMar>
                    <w:top w:w="0" w:type="dxa"/>
                    <w:left w:w="0" w:type="dxa"/>
                    <w:bottom w:w="0" w:type="dxa"/>
                    <w:right w:w="0" w:type="dxa"/>
                  </w:tcMar>
                  <w:vAlign w:val="center"/>
                </w:tcPr>
                <w:p w14:paraId="6A059D7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项目厂区西侧</w:t>
                  </w:r>
                </w:p>
              </w:tc>
              <w:tc>
                <w:tcPr>
                  <w:tcW w:w="307" w:type="pct"/>
                  <w:tcMar>
                    <w:top w:w="0" w:type="dxa"/>
                    <w:left w:w="0" w:type="dxa"/>
                    <w:bottom w:w="0" w:type="dxa"/>
                    <w:right w:w="0" w:type="dxa"/>
                  </w:tcMar>
                </w:tcPr>
                <w:p w14:paraId="46B65AE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55.2</w:t>
                  </w:r>
                </w:p>
              </w:tc>
              <w:tc>
                <w:tcPr>
                  <w:tcW w:w="351" w:type="pct"/>
                  <w:tcMar>
                    <w:top w:w="0" w:type="dxa"/>
                    <w:left w:w="0" w:type="dxa"/>
                    <w:bottom w:w="0" w:type="dxa"/>
                    <w:right w:w="0" w:type="dxa"/>
                  </w:tcMar>
                </w:tcPr>
                <w:p w14:paraId="2519B15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54.4</w:t>
                  </w:r>
                </w:p>
              </w:tc>
              <w:tc>
                <w:tcPr>
                  <w:tcW w:w="315" w:type="pct"/>
                  <w:tcMar>
                    <w:top w:w="0" w:type="dxa"/>
                    <w:left w:w="0" w:type="dxa"/>
                    <w:bottom w:w="0" w:type="dxa"/>
                    <w:right w:w="0" w:type="dxa"/>
                  </w:tcMar>
                  <w:vAlign w:val="center"/>
                </w:tcPr>
                <w:p w14:paraId="588B11C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w:t>
                  </w:r>
                </w:p>
              </w:tc>
              <w:tc>
                <w:tcPr>
                  <w:tcW w:w="321" w:type="pct"/>
                  <w:tcMar>
                    <w:top w:w="0" w:type="dxa"/>
                    <w:left w:w="0" w:type="dxa"/>
                    <w:bottom w:w="0" w:type="dxa"/>
                    <w:right w:w="0" w:type="dxa"/>
                  </w:tcMar>
                  <w:vAlign w:val="center"/>
                </w:tcPr>
                <w:p w14:paraId="558E3F7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315" w:type="pct"/>
                  <w:tcMar>
                    <w:top w:w="0" w:type="dxa"/>
                    <w:left w:w="0" w:type="dxa"/>
                    <w:bottom w:w="0" w:type="dxa"/>
                    <w:right w:w="0" w:type="dxa"/>
                  </w:tcMar>
                  <w:vAlign w:val="center"/>
                </w:tcPr>
                <w:p w14:paraId="2B56B0D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325" w:type="pct"/>
                  <w:tcMar>
                    <w:top w:w="0" w:type="dxa"/>
                    <w:left w:w="0" w:type="dxa"/>
                    <w:bottom w:w="0" w:type="dxa"/>
                    <w:right w:w="0" w:type="dxa"/>
                  </w:tcMar>
                  <w:vAlign w:val="center"/>
                </w:tcPr>
                <w:p w14:paraId="3A3E727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315" w:type="pct"/>
                  <w:tcMar>
                    <w:top w:w="0" w:type="dxa"/>
                    <w:left w:w="0" w:type="dxa"/>
                    <w:bottom w:w="0" w:type="dxa"/>
                    <w:right w:w="0" w:type="dxa"/>
                  </w:tcMar>
                  <w:vAlign w:val="center"/>
                </w:tcPr>
                <w:p w14:paraId="1054546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55.2</w:t>
                  </w:r>
                </w:p>
              </w:tc>
              <w:tc>
                <w:tcPr>
                  <w:tcW w:w="325" w:type="pct"/>
                  <w:tcMar>
                    <w:top w:w="0" w:type="dxa"/>
                    <w:left w:w="0" w:type="dxa"/>
                    <w:bottom w:w="0" w:type="dxa"/>
                    <w:right w:w="0" w:type="dxa"/>
                  </w:tcMar>
                  <w:vAlign w:val="center"/>
                </w:tcPr>
                <w:p w14:paraId="12FB679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54.4</w:t>
                  </w:r>
                </w:p>
              </w:tc>
              <w:tc>
                <w:tcPr>
                  <w:tcW w:w="314" w:type="pct"/>
                  <w:tcMar>
                    <w:top w:w="0" w:type="dxa"/>
                    <w:left w:w="0" w:type="dxa"/>
                    <w:bottom w:w="0" w:type="dxa"/>
                    <w:right w:w="0" w:type="dxa"/>
                  </w:tcMar>
                  <w:vAlign w:val="center"/>
                </w:tcPr>
                <w:p w14:paraId="5BDD531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23" w:type="pct"/>
                  <w:tcMar>
                    <w:top w:w="0" w:type="dxa"/>
                    <w:left w:w="0" w:type="dxa"/>
                    <w:bottom w:w="0" w:type="dxa"/>
                    <w:right w:w="0" w:type="dxa"/>
                  </w:tcMar>
                  <w:vAlign w:val="center"/>
                </w:tcPr>
                <w:p w14:paraId="7C1B700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15" w:type="pct"/>
                  <w:tcMar>
                    <w:top w:w="0" w:type="dxa"/>
                    <w:left w:w="0" w:type="dxa"/>
                    <w:bottom w:w="0" w:type="dxa"/>
                    <w:right w:w="0" w:type="dxa"/>
                  </w:tcMar>
                  <w:vAlign w:val="center"/>
                </w:tcPr>
                <w:p w14:paraId="0511F2A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c>
                <w:tcPr>
                  <w:tcW w:w="330" w:type="pct"/>
                  <w:tcMar>
                    <w:top w:w="0" w:type="dxa"/>
                    <w:left w:w="0" w:type="dxa"/>
                    <w:bottom w:w="0" w:type="dxa"/>
                    <w:right w:w="0" w:type="dxa"/>
                  </w:tcMar>
                  <w:vAlign w:val="center"/>
                </w:tcPr>
                <w:p w14:paraId="56F8C3B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r w14:paraId="43E7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Mar>
                    <w:top w:w="0" w:type="dxa"/>
                    <w:left w:w="0" w:type="dxa"/>
                    <w:bottom w:w="0" w:type="dxa"/>
                    <w:right w:w="0" w:type="dxa"/>
                  </w:tcMar>
                  <w:vAlign w:val="center"/>
                </w:tcPr>
                <w:p w14:paraId="28DDB499">
                  <w:pPr>
                    <w:pStyle w:val="138"/>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Z6</w:t>
                  </w:r>
                </w:p>
              </w:tc>
              <w:tc>
                <w:tcPr>
                  <w:tcW w:w="871" w:type="pct"/>
                  <w:tcMar>
                    <w:top w:w="0" w:type="dxa"/>
                    <w:left w:w="0" w:type="dxa"/>
                    <w:bottom w:w="0" w:type="dxa"/>
                    <w:right w:w="0" w:type="dxa"/>
                  </w:tcMar>
                  <w:vAlign w:val="center"/>
                </w:tcPr>
                <w:p w14:paraId="4F5A3B5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项目厂区西侧</w:t>
                  </w:r>
                </w:p>
              </w:tc>
              <w:tc>
                <w:tcPr>
                  <w:tcW w:w="307" w:type="pct"/>
                  <w:tcMar>
                    <w:top w:w="0" w:type="dxa"/>
                    <w:left w:w="0" w:type="dxa"/>
                    <w:bottom w:w="0" w:type="dxa"/>
                    <w:right w:w="0" w:type="dxa"/>
                  </w:tcMar>
                </w:tcPr>
                <w:p w14:paraId="5626F24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59.0</w:t>
                  </w:r>
                </w:p>
              </w:tc>
              <w:tc>
                <w:tcPr>
                  <w:tcW w:w="351" w:type="pct"/>
                  <w:tcMar>
                    <w:top w:w="0" w:type="dxa"/>
                    <w:left w:w="0" w:type="dxa"/>
                    <w:bottom w:w="0" w:type="dxa"/>
                    <w:right w:w="0" w:type="dxa"/>
                  </w:tcMar>
                </w:tcPr>
                <w:p w14:paraId="53BDEA9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54.2</w:t>
                  </w:r>
                </w:p>
              </w:tc>
              <w:tc>
                <w:tcPr>
                  <w:tcW w:w="315" w:type="pct"/>
                  <w:tcMar>
                    <w:top w:w="0" w:type="dxa"/>
                    <w:left w:w="0" w:type="dxa"/>
                    <w:bottom w:w="0" w:type="dxa"/>
                    <w:right w:w="0" w:type="dxa"/>
                  </w:tcMar>
                  <w:vAlign w:val="center"/>
                </w:tcPr>
                <w:p w14:paraId="7E1DB8B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w:t>
                  </w:r>
                </w:p>
              </w:tc>
              <w:tc>
                <w:tcPr>
                  <w:tcW w:w="321" w:type="pct"/>
                  <w:tcMar>
                    <w:top w:w="0" w:type="dxa"/>
                    <w:left w:w="0" w:type="dxa"/>
                    <w:bottom w:w="0" w:type="dxa"/>
                    <w:right w:w="0" w:type="dxa"/>
                  </w:tcMar>
                  <w:vAlign w:val="center"/>
                </w:tcPr>
                <w:p w14:paraId="760D6AE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315" w:type="pct"/>
                  <w:tcMar>
                    <w:top w:w="0" w:type="dxa"/>
                    <w:left w:w="0" w:type="dxa"/>
                    <w:bottom w:w="0" w:type="dxa"/>
                    <w:right w:w="0" w:type="dxa"/>
                  </w:tcMar>
                  <w:vAlign w:val="center"/>
                </w:tcPr>
                <w:p w14:paraId="5D7C3C2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32</w:t>
                  </w:r>
                </w:p>
              </w:tc>
              <w:tc>
                <w:tcPr>
                  <w:tcW w:w="325" w:type="pct"/>
                  <w:tcMar>
                    <w:top w:w="0" w:type="dxa"/>
                    <w:left w:w="0" w:type="dxa"/>
                    <w:bottom w:w="0" w:type="dxa"/>
                    <w:right w:w="0" w:type="dxa"/>
                  </w:tcMar>
                  <w:vAlign w:val="center"/>
                </w:tcPr>
                <w:p w14:paraId="6C0B99C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32</w:t>
                  </w:r>
                </w:p>
              </w:tc>
              <w:tc>
                <w:tcPr>
                  <w:tcW w:w="315" w:type="pct"/>
                  <w:tcMar>
                    <w:top w:w="0" w:type="dxa"/>
                    <w:left w:w="0" w:type="dxa"/>
                    <w:bottom w:w="0" w:type="dxa"/>
                    <w:right w:w="0" w:type="dxa"/>
                  </w:tcMar>
                  <w:vAlign w:val="center"/>
                </w:tcPr>
                <w:p w14:paraId="1477B09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59.0</w:t>
                  </w:r>
                </w:p>
              </w:tc>
              <w:tc>
                <w:tcPr>
                  <w:tcW w:w="325" w:type="pct"/>
                  <w:tcMar>
                    <w:top w:w="0" w:type="dxa"/>
                    <w:left w:w="0" w:type="dxa"/>
                    <w:bottom w:w="0" w:type="dxa"/>
                    <w:right w:w="0" w:type="dxa"/>
                  </w:tcMar>
                  <w:vAlign w:val="center"/>
                </w:tcPr>
                <w:p w14:paraId="5AB72D1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54.2</w:t>
                  </w:r>
                </w:p>
              </w:tc>
              <w:tc>
                <w:tcPr>
                  <w:tcW w:w="314" w:type="pct"/>
                  <w:tcMar>
                    <w:top w:w="0" w:type="dxa"/>
                    <w:left w:w="0" w:type="dxa"/>
                    <w:bottom w:w="0" w:type="dxa"/>
                    <w:right w:w="0" w:type="dxa"/>
                  </w:tcMar>
                  <w:vAlign w:val="center"/>
                </w:tcPr>
                <w:p w14:paraId="267FFCE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23" w:type="pct"/>
                  <w:tcMar>
                    <w:top w:w="0" w:type="dxa"/>
                    <w:left w:w="0" w:type="dxa"/>
                    <w:bottom w:w="0" w:type="dxa"/>
                    <w:right w:w="0" w:type="dxa"/>
                  </w:tcMar>
                  <w:vAlign w:val="center"/>
                </w:tcPr>
                <w:p w14:paraId="46FED2D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315" w:type="pct"/>
                  <w:tcMar>
                    <w:top w:w="0" w:type="dxa"/>
                    <w:left w:w="0" w:type="dxa"/>
                    <w:bottom w:w="0" w:type="dxa"/>
                    <w:right w:w="0" w:type="dxa"/>
                  </w:tcMar>
                  <w:vAlign w:val="center"/>
                </w:tcPr>
                <w:p w14:paraId="0B5D777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c>
                <w:tcPr>
                  <w:tcW w:w="330" w:type="pct"/>
                  <w:tcMar>
                    <w:top w:w="0" w:type="dxa"/>
                    <w:left w:w="0" w:type="dxa"/>
                    <w:bottom w:w="0" w:type="dxa"/>
                    <w:right w:w="0" w:type="dxa"/>
                  </w:tcMar>
                  <w:vAlign w:val="center"/>
                </w:tcPr>
                <w:p w14:paraId="12917C9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达标</w:t>
                  </w:r>
                </w:p>
              </w:tc>
            </w:tr>
          </w:tbl>
          <w:p w14:paraId="53D3BBE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预测结果可见，四周厂界叠加环境现状值后，昼间、夜间噪声能够达到《工业企业厂界环境噪声排放标准》（GB12348-2008）3类标准；本项目距离环境敏感点的最近距离大于1.5km，项目对环境敏感目标的影响不大。</w:t>
            </w:r>
          </w:p>
          <w:p w14:paraId="0EE02B72">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噪声排放监测要求</w:t>
            </w:r>
          </w:p>
          <w:p w14:paraId="24F6C826">
            <w:pPr>
              <w:ind w:firstLine="480"/>
              <w:rPr>
                <w:rFonts w:cs="Times New Roman"/>
                <w:color w:val="000000" w:themeColor="text1"/>
                <w14:textFill>
                  <w14:solidFill>
                    <w14:schemeClr w14:val="tx1"/>
                  </w14:solidFill>
                </w14:textFill>
              </w:rPr>
            </w:pPr>
            <w:r>
              <w:rPr>
                <w:rFonts w:cs="Times New Roman"/>
                <w:color w:val="000000" w:themeColor="text1"/>
                <w:szCs w:val="32"/>
                <w14:textFill>
                  <w14:solidFill>
                    <w14:schemeClr w14:val="tx1"/>
                  </w14:solidFill>
                </w14:textFill>
              </w:rPr>
              <w:t>北侧、西侧、东侧、南侧厂界噪声应每季度至少开展一次昼夜监测，每次监测1天，监测指标为等效A声级，执行《工业企业厂界环境噪声排放标准》（GB12348-2008）3类标准</w:t>
            </w:r>
            <w:r>
              <w:rPr>
                <w:rFonts w:cs="Times New Roman"/>
                <w:color w:val="000000" w:themeColor="text1"/>
                <w14:textFill>
                  <w14:solidFill>
                    <w14:schemeClr w14:val="tx1"/>
                  </w14:solidFill>
                </w14:textFill>
              </w:rPr>
              <w:t>。</w:t>
            </w:r>
          </w:p>
          <w:p w14:paraId="742F0162">
            <w:pPr>
              <w:pStyle w:val="3"/>
              <w:rPr>
                <w:rFonts w:cs="Times New Roman"/>
                <w:color w:val="000000" w:themeColor="text1"/>
                <w14:textFill>
                  <w14:solidFill>
                    <w14:schemeClr w14:val="tx1"/>
                  </w14:solidFill>
                </w14:textFill>
              </w:rPr>
            </w:pPr>
            <w:bookmarkStart w:id="167" w:name="_Toc747403762"/>
            <w:bookmarkStart w:id="168" w:name="_Toc230448055"/>
            <w:r>
              <w:rPr>
                <w:rFonts w:cs="Times New Roman"/>
                <w:color w:val="000000" w:themeColor="text1"/>
                <w14:textFill>
                  <w14:solidFill>
                    <w14:schemeClr w14:val="tx1"/>
                  </w14:solidFill>
                </w14:textFill>
              </w:rPr>
              <w:t>固废环境影响及防治措施</w:t>
            </w:r>
            <w:bookmarkEnd w:id="167"/>
            <w:bookmarkEnd w:id="168"/>
          </w:p>
          <w:p w14:paraId="2EC42A2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本工程固体废物主要为除尘灰、脱硫灰、 废催化剂、废机油等。除尘灰为烟气除尘器中截留颗粒物产生；脱硫灰为利用干法烟气脱硫过程中产生；废催化剂为SCR设备内催化剂更换周期性产生；废机油为机械用油更换产生。</w:t>
            </w:r>
          </w:p>
          <w:p w14:paraId="63AFEF4C">
            <w:pPr>
              <w:pStyle w:val="4"/>
              <w:rPr>
                <w:rFonts w:cs="Times New Roman"/>
                <w:color w:val="000000" w:themeColor="text1"/>
                <w14:textFill>
                  <w14:solidFill>
                    <w14:schemeClr w14:val="tx1"/>
                  </w14:solidFill>
                </w14:textFill>
              </w:rPr>
            </w:pPr>
            <w:bookmarkStart w:id="169" w:name="_Toc32405"/>
            <w:bookmarkStart w:id="170" w:name="_Toc529200402"/>
            <w:r>
              <w:rPr>
                <w:rFonts w:cs="Times New Roman"/>
                <w:color w:val="000000" w:themeColor="text1"/>
                <w14:textFill>
                  <w14:solidFill>
                    <w14:schemeClr w14:val="tx1"/>
                  </w14:solidFill>
                </w14:textFill>
              </w:rPr>
              <w:t>固体废物污染源</w:t>
            </w:r>
            <w:bookmarkEnd w:id="169"/>
          </w:p>
          <w:bookmarkEnd w:id="170"/>
          <w:p w14:paraId="094F01B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本项目产生的固体废物分工业固废和生活垃圾。其中工业固废有废催化剂、脱硫灰、除尘灰和废矿物油。根据《污染源源强核算技术指南火电》（HJ 888-2018）和《火电厂污染防治可行技术指南》（HJ2301-2017），本次评价采用物料衡算法核算脱硫灰产生量，采用类比法核算其他固体废物产生量。本项目固体废物产排情况一览表详见下表。</w:t>
            </w:r>
          </w:p>
          <w:p w14:paraId="0DA9DD1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（1）脱硫灰产生量</w:t>
            </w:r>
          </w:p>
          <w:p w14:paraId="3E961C6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拟建项目脱硫灰产生量按下式计算：</w:t>
            </w:r>
          </w:p>
          <w:p w14:paraId="5F58472C">
            <w:pPr>
              <w:pStyle w:val="9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974340" cy="535940"/>
                  <wp:effectExtent l="0" t="0" r="0" b="0"/>
                  <wp:docPr id="41" name="图片 102"/>
                  <wp:cNvGraphicFramePr/>
                  <a:graphic xmlns:a="http://schemas.openxmlformats.org/drawingml/2006/main">
                    <a:graphicData uri="http://schemas.openxmlformats.org/drawingml/2006/picture">
                      <pic:pic xmlns:pic="http://schemas.openxmlformats.org/drawingml/2006/picture">
                        <pic:nvPicPr>
                          <pic:cNvPr id="41" name="图片 102"/>
                          <pic:cNvPicPr/>
                        </pic:nvPicPr>
                        <pic:blipFill>
                          <a:blip r:embed="rId54">
                            <a:extLst>
                              <a:ext uri="{28A0092B-C50C-407E-A947-70E740481C1C}">
                                <a14:useLocalDpi xmlns:a14="http://schemas.microsoft.com/office/drawing/2010/main" val="0"/>
                              </a:ext>
                            </a:extLst>
                          </a:blip>
                          <a:srcRect l="4613"/>
                          <a:stretch>
                            <a:fillRect/>
                          </a:stretch>
                        </pic:blipFill>
                        <pic:spPr>
                          <a:xfrm>
                            <a:off x="0" y="0"/>
                            <a:ext cx="2974340" cy="535940"/>
                          </a:xfrm>
                          <a:prstGeom prst="rect">
                            <a:avLst/>
                          </a:prstGeom>
                          <a:noFill/>
                          <a:ln>
                            <a:noFill/>
                          </a:ln>
                          <a:effectLst/>
                        </pic:spPr>
                      </pic:pic>
                    </a:graphicData>
                  </a:graphic>
                </wp:inline>
              </w:drawing>
            </w:r>
          </w:p>
          <w:p w14:paraId="3B83B85A">
            <w:pPr>
              <w:ind w:firstLine="48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式中：M——核算时段内脱硫副产物产生量，t；</w:t>
            </w:r>
          </w:p>
          <w:p w14:paraId="45CF4456">
            <w:pPr>
              <w:ind w:firstLine="48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 xml:space="preserve">      M</w:t>
            </w:r>
            <w:r>
              <w:rPr>
                <w:rFonts w:cs="Times New Roman"/>
                <w:color w:val="000000" w:themeColor="text1"/>
                <w:vertAlign w:val="subscript"/>
                <w:lang w:val="zh-CN"/>
                <w14:textFill>
                  <w14:solidFill>
                    <w14:schemeClr w14:val="tx1"/>
                  </w14:solidFill>
                </w14:textFill>
              </w:rPr>
              <w:t>L</w:t>
            </w:r>
            <w:r>
              <w:rPr>
                <w:rFonts w:cs="Times New Roman"/>
                <w:color w:val="000000" w:themeColor="text1"/>
                <w:lang w:val="zh-CN"/>
                <w14:textFill>
                  <w14:solidFill>
                    <w14:schemeClr w14:val="tx1"/>
                  </w14:solidFill>
                </w14:textFill>
              </w:rPr>
              <w:t>——核算时段内二氧化硫脱</w:t>
            </w:r>
            <w:r>
              <w:rPr>
                <w:rFonts w:cs="Times New Roman"/>
                <w:color w:val="000000" w:themeColor="text1"/>
                <w14:textFill>
                  <w14:solidFill>
                    <w14:schemeClr w14:val="tx1"/>
                  </w14:solidFill>
                </w14:textFill>
              </w:rPr>
              <w:t>除</w:t>
            </w:r>
            <w:r>
              <w:rPr>
                <w:rFonts w:cs="Times New Roman"/>
                <w:color w:val="000000" w:themeColor="text1"/>
                <w:lang w:val="zh-CN"/>
                <w14:textFill>
                  <w14:solidFill>
                    <w14:schemeClr w14:val="tx1"/>
                  </w14:solidFill>
                </w14:textFill>
              </w:rPr>
              <w:t>量，t，取值</w:t>
            </w:r>
            <w:r>
              <w:rPr>
                <w:rFonts w:cs="Times New Roman"/>
                <w:color w:val="000000" w:themeColor="text1"/>
                <w14:textFill>
                  <w14:solidFill>
                    <w14:schemeClr w14:val="tx1"/>
                  </w14:solidFill>
                </w14:textFill>
              </w:rPr>
              <w:t>710.325</w:t>
            </w:r>
            <w:r>
              <w:rPr>
                <w:rFonts w:cs="Times New Roman"/>
                <w:color w:val="000000" w:themeColor="text1"/>
                <w:lang w:val="zh-CN"/>
                <w14:textFill>
                  <w14:solidFill>
                    <w14:schemeClr w14:val="tx1"/>
                  </w14:solidFill>
                </w14:textFill>
              </w:rPr>
              <w:t>；</w:t>
            </w:r>
          </w:p>
          <w:p w14:paraId="7DD5034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      M</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——CaSO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·1/2H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O摩尔质量，</w:t>
            </w:r>
            <w:r>
              <w:rPr>
                <w:rFonts w:cs="Times New Roman"/>
                <w:color w:val="000000" w:themeColor="text1"/>
                <w:lang w:val="zh-CN"/>
                <w14:textFill>
                  <w14:solidFill>
                    <w14:schemeClr w14:val="tx1"/>
                  </w14:solidFill>
                </w14:textFill>
              </w:rPr>
              <w:t>取值</w:t>
            </w:r>
            <w:r>
              <w:rPr>
                <w:rFonts w:cs="Times New Roman"/>
                <w:color w:val="000000" w:themeColor="text1"/>
                <w14:textFill>
                  <w14:solidFill>
                    <w14:schemeClr w14:val="tx1"/>
                  </w14:solidFill>
                </w14:textFill>
              </w:rPr>
              <w:t>129；</w:t>
            </w:r>
          </w:p>
          <w:p w14:paraId="7E93C821">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——CaSO</w:t>
            </w:r>
            <w:r>
              <w:rPr>
                <w:rFonts w:cs="Times New Roman"/>
                <w:color w:val="000000" w:themeColor="text1"/>
                <w:vertAlign w:val="subscript"/>
                <w14:textFill>
                  <w14:solidFill>
                    <w14:schemeClr w14:val="tx1"/>
                  </w14:solidFill>
                </w14:textFill>
              </w:rPr>
              <w:t>4</w:t>
            </w:r>
            <w:r>
              <w:rPr>
                <w:rFonts w:cs="Times New Roman"/>
                <w:color w:val="000000" w:themeColor="text1"/>
                <w14:textFill>
                  <w14:solidFill>
                    <w14:schemeClr w14:val="tx1"/>
                  </w14:solidFill>
                </w14:textFill>
              </w:rPr>
              <w:t>·1/2H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O摩尔质量，</w:t>
            </w:r>
            <w:r>
              <w:rPr>
                <w:rFonts w:cs="Times New Roman"/>
                <w:color w:val="000000" w:themeColor="text1"/>
                <w:lang w:val="zh-CN"/>
                <w14:textFill>
                  <w14:solidFill>
                    <w14:schemeClr w14:val="tx1"/>
                  </w14:solidFill>
                </w14:textFill>
              </w:rPr>
              <w:t>取值</w:t>
            </w:r>
            <w:r>
              <w:rPr>
                <w:rFonts w:cs="Times New Roman"/>
                <w:color w:val="000000" w:themeColor="text1"/>
                <w14:textFill>
                  <w14:solidFill>
                    <w14:schemeClr w14:val="tx1"/>
                  </w14:solidFill>
                </w14:textFill>
              </w:rPr>
              <w:t>145；</w:t>
            </w:r>
          </w:p>
          <w:p w14:paraId="1D1B076E">
            <w:pPr>
              <w:kinsoku w:val="0"/>
              <w:overflowPunct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M</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——CaCO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摩尔质量，</w:t>
            </w:r>
            <w:r>
              <w:rPr>
                <w:rFonts w:cs="Times New Roman"/>
                <w:color w:val="000000" w:themeColor="text1"/>
                <w:lang w:val="zh-CN"/>
                <w14:textFill>
                  <w14:solidFill>
                    <w14:schemeClr w14:val="tx1"/>
                  </w14:solidFill>
                </w14:textFill>
              </w:rPr>
              <w:t>取值</w:t>
            </w:r>
            <w:r>
              <w:rPr>
                <w:rFonts w:cs="Times New Roman"/>
                <w:color w:val="000000" w:themeColor="text1"/>
                <w14:textFill>
                  <w14:solidFill>
                    <w14:schemeClr w14:val="tx1"/>
                  </w14:solidFill>
                </w14:textFill>
              </w:rPr>
              <w:t>100；</w:t>
            </w:r>
          </w:p>
          <w:p w14:paraId="7136D2A8">
            <w:pPr>
              <w:ind w:firstLine="1200" w:firstLineChars="50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M</w:t>
            </w:r>
            <w:r>
              <w:rPr>
                <w:rFonts w:cs="Times New Roman"/>
                <w:color w:val="000000" w:themeColor="text1"/>
                <w:vertAlign w:val="subscript"/>
                <w:lang w:val="zh-CN"/>
                <w14:textFill>
                  <w14:solidFill>
                    <w14:schemeClr w14:val="tx1"/>
                  </w14:solidFill>
                </w14:textFill>
              </w:rPr>
              <w:t>S</w:t>
            </w:r>
            <w:r>
              <w:rPr>
                <w:rFonts w:cs="Times New Roman"/>
                <w:color w:val="000000" w:themeColor="text1"/>
                <w:lang w:val="zh-CN"/>
                <w14:textFill>
                  <w14:solidFill>
                    <w14:schemeClr w14:val="tx1"/>
                  </w14:solidFill>
                </w14:textFill>
              </w:rPr>
              <w:t>——二氧化硫摩尔质量，取值</w:t>
            </w:r>
            <w:r>
              <w:rPr>
                <w:rFonts w:cs="Times New Roman"/>
                <w:color w:val="000000" w:themeColor="text1"/>
                <w14:textFill>
                  <w14:solidFill>
                    <w14:schemeClr w14:val="tx1"/>
                  </w14:solidFill>
                </w14:textFill>
              </w:rPr>
              <w:t>64</w:t>
            </w:r>
            <w:r>
              <w:rPr>
                <w:rFonts w:cs="Times New Roman"/>
                <w:color w:val="000000" w:themeColor="text1"/>
                <w:lang w:val="zh-CN"/>
                <w14:textFill>
                  <w14:solidFill>
                    <w14:schemeClr w14:val="tx1"/>
                  </w14:solidFill>
                </w14:textFill>
              </w:rPr>
              <w:t>。</w:t>
            </w:r>
          </w:p>
          <w:p w14:paraId="354B2C53">
            <w:pPr>
              <w:overflowPunct w:val="0"/>
              <w:autoSpaceDE w:val="0"/>
              <w:autoSpaceDN w:val="0"/>
              <w:adjustRightInd w:val="0"/>
              <w:ind w:firstLine="488"/>
              <w:rPr>
                <w:rFonts w:cs="Times New Roman"/>
                <w:color w:val="000000" w:themeColor="text1"/>
                <w:spacing w:val="2"/>
                <w14:textFill>
                  <w14:solidFill>
                    <w14:schemeClr w14:val="tx1"/>
                  </w14:solidFill>
                </w14:textFill>
              </w:rPr>
            </w:pPr>
            <w:r>
              <w:rPr>
                <w:rFonts w:cs="Times New Roman"/>
                <w:color w:val="000000" w:themeColor="text1"/>
                <w:spacing w:val="2"/>
                <w14:textFill>
                  <w14:solidFill>
                    <w14:schemeClr w14:val="tx1"/>
                  </w14:solidFill>
                </w14:textFill>
              </w:rPr>
              <w:t>根据上式，计算得本项目</w:t>
            </w:r>
            <w:r>
              <w:rPr>
                <w:rFonts w:cs="Times New Roman"/>
                <w:color w:val="000000" w:themeColor="text1"/>
                <w14:textFill>
                  <w14:solidFill>
                    <w14:schemeClr w14:val="tx1"/>
                  </w14:solidFill>
                </w14:textFill>
              </w:rPr>
              <w:t>脱硫灰产生量为2837.97t/a。</w:t>
            </w:r>
          </w:p>
          <w:p w14:paraId="2D4D3BC5">
            <w:pPr>
              <w:overflowPunct w:val="0"/>
              <w:autoSpaceDE w:val="0"/>
              <w:autoSpaceDN w:val="0"/>
              <w:adjustRightInd w:val="0"/>
              <w:ind w:firstLine="488"/>
              <w:rPr>
                <w:rFonts w:cs="Times New Roman"/>
                <w:color w:val="000000" w:themeColor="text1"/>
                <w:spacing w:val="2"/>
                <w14:textFill>
                  <w14:solidFill>
                    <w14:schemeClr w14:val="tx1"/>
                  </w14:solidFill>
                </w14:textFill>
              </w:rPr>
            </w:pPr>
            <w:r>
              <w:rPr>
                <w:rFonts w:cs="Times New Roman"/>
                <w:color w:val="000000" w:themeColor="text1"/>
                <w:spacing w:val="2"/>
                <w14:textFill>
                  <w14:solidFill>
                    <w14:schemeClr w14:val="tx1"/>
                  </w14:solidFill>
                </w14:textFill>
              </w:rPr>
              <w:t>（2）除尘灰</w:t>
            </w:r>
          </w:p>
          <w:p w14:paraId="32A60B02">
            <w:pPr>
              <w:overflowPunct w:val="0"/>
              <w:autoSpaceDE w:val="0"/>
              <w:autoSpaceDN w:val="0"/>
              <w:adjustRightInd w:val="0"/>
              <w:ind w:firstLine="488"/>
              <w:rPr>
                <w:rFonts w:cs="Times New Roman"/>
                <w:color w:val="000000" w:themeColor="text1"/>
                <w:spacing w:val="2"/>
                <w14:textFill>
                  <w14:solidFill>
                    <w14:schemeClr w14:val="tx1"/>
                  </w14:solidFill>
                </w14:textFill>
              </w:rPr>
            </w:pPr>
            <w:r>
              <w:rPr>
                <w:rFonts w:cs="Times New Roman"/>
                <w:color w:val="000000" w:themeColor="text1"/>
                <w:spacing w:val="2"/>
                <w14:textFill>
                  <w14:solidFill>
                    <w14:schemeClr w14:val="tx1"/>
                  </w14:solidFill>
                </w14:textFill>
              </w:rPr>
              <w:t>类比宝钢德盛现有170t/h超高温超高压燃气锅炉，本项目与其建设规模相同，且燃料、环境治理设施相似，因此具备可比性；现有170t/h燃气锅炉除尘灰为1680t/a，本项目除尘灰产生量约为1800 t/a。</w:t>
            </w:r>
          </w:p>
          <w:p w14:paraId="1B164BBB">
            <w:pPr>
              <w:ind w:firstLine="488"/>
              <w:rPr>
                <w:rFonts w:cs="Times New Roman"/>
                <w:color w:val="000000" w:themeColor="text1"/>
                <w14:textFill>
                  <w14:solidFill>
                    <w14:schemeClr w14:val="tx1"/>
                  </w14:solidFill>
                </w14:textFill>
              </w:rPr>
            </w:pPr>
            <w:r>
              <w:rPr>
                <w:rFonts w:cs="Times New Roman"/>
                <w:color w:val="000000" w:themeColor="text1"/>
                <w:spacing w:val="2"/>
                <w14:textFill>
                  <w14:solidFill>
                    <w14:schemeClr w14:val="tx1"/>
                  </w14:solidFill>
                </w14:textFill>
              </w:rPr>
              <w:t>（3）</w:t>
            </w:r>
            <w:r>
              <w:rPr>
                <w:rFonts w:cs="Times New Roman"/>
                <w:color w:val="000000" w:themeColor="text1"/>
                <w14:textFill>
                  <w14:solidFill>
                    <w14:schemeClr w14:val="tx1"/>
                  </w14:solidFill>
                </w14:textFill>
              </w:rPr>
              <w:t>废矿物油</w:t>
            </w:r>
          </w:p>
          <w:p w14:paraId="6B3F861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本项目两台变压器含矿物油分别为9.5t和7.3t，其更换周期为1次/3年，废矿物油产生量为16.8t。</w:t>
            </w:r>
          </w:p>
          <w:p w14:paraId="40A53B86">
            <w:pPr>
              <w:overflowPunct w:val="0"/>
              <w:autoSpaceDE w:val="0"/>
              <w:autoSpaceDN w:val="0"/>
              <w:adjustRightInd w:val="0"/>
              <w:ind w:firstLine="488"/>
              <w:rPr>
                <w:rFonts w:cs="Times New Roman"/>
                <w:color w:val="000000" w:themeColor="text1"/>
                <w:spacing w:val="2"/>
                <w14:textFill>
                  <w14:solidFill>
                    <w14:schemeClr w14:val="tx1"/>
                  </w14:solidFill>
                </w14:textFill>
              </w:rPr>
            </w:pPr>
            <w:r>
              <w:rPr>
                <w:rFonts w:cs="Times New Roman"/>
                <w:color w:val="000000" w:themeColor="text1"/>
                <w:spacing w:val="2"/>
                <w14:textFill>
                  <w14:solidFill>
                    <w14:schemeClr w14:val="tx1"/>
                  </w14:solidFill>
                </w14:textFill>
              </w:rPr>
              <w:t>（4）生活垃圾</w:t>
            </w:r>
          </w:p>
          <w:p w14:paraId="63B524CE">
            <w:pPr>
              <w:overflowPunct w:val="0"/>
              <w:autoSpaceDE w:val="0"/>
              <w:autoSpaceDN w:val="0"/>
              <w:adjustRightInd w:val="0"/>
              <w:ind w:firstLine="488"/>
              <w:rPr>
                <w:rFonts w:cs="Times New Roman"/>
                <w:color w:val="000000" w:themeColor="text1"/>
                <w:spacing w:val="-1"/>
                <w14:textFill>
                  <w14:solidFill>
                    <w14:schemeClr w14:val="tx1"/>
                  </w14:solidFill>
                </w14:textFill>
              </w:rPr>
            </w:pPr>
            <w:r>
              <w:rPr>
                <w:rFonts w:cs="Times New Roman"/>
                <w:color w:val="000000" w:themeColor="text1"/>
                <w:spacing w:val="2"/>
                <w14:textFill>
                  <w14:solidFill>
                    <w14:schemeClr w14:val="tx1"/>
                  </w14:solidFill>
                </w14:textFill>
              </w:rPr>
              <w:t>职工日常生产产生生活垃圾，为一般固废，本项目定员46人，按每人产生0.5kg/d的生活垃圾估算，产生量约为8.395 t/a，委托罗源县环卫部门处置</w:t>
            </w:r>
            <w:r>
              <w:rPr>
                <w:rFonts w:cs="Times New Roman"/>
                <w:color w:val="000000" w:themeColor="text1"/>
                <w:spacing w:val="-1"/>
                <w14:textFill>
                  <w14:solidFill>
                    <w14:schemeClr w14:val="tx1"/>
                  </w14:solidFill>
                </w14:textFill>
              </w:rPr>
              <w:t>。</w:t>
            </w:r>
          </w:p>
          <w:p w14:paraId="6FA6137E">
            <w:pPr>
              <w:pStyle w:val="98"/>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本项目固体废物的产生及处置情况</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0"/>
              <w:gridCol w:w="850"/>
              <w:gridCol w:w="1274"/>
              <w:gridCol w:w="1132"/>
              <w:gridCol w:w="850"/>
              <w:gridCol w:w="850"/>
              <w:gridCol w:w="850"/>
              <w:gridCol w:w="850"/>
              <w:gridCol w:w="1417"/>
            </w:tblGrid>
            <w:tr w14:paraId="24C2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Align w:val="center"/>
                </w:tcPr>
                <w:p w14:paraId="067E53BD">
                  <w:pPr>
                    <w:pStyle w:val="9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99" w:type="pct"/>
                  <w:vAlign w:val="center"/>
                </w:tcPr>
                <w:p w14:paraId="19601A31">
                  <w:pPr>
                    <w:pStyle w:val="90"/>
                    <w:rPr>
                      <w:color w:val="000000" w:themeColor="text1"/>
                      <w14:textFill>
                        <w14:solidFill>
                          <w14:schemeClr w14:val="tx1"/>
                        </w14:solidFill>
                      </w14:textFill>
                    </w:rPr>
                  </w:pPr>
                  <w:r>
                    <w:rPr>
                      <w:color w:val="000000" w:themeColor="text1"/>
                      <w14:textFill>
                        <w14:solidFill>
                          <w14:schemeClr w14:val="tx1"/>
                        </w14:solidFill>
                      </w14:textFill>
                    </w:rPr>
                    <w:t>固废名称</w:t>
                  </w:r>
                </w:p>
              </w:tc>
              <w:tc>
                <w:tcPr>
                  <w:tcW w:w="748" w:type="pct"/>
                  <w:vAlign w:val="center"/>
                </w:tcPr>
                <w:p w14:paraId="0E3D1095">
                  <w:pPr>
                    <w:pStyle w:val="90"/>
                    <w:rPr>
                      <w:color w:val="000000" w:themeColor="text1"/>
                      <w14:textFill>
                        <w14:solidFill>
                          <w14:schemeClr w14:val="tx1"/>
                        </w14:solidFill>
                      </w14:textFill>
                    </w:rPr>
                  </w:pPr>
                  <w:r>
                    <w:rPr>
                      <w:color w:val="000000" w:themeColor="text1"/>
                      <w14:textFill>
                        <w14:solidFill>
                          <w14:schemeClr w14:val="tx1"/>
                        </w14:solidFill>
                      </w14:textFill>
                    </w:rPr>
                    <w:t>固废性质</w:t>
                  </w:r>
                </w:p>
              </w:tc>
              <w:tc>
                <w:tcPr>
                  <w:tcW w:w="665" w:type="pct"/>
                  <w:vAlign w:val="center"/>
                </w:tcPr>
                <w:p w14:paraId="0FE007D6">
                  <w:pPr>
                    <w:pStyle w:val="90"/>
                    <w:rPr>
                      <w:color w:val="000000" w:themeColor="text1"/>
                      <w14:textFill>
                        <w14:solidFill>
                          <w14:schemeClr w14:val="tx1"/>
                        </w14:solidFill>
                      </w14:textFill>
                    </w:rPr>
                  </w:pPr>
                  <w:r>
                    <w:rPr>
                      <w:color w:val="000000" w:themeColor="text1"/>
                      <w14:textFill>
                        <w14:solidFill>
                          <w14:schemeClr w14:val="tx1"/>
                        </w14:solidFill>
                      </w14:textFill>
                    </w:rPr>
                    <w:t>编码</w:t>
                  </w:r>
                </w:p>
              </w:tc>
              <w:tc>
                <w:tcPr>
                  <w:tcW w:w="499" w:type="pct"/>
                  <w:vAlign w:val="center"/>
                </w:tcPr>
                <w:p w14:paraId="1DD26EF7">
                  <w:pPr>
                    <w:pStyle w:val="90"/>
                    <w:rPr>
                      <w:color w:val="000000" w:themeColor="text1"/>
                      <w14:textFill>
                        <w14:solidFill>
                          <w14:schemeClr w14:val="tx1"/>
                        </w14:solidFill>
                      </w14:textFill>
                    </w:rPr>
                  </w:pPr>
                  <w:r>
                    <w:rPr>
                      <w:color w:val="000000" w:themeColor="text1"/>
                      <w14:textFill>
                        <w14:solidFill>
                          <w14:schemeClr w14:val="tx1"/>
                        </w14:solidFill>
                      </w14:textFill>
                    </w:rPr>
                    <w:t>产生量</w:t>
                  </w:r>
                </w:p>
                <w:p w14:paraId="48561E9D">
                  <w:pPr>
                    <w:pStyle w:val="9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499" w:type="pct"/>
                  <w:vAlign w:val="center"/>
                </w:tcPr>
                <w:p w14:paraId="2FB29D6B">
                  <w:pPr>
                    <w:pStyle w:val="90"/>
                    <w:rPr>
                      <w:color w:val="000000" w:themeColor="text1"/>
                      <w14:textFill>
                        <w14:solidFill>
                          <w14:schemeClr w14:val="tx1"/>
                        </w14:solidFill>
                      </w14:textFill>
                    </w:rPr>
                  </w:pPr>
                  <w:r>
                    <w:rPr>
                      <w:color w:val="000000" w:themeColor="text1"/>
                      <w14:textFill>
                        <w14:solidFill>
                          <w14:schemeClr w14:val="tx1"/>
                        </w14:solidFill>
                      </w14:textFill>
                    </w:rPr>
                    <w:t>利用量</w:t>
                  </w:r>
                </w:p>
                <w:p w14:paraId="5D3F33B9">
                  <w:pPr>
                    <w:pStyle w:val="9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499" w:type="pct"/>
                  <w:vAlign w:val="center"/>
                </w:tcPr>
                <w:p w14:paraId="39D2C799">
                  <w:pPr>
                    <w:pStyle w:val="90"/>
                    <w:rPr>
                      <w:color w:val="000000" w:themeColor="text1"/>
                      <w14:textFill>
                        <w14:solidFill>
                          <w14:schemeClr w14:val="tx1"/>
                        </w14:solidFill>
                      </w14:textFill>
                    </w:rPr>
                  </w:pPr>
                  <w:r>
                    <w:rPr>
                      <w:color w:val="000000" w:themeColor="text1"/>
                      <w14:textFill>
                        <w14:solidFill>
                          <w14:schemeClr w14:val="tx1"/>
                        </w14:solidFill>
                      </w14:textFill>
                    </w:rPr>
                    <w:t>处置量（t/a）</w:t>
                  </w:r>
                </w:p>
              </w:tc>
              <w:tc>
                <w:tcPr>
                  <w:tcW w:w="499" w:type="pct"/>
                  <w:vAlign w:val="center"/>
                </w:tcPr>
                <w:p w14:paraId="243386BF">
                  <w:pPr>
                    <w:pStyle w:val="90"/>
                    <w:rPr>
                      <w:color w:val="000000" w:themeColor="text1"/>
                      <w14:textFill>
                        <w14:solidFill>
                          <w14:schemeClr w14:val="tx1"/>
                        </w14:solidFill>
                      </w14:textFill>
                    </w:rPr>
                  </w:pPr>
                  <w:r>
                    <w:rPr>
                      <w:color w:val="000000" w:themeColor="text1"/>
                      <w14:textFill>
                        <w14:solidFill>
                          <w14:schemeClr w14:val="tx1"/>
                        </w14:solidFill>
                      </w14:textFill>
                    </w:rPr>
                    <w:t>贮存方式</w:t>
                  </w:r>
                </w:p>
              </w:tc>
              <w:tc>
                <w:tcPr>
                  <w:tcW w:w="832" w:type="pct"/>
                  <w:vAlign w:val="center"/>
                </w:tcPr>
                <w:p w14:paraId="01309E72">
                  <w:pPr>
                    <w:pStyle w:val="90"/>
                    <w:rPr>
                      <w:color w:val="000000" w:themeColor="text1"/>
                      <w14:textFill>
                        <w14:solidFill>
                          <w14:schemeClr w14:val="tx1"/>
                        </w14:solidFill>
                      </w14:textFill>
                    </w:rPr>
                  </w:pPr>
                  <w:r>
                    <w:rPr>
                      <w:color w:val="000000" w:themeColor="text1"/>
                      <w14:textFill>
                        <w14:solidFill>
                          <w14:schemeClr w14:val="tx1"/>
                        </w14:solidFill>
                      </w14:textFill>
                    </w:rPr>
                    <w:t>利用或处置方式和去向</w:t>
                  </w:r>
                </w:p>
              </w:tc>
            </w:tr>
            <w:tr w14:paraId="70E9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Align w:val="center"/>
                </w:tcPr>
                <w:p w14:paraId="6BD80D65">
                  <w:pPr>
                    <w:pStyle w:val="90"/>
                    <w:rPr>
                      <w:color w:val="000000" w:themeColor="text1"/>
                      <w14:textFill>
                        <w14:solidFill>
                          <w14:schemeClr w14:val="tx1"/>
                        </w14:solidFill>
                      </w14:textFill>
                    </w:rPr>
                  </w:pPr>
                  <w:r>
                    <w:rPr>
                      <w:color w:val="000000" w:themeColor="text1"/>
                      <w14:textFill>
                        <w14:solidFill>
                          <w14:schemeClr w14:val="tx1"/>
                        </w14:solidFill>
                      </w14:textFill>
                    </w:rPr>
                    <w:t>1</w:t>
                  </w:r>
                </w:p>
              </w:tc>
              <w:tc>
                <w:tcPr>
                  <w:tcW w:w="499" w:type="pct"/>
                  <w:vAlign w:val="center"/>
                </w:tcPr>
                <w:p w14:paraId="321F459C">
                  <w:pPr>
                    <w:pStyle w:val="90"/>
                    <w:rPr>
                      <w:color w:val="000000" w:themeColor="text1"/>
                      <w14:textFill>
                        <w14:solidFill>
                          <w14:schemeClr w14:val="tx1"/>
                        </w14:solidFill>
                      </w14:textFill>
                    </w:rPr>
                  </w:pPr>
                  <w:r>
                    <w:rPr>
                      <w:color w:val="000000" w:themeColor="text1"/>
                      <w14:textFill>
                        <w14:solidFill>
                          <w14:schemeClr w14:val="tx1"/>
                        </w14:solidFill>
                      </w14:textFill>
                    </w:rPr>
                    <w:t>脱硫灰</w:t>
                  </w:r>
                </w:p>
              </w:tc>
              <w:tc>
                <w:tcPr>
                  <w:tcW w:w="748" w:type="pct"/>
                  <w:vAlign w:val="center"/>
                </w:tcPr>
                <w:p w14:paraId="6BA2EBC3">
                  <w:pPr>
                    <w:pStyle w:val="90"/>
                    <w:rPr>
                      <w:color w:val="000000" w:themeColor="text1"/>
                      <w14:textFill>
                        <w14:solidFill>
                          <w14:schemeClr w14:val="tx1"/>
                        </w14:solidFill>
                      </w14:textFill>
                    </w:rPr>
                  </w:pPr>
                  <w:r>
                    <w:rPr>
                      <w:color w:val="000000" w:themeColor="text1"/>
                      <w:szCs w:val="21"/>
                      <w14:textFill>
                        <w14:solidFill>
                          <w14:schemeClr w14:val="tx1"/>
                        </w14:solidFill>
                      </w14:textFill>
                    </w:rPr>
                    <w:t>I类</w:t>
                  </w:r>
                  <w:r>
                    <w:rPr>
                      <w:color w:val="000000" w:themeColor="text1"/>
                      <w14:textFill>
                        <w14:solidFill>
                          <w14:schemeClr w14:val="tx1"/>
                        </w14:solidFill>
                      </w14:textFill>
                    </w:rPr>
                    <w:t>一般固废</w:t>
                  </w:r>
                </w:p>
              </w:tc>
              <w:tc>
                <w:tcPr>
                  <w:tcW w:w="665" w:type="pct"/>
                  <w:vAlign w:val="center"/>
                </w:tcPr>
                <w:p w14:paraId="429BE594">
                  <w:pPr>
                    <w:pStyle w:val="90"/>
                    <w:rPr>
                      <w:color w:val="000000" w:themeColor="text1"/>
                      <w14:textFill>
                        <w14:solidFill>
                          <w14:schemeClr w14:val="tx1"/>
                        </w14:solidFill>
                      </w14:textFill>
                    </w:rPr>
                  </w:pPr>
                  <w:r>
                    <w:rPr>
                      <w:color w:val="000000" w:themeColor="text1"/>
                      <w14:textFill>
                        <w14:solidFill>
                          <w14:schemeClr w14:val="tx1"/>
                        </w14:solidFill>
                      </w14:textFill>
                    </w:rPr>
                    <w:t>441-001-65</w:t>
                  </w:r>
                </w:p>
              </w:tc>
              <w:tc>
                <w:tcPr>
                  <w:tcW w:w="499" w:type="pct"/>
                  <w:vAlign w:val="center"/>
                </w:tcPr>
                <w:p w14:paraId="1241941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2837.97</w:t>
                  </w:r>
                </w:p>
              </w:tc>
              <w:tc>
                <w:tcPr>
                  <w:tcW w:w="499" w:type="pct"/>
                  <w:vAlign w:val="center"/>
                </w:tcPr>
                <w:p w14:paraId="6C49DA8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2837.97</w:t>
                  </w:r>
                </w:p>
              </w:tc>
              <w:tc>
                <w:tcPr>
                  <w:tcW w:w="499" w:type="pct"/>
                  <w:vAlign w:val="center"/>
                </w:tcPr>
                <w:p w14:paraId="4F19221F">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499" w:type="pct"/>
                  <w:vAlign w:val="center"/>
                </w:tcPr>
                <w:p w14:paraId="20DAC50F">
                  <w:pPr>
                    <w:pStyle w:val="90"/>
                    <w:rPr>
                      <w:color w:val="000000" w:themeColor="text1"/>
                      <w14:textFill>
                        <w14:solidFill>
                          <w14:schemeClr w14:val="tx1"/>
                        </w14:solidFill>
                      </w14:textFill>
                    </w:rPr>
                  </w:pPr>
                  <w:r>
                    <w:rPr>
                      <w:color w:val="000000" w:themeColor="text1"/>
                      <w14:textFill>
                        <w14:solidFill>
                          <w14:schemeClr w14:val="tx1"/>
                        </w14:solidFill>
                      </w14:textFill>
                    </w:rPr>
                    <w:t>灰仓</w:t>
                  </w:r>
                </w:p>
              </w:tc>
              <w:tc>
                <w:tcPr>
                  <w:tcW w:w="832" w:type="pct"/>
                  <w:vAlign w:val="center"/>
                </w:tcPr>
                <w:p w14:paraId="41DDAFED">
                  <w:pPr>
                    <w:pStyle w:val="90"/>
                    <w:rPr>
                      <w:color w:val="000000" w:themeColor="text1"/>
                      <w14:textFill>
                        <w14:solidFill>
                          <w14:schemeClr w14:val="tx1"/>
                        </w14:solidFill>
                      </w14:textFill>
                    </w:rPr>
                  </w:pPr>
                  <w:r>
                    <w:rPr>
                      <w:color w:val="000000" w:themeColor="text1"/>
                      <w14:textFill>
                        <w14:solidFill>
                          <w14:schemeClr w14:val="tx1"/>
                        </w14:solidFill>
                      </w14:textFill>
                    </w:rPr>
                    <w:t>外售综合利用</w:t>
                  </w:r>
                </w:p>
              </w:tc>
            </w:tr>
            <w:tr w14:paraId="151C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Align w:val="center"/>
                </w:tcPr>
                <w:p w14:paraId="255D1AEA">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499" w:type="pct"/>
                  <w:vAlign w:val="center"/>
                </w:tcPr>
                <w:p w14:paraId="44359F64">
                  <w:pPr>
                    <w:pStyle w:val="90"/>
                    <w:rPr>
                      <w:color w:val="000000" w:themeColor="text1"/>
                      <w14:textFill>
                        <w14:solidFill>
                          <w14:schemeClr w14:val="tx1"/>
                        </w14:solidFill>
                      </w14:textFill>
                    </w:rPr>
                  </w:pPr>
                  <w:r>
                    <w:rPr>
                      <w:color w:val="000000" w:themeColor="text1"/>
                      <w14:textFill>
                        <w14:solidFill>
                          <w14:schemeClr w14:val="tx1"/>
                        </w14:solidFill>
                      </w14:textFill>
                    </w:rPr>
                    <w:t>除尘灰</w:t>
                  </w:r>
                </w:p>
              </w:tc>
              <w:tc>
                <w:tcPr>
                  <w:tcW w:w="748" w:type="pct"/>
                  <w:vAlign w:val="center"/>
                </w:tcPr>
                <w:p w14:paraId="160798A7">
                  <w:pPr>
                    <w:pStyle w:val="90"/>
                    <w:rPr>
                      <w:b/>
                      <w:color w:val="000000" w:themeColor="text1"/>
                      <w14:textFill>
                        <w14:solidFill>
                          <w14:schemeClr w14:val="tx1"/>
                        </w14:solidFill>
                      </w14:textFill>
                    </w:rPr>
                  </w:pPr>
                  <w:r>
                    <w:rPr>
                      <w:color w:val="000000" w:themeColor="text1"/>
                      <w:szCs w:val="21"/>
                      <w14:textFill>
                        <w14:solidFill>
                          <w14:schemeClr w14:val="tx1"/>
                        </w14:solidFill>
                      </w14:textFill>
                    </w:rPr>
                    <w:t>I类</w:t>
                  </w:r>
                  <w:r>
                    <w:rPr>
                      <w:color w:val="000000" w:themeColor="text1"/>
                      <w14:textFill>
                        <w14:solidFill>
                          <w14:schemeClr w14:val="tx1"/>
                        </w14:solidFill>
                      </w14:textFill>
                    </w:rPr>
                    <w:t>一般固废</w:t>
                  </w:r>
                </w:p>
              </w:tc>
              <w:tc>
                <w:tcPr>
                  <w:tcW w:w="665" w:type="pct"/>
                  <w:vAlign w:val="center"/>
                </w:tcPr>
                <w:p w14:paraId="63BC3D5C">
                  <w:pPr>
                    <w:pStyle w:val="90"/>
                    <w:rPr>
                      <w:color w:val="000000" w:themeColor="text1"/>
                      <w14:textFill>
                        <w14:solidFill>
                          <w14:schemeClr w14:val="tx1"/>
                        </w14:solidFill>
                      </w14:textFill>
                    </w:rPr>
                  </w:pPr>
                  <w:r>
                    <w:rPr>
                      <w:color w:val="000000" w:themeColor="text1"/>
                      <w14:textFill>
                        <w14:solidFill>
                          <w14:schemeClr w14:val="tx1"/>
                        </w14:solidFill>
                      </w14:textFill>
                    </w:rPr>
                    <w:t>441-999-66</w:t>
                  </w:r>
                </w:p>
              </w:tc>
              <w:tc>
                <w:tcPr>
                  <w:tcW w:w="499" w:type="pct"/>
                  <w:vAlign w:val="center"/>
                </w:tcPr>
                <w:p w14:paraId="46FE8B7A">
                  <w:pPr>
                    <w:pStyle w:val="90"/>
                    <w:rPr>
                      <w:color w:val="000000" w:themeColor="text1"/>
                      <w14:textFill>
                        <w14:solidFill>
                          <w14:schemeClr w14:val="tx1"/>
                        </w14:solidFill>
                      </w14:textFill>
                    </w:rPr>
                  </w:pPr>
                  <w:r>
                    <w:rPr>
                      <w:color w:val="000000" w:themeColor="text1"/>
                      <w:spacing w:val="2"/>
                      <w14:textFill>
                        <w14:solidFill>
                          <w14:schemeClr w14:val="tx1"/>
                        </w14:solidFill>
                      </w14:textFill>
                    </w:rPr>
                    <w:t>1800</w:t>
                  </w:r>
                </w:p>
              </w:tc>
              <w:tc>
                <w:tcPr>
                  <w:tcW w:w="499" w:type="pct"/>
                  <w:vAlign w:val="center"/>
                </w:tcPr>
                <w:p w14:paraId="0D96A3F5">
                  <w:pPr>
                    <w:pStyle w:val="90"/>
                    <w:rPr>
                      <w:color w:val="000000" w:themeColor="text1"/>
                      <w14:textFill>
                        <w14:solidFill>
                          <w14:schemeClr w14:val="tx1"/>
                        </w14:solidFill>
                      </w14:textFill>
                    </w:rPr>
                  </w:pPr>
                  <w:r>
                    <w:rPr>
                      <w:color w:val="000000" w:themeColor="text1"/>
                      <w:spacing w:val="2"/>
                      <w14:textFill>
                        <w14:solidFill>
                          <w14:schemeClr w14:val="tx1"/>
                        </w14:solidFill>
                      </w14:textFill>
                    </w:rPr>
                    <w:t>1800</w:t>
                  </w:r>
                </w:p>
              </w:tc>
              <w:tc>
                <w:tcPr>
                  <w:tcW w:w="499" w:type="pct"/>
                  <w:vAlign w:val="center"/>
                </w:tcPr>
                <w:p w14:paraId="67F5DD22">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499" w:type="pct"/>
                  <w:vAlign w:val="center"/>
                </w:tcPr>
                <w:p w14:paraId="21C96555">
                  <w:pPr>
                    <w:pStyle w:val="90"/>
                    <w:rPr>
                      <w:color w:val="000000" w:themeColor="text1"/>
                      <w14:textFill>
                        <w14:solidFill>
                          <w14:schemeClr w14:val="tx1"/>
                        </w14:solidFill>
                      </w14:textFill>
                    </w:rPr>
                  </w:pPr>
                  <w:r>
                    <w:rPr>
                      <w:color w:val="000000" w:themeColor="text1"/>
                      <w14:textFill>
                        <w14:solidFill>
                          <w14:schemeClr w14:val="tx1"/>
                        </w14:solidFill>
                      </w14:textFill>
                    </w:rPr>
                    <w:t>灰仓</w:t>
                  </w:r>
                </w:p>
              </w:tc>
              <w:tc>
                <w:tcPr>
                  <w:tcW w:w="832" w:type="pct"/>
                  <w:vAlign w:val="center"/>
                </w:tcPr>
                <w:p w14:paraId="4CE9A350">
                  <w:pPr>
                    <w:pStyle w:val="90"/>
                    <w:rPr>
                      <w:color w:val="000000" w:themeColor="text1"/>
                      <w14:textFill>
                        <w14:solidFill>
                          <w14:schemeClr w14:val="tx1"/>
                        </w14:solidFill>
                      </w14:textFill>
                    </w:rPr>
                  </w:pPr>
                  <w:r>
                    <w:rPr>
                      <w:color w:val="000000" w:themeColor="text1"/>
                      <w14:textFill>
                        <w14:solidFill>
                          <w14:schemeClr w14:val="tx1"/>
                        </w14:solidFill>
                      </w14:textFill>
                    </w:rPr>
                    <w:t>厂内烧结车间回收利用</w:t>
                  </w:r>
                </w:p>
              </w:tc>
            </w:tr>
            <w:tr w14:paraId="59FE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Align w:val="center"/>
                </w:tcPr>
                <w:p w14:paraId="6D3BFA2C">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499" w:type="pct"/>
                  <w:vAlign w:val="center"/>
                </w:tcPr>
                <w:p w14:paraId="7FD3E20D">
                  <w:pPr>
                    <w:pStyle w:val="90"/>
                    <w:rPr>
                      <w:color w:val="000000" w:themeColor="text1"/>
                      <w14:textFill>
                        <w14:solidFill>
                          <w14:schemeClr w14:val="tx1"/>
                        </w14:solidFill>
                      </w14:textFill>
                    </w:rPr>
                  </w:pPr>
                  <w:r>
                    <w:rPr>
                      <w:color w:val="000000" w:themeColor="text1"/>
                      <w14:textFill>
                        <w14:solidFill>
                          <w14:schemeClr w14:val="tx1"/>
                        </w14:solidFill>
                      </w14:textFill>
                    </w:rPr>
                    <w:t>废除尘布袋</w:t>
                  </w:r>
                </w:p>
              </w:tc>
              <w:tc>
                <w:tcPr>
                  <w:tcW w:w="748" w:type="pct"/>
                  <w:vAlign w:val="center"/>
                </w:tcPr>
                <w:p w14:paraId="01D802D1">
                  <w:pPr>
                    <w:pStyle w:val="90"/>
                    <w:rPr>
                      <w:color w:val="000000" w:themeColor="text1"/>
                      <w:szCs w:val="21"/>
                      <w14:textFill>
                        <w14:solidFill>
                          <w14:schemeClr w14:val="tx1"/>
                        </w14:solidFill>
                      </w14:textFill>
                    </w:rPr>
                  </w:pPr>
                  <w:r>
                    <w:rPr>
                      <w:color w:val="000000" w:themeColor="text1"/>
                      <w:szCs w:val="21"/>
                      <w14:textFill>
                        <w14:solidFill>
                          <w14:schemeClr w14:val="tx1"/>
                        </w14:solidFill>
                      </w14:textFill>
                    </w:rPr>
                    <w:t>I类</w:t>
                  </w:r>
                  <w:r>
                    <w:rPr>
                      <w:color w:val="000000" w:themeColor="text1"/>
                      <w14:textFill>
                        <w14:solidFill>
                          <w14:schemeClr w14:val="tx1"/>
                        </w14:solidFill>
                      </w14:textFill>
                    </w:rPr>
                    <w:t>一般固废</w:t>
                  </w:r>
                </w:p>
              </w:tc>
              <w:tc>
                <w:tcPr>
                  <w:tcW w:w="665" w:type="pct"/>
                  <w:vAlign w:val="center"/>
                </w:tcPr>
                <w:p w14:paraId="7B02093F">
                  <w:pPr>
                    <w:pStyle w:val="90"/>
                    <w:rPr>
                      <w:color w:val="000000" w:themeColor="text1"/>
                      <w14:textFill>
                        <w14:solidFill>
                          <w14:schemeClr w14:val="tx1"/>
                        </w14:solidFill>
                      </w14:textFill>
                    </w:rPr>
                  </w:pPr>
                  <w:r>
                    <w:rPr>
                      <w:color w:val="000000" w:themeColor="text1"/>
                      <w14:textFill>
                        <w14:solidFill>
                          <w14:schemeClr w14:val="tx1"/>
                        </w14:solidFill>
                      </w14:textFill>
                    </w:rPr>
                    <w:t>441-999-99</w:t>
                  </w:r>
                </w:p>
              </w:tc>
              <w:tc>
                <w:tcPr>
                  <w:tcW w:w="499" w:type="pct"/>
                  <w:vAlign w:val="center"/>
                </w:tcPr>
                <w:p w14:paraId="638A06EC">
                  <w:pPr>
                    <w:pStyle w:val="90"/>
                    <w:rPr>
                      <w:color w:val="000000" w:themeColor="text1"/>
                      <w:spacing w:val="2"/>
                      <w14:textFill>
                        <w14:solidFill>
                          <w14:schemeClr w14:val="tx1"/>
                        </w14:solidFill>
                      </w14:textFill>
                    </w:rPr>
                  </w:pPr>
                  <w:r>
                    <w:rPr>
                      <w:color w:val="000000" w:themeColor="text1"/>
                      <w:spacing w:val="2"/>
                      <w14:textFill>
                        <w14:solidFill>
                          <w14:schemeClr w14:val="tx1"/>
                        </w14:solidFill>
                      </w14:textFill>
                    </w:rPr>
                    <w:t>5</w:t>
                  </w:r>
                </w:p>
              </w:tc>
              <w:tc>
                <w:tcPr>
                  <w:tcW w:w="499" w:type="pct"/>
                  <w:vAlign w:val="center"/>
                </w:tcPr>
                <w:p w14:paraId="5AC9132F">
                  <w:pPr>
                    <w:pStyle w:val="90"/>
                    <w:rPr>
                      <w:color w:val="000000" w:themeColor="text1"/>
                      <w:spacing w:val="2"/>
                      <w14:textFill>
                        <w14:solidFill>
                          <w14:schemeClr w14:val="tx1"/>
                        </w14:solidFill>
                      </w14:textFill>
                    </w:rPr>
                  </w:pPr>
                  <w:r>
                    <w:rPr>
                      <w:color w:val="000000" w:themeColor="text1"/>
                      <w:spacing w:val="2"/>
                      <w14:textFill>
                        <w14:solidFill>
                          <w14:schemeClr w14:val="tx1"/>
                        </w14:solidFill>
                      </w14:textFill>
                    </w:rPr>
                    <w:t>5</w:t>
                  </w:r>
                </w:p>
              </w:tc>
              <w:tc>
                <w:tcPr>
                  <w:tcW w:w="499" w:type="pct"/>
                  <w:vAlign w:val="center"/>
                </w:tcPr>
                <w:p w14:paraId="6CE1C3DD">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499" w:type="pct"/>
                  <w:vMerge w:val="restart"/>
                  <w:vAlign w:val="center"/>
                </w:tcPr>
                <w:p w14:paraId="510AC606">
                  <w:pPr>
                    <w:pStyle w:val="90"/>
                    <w:rPr>
                      <w:color w:val="000000" w:themeColor="text1"/>
                      <w14:textFill>
                        <w14:solidFill>
                          <w14:schemeClr w14:val="tx1"/>
                        </w14:solidFill>
                      </w14:textFill>
                    </w:rPr>
                  </w:pPr>
                  <w:r>
                    <w:rPr>
                      <w:color w:val="000000" w:themeColor="text1"/>
                      <w14:textFill>
                        <w14:solidFill>
                          <w14:schemeClr w14:val="tx1"/>
                        </w14:solidFill>
                      </w14:textFill>
                    </w:rPr>
                    <w:t>一般固废储存间</w:t>
                  </w:r>
                </w:p>
              </w:tc>
              <w:tc>
                <w:tcPr>
                  <w:tcW w:w="832" w:type="pct"/>
                  <w:vMerge w:val="restart"/>
                  <w:vAlign w:val="center"/>
                </w:tcPr>
                <w:p w14:paraId="06A102A4">
                  <w:pPr>
                    <w:pStyle w:val="90"/>
                    <w:rPr>
                      <w:color w:val="000000" w:themeColor="text1"/>
                      <w14:textFill>
                        <w14:solidFill>
                          <w14:schemeClr w14:val="tx1"/>
                        </w14:solidFill>
                      </w14:textFill>
                    </w:rPr>
                  </w:pPr>
                  <w:r>
                    <w:rPr>
                      <w:color w:val="000000" w:themeColor="text1"/>
                      <w14:textFill>
                        <w14:solidFill>
                          <w14:schemeClr w14:val="tx1"/>
                        </w14:solidFill>
                      </w14:textFill>
                    </w:rPr>
                    <w:t>厂家回收利用</w:t>
                  </w:r>
                </w:p>
              </w:tc>
            </w:tr>
            <w:tr w14:paraId="6E07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Align w:val="center"/>
                </w:tcPr>
                <w:p w14:paraId="73C1F44B">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499" w:type="pct"/>
                  <w:vAlign w:val="center"/>
                </w:tcPr>
                <w:p w14:paraId="6148563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废锰系催化剂</w:t>
                  </w:r>
                </w:p>
              </w:tc>
              <w:tc>
                <w:tcPr>
                  <w:tcW w:w="748" w:type="pct"/>
                  <w:vAlign w:val="center"/>
                </w:tcPr>
                <w:p w14:paraId="49AB5596">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待鉴别</w:t>
                  </w:r>
                </w:p>
              </w:tc>
              <w:tc>
                <w:tcPr>
                  <w:tcW w:w="665" w:type="pct"/>
                  <w:vAlign w:val="center"/>
                </w:tcPr>
                <w:p w14:paraId="7FBEE5C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441-999-99</w:t>
                  </w:r>
                </w:p>
              </w:tc>
              <w:tc>
                <w:tcPr>
                  <w:tcW w:w="499" w:type="pct"/>
                  <w:vAlign w:val="center"/>
                </w:tcPr>
                <w:p w14:paraId="359231A0">
                  <w:pPr>
                    <w:pStyle w:val="90"/>
                    <w:rPr>
                      <w:color w:val="000000" w:themeColor="text1"/>
                      <w:spacing w:val="2"/>
                      <w14:textFill>
                        <w14:solidFill>
                          <w14:schemeClr w14:val="tx1"/>
                        </w14:solidFill>
                      </w14:textFill>
                    </w:rPr>
                  </w:pPr>
                  <w:r>
                    <w:rPr>
                      <w:color w:val="000000" w:themeColor="text1"/>
                      <w:spacing w:val="2"/>
                      <w14:textFill>
                        <w14:solidFill>
                          <w14:schemeClr w14:val="tx1"/>
                        </w14:solidFill>
                      </w14:textFill>
                    </w:rPr>
                    <w:t>8</w:t>
                  </w:r>
                </w:p>
              </w:tc>
              <w:tc>
                <w:tcPr>
                  <w:tcW w:w="499" w:type="pct"/>
                  <w:vAlign w:val="center"/>
                </w:tcPr>
                <w:p w14:paraId="46AE730D">
                  <w:pPr>
                    <w:pStyle w:val="90"/>
                    <w:rPr>
                      <w:color w:val="000000" w:themeColor="text1"/>
                      <w:spacing w:val="2"/>
                      <w14:textFill>
                        <w14:solidFill>
                          <w14:schemeClr w14:val="tx1"/>
                        </w14:solidFill>
                      </w14:textFill>
                    </w:rPr>
                  </w:pPr>
                  <w:r>
                    <w:rPr>
                      <w:color w:val="000000" w:themeColor="text1"/>
                      <w:spacing w:val="2"/>
                      <w14:textFill>
                        <w14:solidFill>
                          <w14:schemeClr w14:val="tx1"/>
                        </w14:solidFill>
                      </w14:textFill>
                    </w:rPr>
                    <w:t>8</w:t>
                  </w:r>
                </w:p>
              </w:tc>
              <w:tc>
                <w:tcPr>
                  <w:tcW w:w="499" w:type="pct"/>
                  <w:vAlign w:val="center"/>
                </w:tcPr>
                <w:p w14:paraId="7A67F576">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499" w:type="pct"/>
                  <w:vMerge w:val="continue"/>
                  <w:vAlign w:val="center"/>
                </w:tcPr>
                <w:p w14:paraId="2381DF33">
                  <w:pPr>
                    <w:pStyle w:val="90"/>
                    <w:rPr>
                      <w:color w:val="000000" w:themeColor="text1"/>
                      <w14:textFill>
                        <w14:solidFill>
                          <w14:schemeClr w14:val="tx1"/>
                        </w14:solidFill>
                      </w14:textFill>
                    </w:rPr>
                  </w:pPr>
                </w:p>
              </w:tc>
              <w:tc>
                <w:tcPr>
                  <w:tcW w:w="832" w:type="pct"/>
                  <w:vMerge w:val="continue"/>
                  <w:vAlign w:val="center"/>
                </w:tcPr>
                <w:p w14:paraId="499950C5">
                  <w:pPr>
                    <w:pStyle w:val="90"/>
                    <w:rPr>
                      <w:color w:val="000000" w:themeColor="text1"/>
                      <w14:textFill>
                        <w14:solidFill>
                          <w14:schemeClr w14:val="tx1"/>
                        </w14:solidFill>
                      </w14:textFill>
                    </w:rPr>
                  </w:pPr>
                </w:p>
              </w:tc>
            </w:tr>
            <w:tr w14:paraId="1CEE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Align w:val="center"/>
                </w:tcPr>
                <w:p w14:paraId="45F9ABC5">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499" w:type="pct"/>
                  <w:vAlign w:val="center"/>
                </w:tcPr>
                <w:p w14:paraId="101F6983">
                  <w:pPr>
                    <w:pStyle w:val="90"/>
                    <w:rPr>
                      <w:color w:val="000000" w:themeColor="text1"/>
                      <w14:textFill>
                        <w14:solidFill>
                          <w14:schemeClr w14:val="tx1"/>
                        </w14:solidFill>
                      </w14:textFill>
                    </w:rPr>
                  </w:pPr>
                  <w:r>
                    <w:rPr>
                      <w:color w:val="000000" w:themeColor="text1"/>
                      <w14:textFill>
                        <w14:solidFill>
                          <w14:schemeClr w14:val="tx1"/>
                        </w14:solidFill>
                      </w14:textFill>
                    </w:rPr>
                    <w:t>废矿物油</w:t>
                  </w:r>
                </w:p>
              </w:tc>
              <w:tc>
                <w:tcPr>
                  <w:tcW w:w="748" w:type="pct"/>
                  <w:vAlign w:val="center"/>
                </w:tcPr>
                <w:p w14:paraId="0417F3C5">
                  <w:pPr>
                    <w:pStyle w:val="90"/>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665" w:type="pct"/>
                  <w:vAlign w:val="center"/>
                </w:tcPr>
                <w:p w14:paraId="2953D1A6">
                  <w:pPr>
                    <w:pStyle w:val="90"/>
                    <w:rPr>
                      <w:color w:val="000000" w:themeColor="text1"/>
                      <w14:textFill>
                        <w14:solidFill>
                          <w14:schemeClr w14:val="tx1"/>
                        </w14:solidFill>
                      </w14:textFill>
                    </w:rPr>
                  </w:pPr>
                  <w:r>
                    <w:rPr>
                      <w:color w:val="000000" w:themeColor="text1"/>
                      <w:szCs w:val="21"/>
                      <w14:textFill>
                        <w14:solidFill>
                          <w14:schemeClr w14:val="tx1"/>
                        </w14:solidFill>
                      </w14:textFill>
                    </w:rPr>
                    <w:t>HW08 900-220-08</w:t>
                  </w:r>
                </w:p>
              </w:tc>
              <w:tc>
                <w:tcPr>
                  <w:tcW w:w="499" w:type="pct"/>
                  <w:vAlign w:val="center"/>
                </w:tcPr>
                <w:p w14:paraId="0E7FF911">
                  <w:pPr>
                    <w:pStyle w:val="90"/>
                    <w:rPr>
                      <w:color w:val="000000" w:themeColor="text1"/>
                      <w14:textFill>
                        <w14:solidFill>
                          <w14:schemeClr w14:val="tx1"/>
                        </w14:solidFill>
                      </w14:textFill>
                    </w:rPr>
                  </w:pPr>
                  <w:r>
                    <w:rPr>
                      <w:color w:val="000000" w:themeColor="text1"/>
                      <w14:textFill>
                        <w14:solidFill>
                          <w14:schemeClr w14:val="tx1"/>
                        </w14:solidFill>
                      </w14:textFill>
                    </w:rPr>
                    <w:t>16.8</w:t>
                  </w:r>
                </w:p>
              </w:tc>
              <w:tc>
                <w:tcPr>
                  <w:tcW w:w="499" w:type="pct"/>
                  <w:vAlign w:val="center"/>
                </w:tcPr>
                <w:p w14:paraId="1375BBEB">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499" w:type="pct"/>
                  <w:vAlign w:val="center"/>
                </w:tcPr>
                <w:p w14:paraId="20B95F24">
                  <w:pPr>
                    <w:pStyle w:val="90"/>
                    <w:rPr>
                      <w:color w:val="000000" w:themeColor="text1"/>
                      <w14:textFill>
                        <w14:solidFill>
                          <w14:schemeClr w14:val="tx1"/>
                        </w14:solidFill>
                      </w14:textFill>
                    </w:rPr>
                  </w:pPr>
                  <w:r>
                    <w:rPr>
                      <w:color w:val="000000" w:themeColor="text1"/>
                      <w14:textFill>
                        <w14:solidFill>
                          <w14:schemeClr w14:val="tx1"/>
                        </w14:solidFill>
                      </w14:textFill>
                    </w:rPr>
                    <w:t>16.8</w:t>
                  </w:r>
                </w:p>
              </w:tc>
              <w:tc>
                <w:tcPr>
                  <w:tcW w:w="499" w:type="pct"/>
                  <w:vAlign w:val="center"/>
                </w:tcPr>
                <w:p w14:paraId="0D905E79">
                  <w:pPr>
                    <w:pStyle w:val="90"/>
                    <w:rPr>
                      <w:color w:val="000000" w:themeColor="text1"/>
                      <w14:textFill>
                        <w14:solidFill>
                          <w14:schemeClr w14:val="tx1"/>
                        </w14:solidFill>
                      </w14:textFill>
                    </w:rPr>
                  </w:pPr>
                  <w:r>
                    <w:rPr>
                      <w:color w:val="000000" w:themeColor="text1"/>
                      <w14:textFill>
                        <w14:solidFill>
                          <w14:schemeClr w14:val="tx1"/>
                        </w14:solidFill>
                      </w14:textFill>
                    </w:rPr>
                    <w:t>危废贮存间</w:t>
                  </w:r>
                </w:p>
              </w:tc>
              <w:tc>
                <w:tcPr>
                  <w:tcW w:w="832" w:type="pct"/>
                  <w:vAlign w:val="center"/>
                </w:tcPr>
                <w:p w14:paraId="4A9A6AF3">
                  <w:pPr>
                    <w:pStyle w:val="90"/>
                    <w:rPr>
                      <w:color w:val="000000" w:themeColor="text1"/>
                      <w14:textFill>
                        <w14:solidFill>
                          <w14:schemeClr w14:val="tx1"/>
                        </w14:solidFill>
                      </w14:textFill>
                    </w:rPr>
                  </w:pPr>
                  <w:r>
                    <w:rPr>
                      <w:color w:val="000000" w:themeColor="text1"/>
                      <w14:textFill>
                        <w14:solidFill>
                          <w14:schemeClr w14:val="tx1"/>
                        </w14:solidFill>
                      </w14:textFill>
                    </w:rPr>
                    <w:t>委托有资质单位处置</w:t>
                  </w:r>
                </w:p>
              </w:tc>
            </w:tr>
            <w:tr w14:paraId="3AD7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Align w:val="center"/>
                </w:tcPr>
                <w:p w14:paraId="62F43EA1">
                  <w:pPr>
                    <w:pStyle w:val="90"/>
                    <w:rPr>
                      <w:color w:val="000000" w:themeColor="text1"/>
                      <w14:textFill>
                        <w14:solidFill>
                          <w14:schemeClr w14:val="tx1"/>
                        </w14:solidFill>
                      </w14:textFill>
                    </w:rPr>
                  </w:pPr>
                  <w:r>
                    <w:rPr>
                      <w:color w:val="000000" w:themeColor="text1"/>
                      <w14:textFill>
                        <w14:solidFill>
                          <w14:schemeClr w14:val="tx1"/>
                        </w14:solidFill>
                      </w14:textFill>
                    </w:rPr>
                    <w:t>7</w:t>
                  </w:r>
                </w:p>
              </w:tc>
              <w:tc>
                <w:tcPr>
                  <w:tcW w:w="499" w:type="pct"/>
                  <w:vAlign w:val="center"/>
                </w:tcPr>
                <w:p w14:paraId="4A9248A0">
                  <w:pPr>
                    <w:pStyle w:val="90"/>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748" w:type="pct"/>
                  <w:vAlign w:val="center"/>
                </w:tcPr>
                <w:p w14:paraId="1C0014EB">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665" w:type="pct"/>
                  <w:vAlign w:val="center"/>
                </w:tcPr>
                <w:p w14:paraId="2EC2C2FE">
                  <w:pPr>
                    <w:pStyle w:val="90"/>
                    <w:rPr>
                      <w:color w:val="000000" w:themeColor="text1"/>
                      <w14:textFill>
                        <w14:solidFill>
                          <w14:schemeClr w14:val="tx1"/>
                        </w14:solidFill>
                      </w14:textFill>
                    </w:rPr>
                  </w:pPr>
                  <w:r>
                    <w:rPr>
                      <w:color w:val="000000" w:themeColor="text1"/>
                      <w14:textFill>
                        <w14:solidFill>
                          <w14:schemeClr w14:val="tx1"/>
                        </w14:solidFill>
                      </w14:textFill>
                    </w:rPr>
                    <w:t>/</w:t>
                  </w:r>
                </w:p>
              </w:tc>
              <w:tc>
                <w:tcPr>
                  <w:tcW w:w="499" w:type="pct"/>
                  <w:vAlign w:val="center"/>
                </w:tcPr>
                <w:p w14:paraId="681C86A9">
                  <w:pPr>
                    <w:pStyle w:val="90"/>
                    <w:rPr>
                      <w:color w:val="000000" w:themeColor="text1"/>
                      <w14:textFill>
                        <w14:solidFill>
                          <w14:schemeClr w14:val="tx1"/>
                        </w14:solidFill>
                      </w14:textFill>
                    </w:rPr>
                  </w:pPr>
                  <w:r>
                    <w:rPr>
                      <w:color w:val="000000" w:themeColor="text1"/>
                      <w14:textFill>
                        <w14:solidFill>
                          <w14:schemeClr w14:val="tx1"/>
                        </w14:solidFill>
                      </w14:textFill>
                    </w:rPr>
                    <w:t>8.395</w:t>
                  </w:r>
                </w:p>
              </w:tc>
              <w:tc>
                <w:tcPr>
                  <w:tcW w:w="499" w:type="pct"/>
                  <w:vAlign w:val="center"/>
                </w:tcPr>
                <w:p w14:paraId="7D14B613">
                  <w:pPr>
                    <w:pStyle w:val="90"/>
                    <w:rPr>
                      <w:color w:val="000000" w:themeColor="text1"/>
                      <w14:textFill>
                        <w14:solidFill>
                          <w14:schemeClr w14:val="tx1"/>
                        </w14:solidFill>
                      </w14:textFill>
                    </w:rPr>
                  </w:pPr>
                  <w:r>
                    <w:rPr>
                      <w:color w:val="000000" w:themeColor="text1"/>
                      <w14:textFill>
                        <w14:solidFill>
                          <w14:schemeClr w14:val="tx1"/>
                        </w14:solidFill>
                      </w14:textFill>
                    </w:rPr>
                    <w:t>0</w:t>
                  </w:r>
                </w:p>
              </w:tc>
              <w:tc>
                <w:tcPr>
                  <w:tcW w:w="499" w:type="pct"/>
                  <w:vAlign w:val="center"/>
                </w:tcPr>
                <w:p w14:paraId="1D0AFF9B">
                  <w:pPr>
                    <w:pStyle w:val="90"/>
                    <w:rPr>
                      <w:color w:val="000000" w:themeColor="text1"/>
                      <w14:textFill>
                        <w14:solidFill>
                          <w14:schemeClr w14:val="tx1"/>
                        </w14:solidFill>
                      </w14:textFill>
                    </w:rPr>
                  </w:pPr>
                  <w:r>
                    <w:rPr>
                      <w:color w:val="000000" w:themeColor="text1"/>
                      <w14:textFill>
                        <w14:solidFill>
                          <w14:schemeClr w14:val="tx1"/>
                        </w14:solidFill>
                      </w14:textFill>
                    </w:rPr>
                    <w:t>8.395</w:t>
                  </w:r>
                </w:p>
              </w:tc>
              <w:tc>
                <w:tcPr>
                  <w:tcW w:w="499" w:type="pct"/>
                  <w:vAlign w:val="center"/>
                </w:tcPr>
                <w:p w14:paraId="34B4250B">
                  <w:pPr>
                    <w:pStyle w:val="90"/>
                    <w:rPr>
                      <w:color w:val="000000" w:themeColor="text1"/>
                      <w14:textFill>
                        <w14:solidFill>
                          <w14:schemeClr w14:val="tx1"/>
                        </w14:solidFill>
                      </w14:textFill>
                    </w:rPr>
                  </w:pPr>
                  <w:r>
                    <w:rPr>
                      <w:color w:val="000000" w:themeColor="text1"/>
                      <w14:textFill>
                        <w14:solidFill>
                          <w14:schemeClr w14:val="tx1"/>
                        </w14:solidFill>
                      </w14:textFill>
                    </w:rPr>
                    <w:t>垃圾临时收集点</w:t>
                  </w:r>
                </w:p>
              </w:tc>
              <w:tc>
                <w:tcPr>
                  <w:tcW w:w="832" w:type="pct"/>
                  <w:vAlign w:val="center"/>
                </w:tcPr>
                <w:p w14:paraId="6CC544A9">
                  <w:pPr>
                    <w:pStyle w:val="90"/>
                    <w:rPr>
                      <w:color w:val="000000" w:themeColor="text1"/>
                      <w14:textFill>
                        <w14:solidFill>
                          <w14:schemeClr w14:val="tx1"/>
                        </w14:solidFill>
                      </w14:textFill>
                    </w:rPr>
                  </w:pPr>
                  <w:r>
                    <w:rPr>
                      <w:color w:val="000000" w:themeColor="text1"/>
                      <w14:textFill>
                        <w14:solidFill>
                          <w14:schemeClr w14:val="tx1"/>
                        </w14:solidFill>
                      </w14:textFill>
                    </w:rPr>
                    <w:t>委托环卫部门处置</w:t>
                  </w:r>
                </w:p>
              </w:tc>
            </w:tr>
          </w:tbl>
          <w:p w14:paraId="3761D21C">
            <w:pPr>
              <w:pStyle w:val="98"/>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主要有毒有害情况一览表</w:t>
            </w:r>
          </w:p>
          <w:tbl>
            <w:tblPr>
              <w:tblStyle w:val="46"/>
              <w:tblW w:w="8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6"/>
              <w:gridCol w:w="1369"/>
              <w:gridCol w:w="2676"/>
              <w:gridCol w:w="1604"/>
              <w:gridCol w:w="1645"/>
            </w:tblGrid>
            <w:tr w14:paraId="3F99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4" w:type="pct"/>
                  <w:vAlign w:val="center"/>
                </w:tcPr>
                <w:p w14:paraId="106FBD7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799" w:type="pct"/>
                  <w:vAlign w:val="center"/>
                </w:tcPr>
                <w:p w14:paraId="0DCEBE5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固废名称</w:t>
                  </w:r>
                </w:p>
              </w:tc>
              <w:tc>
                <w:tcPr>
                  <w:tcW w:w="1561" w:type="pct"/>
                  <w:vAlign w:val="center"/>
                </w:tcPr>
                <w:p w14:paraId="13BD09F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主要有毒有害物质名称</w:t>
                  </w:r>
                </w:p>
              </w:tc>
              <w:tc>
                <w:tcPr>
                  <w:tcW w:w="936" w:type="pct"/>
                  <w:vAlign w:val="center"/>
                </w:tcPr>
                <w:p w14:paraId="38D2B8D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物理性状</w:t>
                  </w:r>
                </w:p>
              </w:tc>
              <w:tc>
                <w:tcPr>
                  <w:tcW w:w="960" w:type="pct"/>
                  <w:vAlign w:val="center"/>
                </w:tcPr>
                <w:p w14:paraId="0DF1A36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环境危险性</w:t>
                  </w:r>
                </w:p>
              </w:tc>
            </w:tr>
            <w:tr w14:paraId="2DD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4" w:type="pct"/>
                  <w:vAlign w:val="center"/>
                </w:tcPr>
                <w:p w14:paraId="38E2FDE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799" w:type="pct"/>
                  <w:vAlign w:val="center"/>
                </w:tcPr>
                <w:p w14:paraId="57FDD7C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脱硫灰</w:t>
                  </w:r>
                </w:p>
              </w:tc>
              <w:tc>
                <w:tcPr>
                  <w:tcW w:w="1561" w:type="pct"/>
                  <w:vAlign w:val="center"/>
                </w:tcPr>
                <w:p w14:paraId="2D0956CA">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NaSO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、NaSO</w:t>
                  </w:r>
                  <w:r>
                    <w:rPr>
                      <w:rFonts w:cs="Times New Roman"/>
                      <w:color w:val="000000" w:themeColor="text1"/>
                      <w:vertAlign w:val="subscript"/>
                      <w14:textFill>
                        <w14:solidFill>
                          <w14:schemeClr w14:val="tx1"/>
                        </w14:solidFill>
                      </w14:textFill>
                    </w:rPr>
                    <w:t>4</w:t>
                  </w:r>
                  <w:r>
                    <w:rPr>
                      <w:rFonts w:cs="Times New Roman"/>
                      <w:color w:val="000000" w:themeColor="text1"/>
                      <w14:textFill>
                        <w14:solidFill>
                          <w14:schemeClr w14:val="tx1"/>
                        </w14:solidFill>
                      </w14:textFill>
                    </w:rPr>
                    <w:t>等</w:t>
                  </w:r>
                </w:p>
              </w:tc>
              <w:tc>
                <w:tcPr>
                  <w:tcW w:w="936" w:type="pct"/>
                  <w:vAlign w:val="center"/>
                </w:tcPr>
                <w:p w14:paraId="23B3524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粉状固体</w:t>
                  </w:r>
                </w:p>
              </w:tc>
              <w:tc>
                <w:tcPr>
                  <w:tcW w:w="960" w:type="pct"/>
                  <w:vAlign w:val="center"/>
                </w:tcPr>
                <w:p w14:paraId="2C96B22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w:t>
                  </w:r>
                </w:p>
              </w:tc>
            </w:tr>
            <w:tr w14:paraId="426B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4" w:type="pct"/>
                  <w:vAlign w:val="center"/>
                </w:tcPr>
                <w:p w14:paraId="1A114A2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799" w:type="pct"/>
                  <w:vAlign w:val="center"/>
                </w:tcPr>
                <w:p w14:paraId="07DC5DE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除尘灰</w:t>
                  </w:r>
                </w:p>
              </w:tc>
              <w:tc>
                <w:tcPr>
                  <w:tcW w:w="1561" w:type="pct"/>
                  <w:vAlign w:val="center"/>
                </w:tcPr>
                <w:p w14:paraId="095BB2B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粉尘等</w:t>
                  </w:r>
                </w:p>
              </w:tc>
              <w:tc>
                <w:tcPr>
                  <w:tcW w:w="936" w:type="pct"/>
                  <w:shd w:val="clear" w:color="auto" w:fill="auto"/>
                  <w:vAlign w:val="center"/>
                </w:tcPr>
                <w:p w14:paraId="1D339C33">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粉状固体</w:t>
                  </w:r>
                </w:p>
              </w:tc>
              <w:tc>
                <w:tcPr>
                  <w:tcW w:w="960" w:type="pct"/>
                  <w:vAlign w:val="center"/>
                </w:tcPr>
                <w:p w14:paraId="05793C5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w:t>
                  </w:r>
                </w:p>
              </w:tc>
            </w:tr>
            <w:tr w14:paraId="5BD0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4" w:type="pct"/>
                  <w:vAlign w:val="center"/>
                </w:tcPr>
                <w:p w14:paraId="229280A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799" w:type="pct"/>
                  <w:vAlign w:val="center"/>
                </w:tcPr>
                <w:p w14:paraId="237EC5E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废除尘布袋</w:t>
                  </w:r>
                </w:p>
              </w:tc>
              <w:tc>
                <w:tcPr>
                  <w:tcW w:w="1561" w:type="pct"/>
                  <w:vAlign w:val="center"/>
                </w:tcPr>
                <w:p w14:paraId="6578B19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截留粉尘等</w:t>
                  </w:r>
                </w:p>
              </w:tc>
              <w:tc>
                <w:tcPr>
                  <w:tcW w:w="936" w:type="pct"/>
                  <w:vAlign w:val="center"/>
                </w:tcPr>
                <w:p w14:paraId="65A7829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固态（纤维织物）</w:t>
                  </w:r>
                </w:p>
              </w:tc>
              <w:tc>
                <w:tcPr>
                  <w:tcW w:w="960" w:type="pct"/>
                  <w:vAlign w:val="center"/>
                </w:tcPr>
                <w:p w14:paraId="3FFF1F8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w:t>
                  </w:r>
                </w:p>
              </w:tc>
            </w:tr>
            <w:tr w14:paraId="65DB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4" w:type="pct"/>
                  <w:vAlign w:val="center"/>
                </w:tcPr>
                <w:p w14:paraId="1C17CBB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799" w:type="pct"/>
                  <w:vAlign w:val="center"/>
                </w:tcPr>
                <w:p w14:paraId="21D42DC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废锰系催化剂</w:t>
                  </w:r>
                </w:p>
              </w:tc>
              <w:tc>
                <w:tcPr>
                  <w:tcW w:w="1561" w:type="pct"/>
                  <w:vAlign w:val="center"/>
                </w:tcPr>
                <w:p w14:paraId="6117507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锰及其化合物等</w:t>
                  </w:r>
                </w:p>
              </w:tc>
              <w:tc>
                <w:tcPr>
                  <w:tcW w:w="936" w:type="pct"/>
                  <w:vAlign w:val="center"/>
                </w:tcPr>
                <w:p w14:paraId="1968D2EF">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固态（多孔蜂窝状或板状）</w:t>
                  </w:r>
                </w:p>
              </w:tc>
              <w:tc>
                <w:tcPr>
                  <w:tcW w:w="960" w:type="pct"/>
                  <w:vAlign w:val="center"/>
                </w:tcPr>
                <w:p w14:paraId="0354127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w:t>
                  </w:r>
                </w:p>
              </w:tc>
            </w:tr>
            <w:tr w14:paraId="6F54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744" w:type="pct"/>
                  <w:vAlign w:val="center"/>
                </w:tcPr>
                <w:p w14:paraId="6923A21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799" w:type="pct"/>
                  <w:vAlign w:val="center"/>
                </w:tcPr>
                <w:p w14:paraId="21413E6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废矿物油</w:t>
                  </w:r>
                </w:p>
              </w:tc>
              <w:tc>
                <w:tcPr>
                  <w:tcW w:w="1561" w:type="pct"/>
                  <w:vAlign w:val="center"/>
                </w:tcPr>
                <w:p w14:paraId="0EE0C73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多环芳烃(PAHs）、苯系物、酚类、重金属</w:t>
                  </w:r>
                </w:p>
              </w:tc>
              <w:tc>
                <w:tcPr>
                  <w:tcW w:w="936" w:type="pct"/>
                  <w:vAlign w:val="center"/>
                </w:tcPr>
                <w:p w14:paraId="4619BCDE">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液态</w:t>
                  </w:r>
                </w:p>
              </w:tc>
              <w:tc>
                <w:tcPr>
                  <w:tcW w:w="960" w:type="pct"/>
                  <w:vAlign w:val="center"/>
                </w:tcPr>
                <w:p w14:paraId="20BD24D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T,1</w:t>
                  </w:r>
                </w:p>
              </w:tc>
            </w:tr>
          </w:tbl>
          <w:p w14:paraId="2FE5D1EF">
            <w:pPr>
              <w:pStyle w:val="4"/>
              <w:rPr>
                <w:rFonts w:cs="Times New Roman"/>
                <w:color w:val="000000" w:themeColor="text1"/>
                <w14:textFill>
                  <w14:solidFill>
                    <w14:schemeClr w14:val="tx1"/>
                  </w14:solidFill>
                </w14:textFill>
              </w:rPr>
            </w:pPr>
            <w:bookmarkStart w:id="171" w:name="_Toc529200456"/>
            <w:r>
              <w:rPr>
                <w:rFonts w:cs="Times New Roman"/>
                <w:color w:val="000000" w:themeColor="text1"/>
                <w14:textFill>
                  <w14:solidFill>
                    <w14:schemeClr w14:val="tx1"/>
                  </w14:solidFill>
                </w14:textFill>
              </w:rPr>
              <w:t>固废综合利用的可行性分析</w:t>
            </w:r>
          </w:p>
          <w:p w14:paraId="4C74E2C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（1）脱硫灰</w:t>
            </w:r>
          </w:p>
          <w:p w14:paraId="030006B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脱硫灰外售水泥生产企业、制砖企业、路基材料生产单位作为建材原料；</w:t>
            </w:r>
          </w:p>
          <w:p w14:paraId="6C97B9C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行性分析：脱硫灰主要成分为钙基脱硫产物，成分稳定、无有毒有害物质，是建材行业成熟的外掺料。该类固废在钢铁、火电行业已大规模应用，技术成熟、市场接纳度高，不存在利用技术瓶颈。项目脱硫灰产生量小、成分均一，便于连续稳定外运利用，不会产生堆存压力。</w:t>
            </w:r>
          </w:p>
          <w:p w14:paraId="04EE764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（2）除尘灰</w:t>
            </w:r>
          </w:p>
          <w:p w14:paraId="58B3466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尘灰全部返回烧结工序配料回用，作为含铁原料重新入炉；除尘灰含铁、碱性组分高，属于优质返生产利用物料，是钢铁行业最成熟、最普遍的固废回用方式。宝钢德盛现有烧结系统具备完善的回用配料设施，可直接接纳本项目除尘灰，无需新增处理设施，技术完全匹配。回用过程简单、稳定，不影响产品质量，也不产生二次污染。</w:t>
            </w:r>
          </w:p>
          <w:p w14:paraId="068DDA9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（3）废除尘布袋</w:t>
            </w:r>
          </w:p>
          <w:p w14:paraId="461748C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除尘布袋由物资回收单位回收再生利用；不可利用部分交由一般工业固废合规处置单位处置。废布袋为工业滤料，无有毒有害物质沾染，不属于危险废物。当前回收渠道成熟，企业可长期签订处置协议，产生量小、清运频率低，管理难度低，不存在堆存与环境风险。</w:t>
            </w:r>
          </w:p>
          <w:p w14:paraId="33D050C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（4）废锰系催化剂 </w:t>
            </w:r>
          </w:p>
          <w:p w14:paraId="5E83231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锰系催化剂在危险特性鉴别报告出具前，按危险废物管理；若鉴别不属于危废，可交由催化剂回收企业回收有价组分；若鉴别属于危废，则交由有资质单位资源化再生或无害化处置。企业具备危废暂存库、台账、转运联单等完整管理条件，处置合法合规、风险可控。</w:t>
            </w:r>
          </w:p>
          <w:p w14:paraId="1C831C7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（5）废矿物油 </w:t>
            </w:r>
          </w:p>
          <w:p w14:paraId="1A0D4B6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矿物油全部委托持有危险废物经营许可证的单位进行资源化再生。废矿物油是危废中处置渠道最稳定、市场最成熟的类别之一。宝钢德盛已与资质单位签订长期处置协议，产生量小、转运规范，符合危废全过程管理要求。</w:t>
            </w:r>
          </w:p>
          <w:p w14:paraId="74D83562">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临时贮存可行性分析</w:t>
            </w:r>
          </w:p>
          <w:p w14:paraId="2C803271">
            <w:pPr>
              <w:numPr>
                <w:ilvl w:val="0"/>
                <w:numId w:val="8"/>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一般工业固体废物贮存场所</w:t>
            </w:r>
          </w:p>
          <w:p w14:paraId="2ECF1FC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拟建项目位于产能置换生产线炼铁车间西北侧，炼铁车间设置有600m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一般工业固体废物贮存场；该区域大宗固废水渣由渣池清掏就地沥干直接转运出厂，各除尘灰存临时贮存于治理设施灰库，直接气送返生产，堆场长期低负荷运行，完全可容纳拟建项目新增一般固废的暂存需求；拟建项目大宗一般固废除尘灰临时贮存于治理设施灰库，直接气送返生产；脱硫灰按3个月转运周期就算，所需暂存容积约710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，堆高按4 m、面积利用率0.8计，所需面积约220m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，因此拟建项目可依托现有600m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贮存场临时贮存一般固废。</w:t>
            </w:r>
          </w:p>
          <w:p w14:paraId="167A59D9">
            <w:pPr>
              <w:numPr>
                <w:ilvl w:val="0"/>
                <w:numId w:val="8"/>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危险废物贮存场</w:t>
            </w:r>
          </w:p>
          <w:p w14:paraId="44FFF41D">
            <w:pPr>
              <w:ind w:firstLine="480"/>
              <w:rPr>
                <w:rFonts w:cs="Times New Roman"/>
                <w:color w:val="000000" w:themeColor="text1"/>
                <w:vertAlign w:val="superscript"/>
                <w14:textFill>
                  <w14:solidFill>
                    <w14:schemeClr w14:val="tx1"/>
                  </w14:solidFill>
                </w14:textFill>
              </w:rPr>
            </w:pPr>
            <w:r>
              <w:rPr>
                <w:rFonts w:cs="Times New Roman"/>
                <w:color w:val="000000" w:themeColor="text1"/>
                <w14:textFill>
                  <w14:solidFill>
                    <w14:schemeClr w14:val="tx1"/>
                  </w14:solidFill>
                </w14:textFill>
              </w:rPr>
              <w:t>拟建项目主要定期产生16.8t/a废矿物油，设计周转周期6个月，其最大暂存量约8.4t，危废密度按1t/m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，所需贮存容积为8.4m³，堆高按1 m、面积利用率按0.7计，则所需面积为12m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；拟建项目危险废物依托厂内现有1200m²危险废物贮存间，面积富余、分区充足、防渗合规、风险可控、管理规范可行。</w:t>
            </w:r>
          </w:p>
          <w:p w14:paraId="7DF92436">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环境管理要求</w:t>
            </w:r>
          </w:p>
          <w:bookmarkEnd w:id="171"/>
          <w:p w14:paraId="34BD40E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（1）一般固体废物环境管理要求</w:t>
            </w:r>
          </w:p>
          <w:p w14:paraId="0F46D8F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拟建项目产生的废催化剂、脱硫灰、除尘灰等属于一般工业固体废物，需按照《一般工业固体废物贮存、处置场污染控制标准》（GB 18599-2020）的要求执行相关措施，对Ⅰ类一般工业固废贮存场所地面进行硬化，设置防风防雨防渗措施。一般工业固废</w:t>
            </w:r>
            <w:r>
              <w:rPr>
                <w:rFonts w:cs="Times New Roman"/>
                <w:color w:val="000000" w:themeColor="text1"/>
                <w:lang w:val="zh-CN"/>
                <w14:textFill>
                  <w14:solidFill>
                    <w14:schemeClr w14:val="tx1"/>
                  </w14:solidFill>
                </w14:textFill>
              </w:rPr>
              <w:t>定期（转运周期为一个月）外运接收单位</w:t>
            </w:r>
            <w:r>
              <w:rPr>
                <w:rFonts w:cs="Times New Roman"/>
                <w:color w:val="000000" w:themeColor="text1"/>
                <w14:textFill>
                  <w14:solidFill>
                    <w14:schemeClr w14:val="tx1"/>
                  </w14:solidFill>
                </w14:textFill>
              </w:rPr>
              <w:t>。</w:t>
            </w:r>
          </w:p>
          <w:p w14:paraId="77E7DE1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①Ⅰ类一般工业固废贮存场地防渗措施：采用改性压实粘土类衬层或具有同等以上隔水效力的其他材料防渗衬层，其防渗性能应至少相当于渗透系数为1.0×10</w:t>
            </w:r>
            <w:r>
              <w:rPr>
                <w:rFonts w:cs="Times New Roman"/>
                <w:color w:val="000000" w:themeColor="text1"/>
                <w:vertAlign w:val="superscript"/>
                <w14:textFill>
                  <w14:solidFill>
                    <w14:schemeClr w14:val="tx1"/>
                  </w14:solidFill>
                </w14:textFill>
              </w:rPr>
              <w:t xml:space="preserve">-5 </w:t>
            </w:r>
            <w:r>
              <w:rPr>
                <w:rFonts w:cs="Times New Roman"/>
                <w:color w:val="000000" w:themeColor="text1"/>
                <w14:textFill>
                  <w14:solidFill>
                    <w14:schemeClr w14:val="tx1"/>
                  </w14:solidFill>
                </w14:textFill>
              </w:rPr>
              <w:t>cm/s且厚度为0.75 m的天然基础层。</w:t>
            </w:r>
          </w:p>
          <w:p w14:paraId="2A04959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②设置防风、防晒、防雨措施：贮存场应设置遮阳、雨等设施，周边应设置导流渠，防止雨水径流进入贮存场内。</w:t>
            </w:r>
          </w:p>
          <w:p w14:paraId="180A255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③设置环境保护图像标志：按GB15562.2-2020设置环境保护图形标志。</w:t>
            </w:r>
          </w:p>
          <w:p w14:paraId="3EAC942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（2）危险废物环境管理要求</w:t>
            </w:r>
          </w:p>
          <w:p w14:paraId="2022958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拟建项目产生的废机油等属于危险废物，危险废物的收集、储存、转运和处置，需严格按照《危险废物贮存污染控制标准》（GB 18597-2023）和《危险废物收集 贮存 运输技术规范》((HJ 2025-2012)执行相关措施。依托现有危险废物暂存间已严格按照《危险废物贮存污染控制标准》（GB18597-2023）的要求建设。地面采用坚固、防渗、耐腐蚀的材料建造，并设计有堵截泄漏的裙脚、围堰、</w:t>
            </w:r>
            <w:r>
              <w:rPr>
                <w:rFonts w:cs="Times New Roman"/>
                <w:color w:val="000000" w:themeColor="text1"/>
                <w:lang w:val="zh-CN"/>
                <w14:textFill>
                  <w14:solidFill>
                    <w14:schemeClr w14:val="tx1"/>
                  </w14:solidFill>
                </w14:textFill>
              </w:rPr>
              <w:t>渗漏液导排收集系统和事故应急池</w:t>
            </w:r>
            <w:r>
              <w:rPr>
                <w:rFonts w:cs="Times New Roman"/>
                <w:color w:val="000000" w:themeColor="text1"/>
                <w14:textFill>
                  <w14:solidFill>
                    <w14:schemeClr w14:val="tx1"/>
                  </w14:solidFill>
                </w14:textFill>
              </w:rPr>
              <w:t>等设施。</w:t>
            </w:r>
          </w:p>
          <w:p w14:paraId="6497F27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加强贮存和处置全过程的管理，具体可如下执行：</w:t>
            </w:r>
          </w:p>
          <w:p w14:paraId="2A9CA0C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①合理设置不渗透间隔分开的区域，每个部分都应有防漏裙脚或储漏盘；禁止一般工业固废和生活垃圾混入；同时也禁止危险废物混入一般工业固废和生活垃圾中。</w:t>
            </w:r>
          </w:p>
          <w:p w14:paraId="2FE6438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定期检查危险废物暂存间的防渗性能。地面与裙脚要用坚固、防渗的材料建造，防止雨水径流进入堆场、避免渗滤液量增加，堆场周边应设置导流渠，并及时清理和检查渗滤液集排水设施及堵截泄漏的裙脚；收集的渗滤液及泄漏液应进入中央污水处理站处理后排放。</w:t>
            </w:r>
          </w:p>
          <w:p w14:paraId="498385C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强化配套设施的配备。危险废物应当使用符合标准的容器分类盛装，无法装入常用容器的危险废物可用防漏胶袋等盛装；禁止将不兼容（相互反应）的危险废物在同一容器内混装；盛装危险废物的容器上必须粘贴符合标准的标签。</w:t>
            </w:r>
          </w:p>
          <w:p w14:paraId="2F31C9C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④装载液体、半固体危险废物的容器内须留足够空间，容器顶部与液体表面之间保留100毫米以上的空间。</w:t>
            </w:r>
          </w:p>
          <w:p w14:paraId="1C3B6AF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⑤检查场区内的通讯设备、照明设施、安全防护服装及工具，检查应急防护设施。</w:t>
            </w:r>
          </w:p>
          <w:p w14:paraId="4058D17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⑥完善维护制度，详细记录固体废物的种类和数量以及其他相关资料并长期保存，供随时查阅。</w:t>
            </w:r>
          </w:p>
          <w:p w14:paraId="4CB364A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⑦项目产生的固体废物产生量、拟采取的处置措施及去向应按《中华人民共和国固体废物污染环境防治法》的规定向当地环境保护主管部门申报，填报危险废物转移电子联单，按要求对拟建项目产生的固体废物特别是危险废物进行全过程严格管理和安全处置。</w:t>
            </w:r>
          </w:p>
          <w:p w14:paraId="22ED7591">
            <w:pPr>
              <w:pStyle w:val="3"/>
              <w:rPr>
                <w:rFonts w:cs="Times New Roman"/>
                <w:color w:val="000000" w:themeColor="text1"/>
                <w14:textFill>
                  <w14:solidFill>
                    <w14:schemeClr w14:val="tx1"/>
                  </w14:solidFill>
                </w14:textFill>
              </w:rPr>
            </w:pPr>
            <w:bookmarkStart w:id="172" w:name="_Toc230448056"/>
            <w:bookmarkStart w:id="173" w:name="_Toc291744680"/>
            <w:r>
              <w:rPr>
                <w:rFonts w:cs="Times New Roman"/>
                <w:color w:val="000000" w:themeColor="text1"/>
                <w14:textFill>
                  <w14:solidFill>
                    <w14:schemeClr w14:val="tx1"/>
                  </w14:solidFill>
                </w14:textFill>
              </w:rPr>
              <w:t>地下水、土壤环境影响及防治措施</w:t>
            </w:r>
            <w:bookmarkEnd w:id="172"/>
            <w:bookmarkEnd w:id="173"/>
          </w:p>
          <w:p w14:paraId="21F9D077">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地下水、土壤污染源</w:t>
            </w:r>
          </w:p>
          <w:p w14:paraId="0ED5D6F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拟建项目为余气及余能发电利用项目，对地下水、土壤环境影响的识别结果见下表。</w:t>
            </w:r>
          </w:p>
          <w:p w14:paraId="068216E1">
            <w:pPr>
              <w:pStyle w:val="353"/>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4.10</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地下水、土壤环境影响源及影响因子识别表</w:t>
            </w:r>
          </w:p>
          <w:tbl>
            <w:tblPr>
              <w:tblStyle w:val="46"/>
              <w:tblW w:w="86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42"/>
              <w:gridCol w:w="1252"/>
              <w:gridCol w:w="1431"/>
              <w:gridCol w:w="1474"/>
              <w:gridCol w:w="1770"/>
              <w:gridCol w:w="1360"/>
            </w:tblGrid>
            <w:tr w14:paraId="22854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2" w:hRule="atLeast"/>
                <w:jc w:val="center"/>
              </w:trPr>
              <w:tc>
                <w:tcPr>
                  <w:tcW w:w="1342" w:type="dxa"/>
                  <w:vAlign w:val="center"/>
                </w:tcPr>
                <w:p w14:paraId="61CCB61A">
                  <w:pPr>
                    <w:pStyle w:val="90"/>
                    <w:rPr>
                      <w:color w:val="000000" w:themeColor="text1"/>
                      <w14:textFill>
                        <w14:solidFill>
                          <w14:schemeClr w14:val="tx1"/>
                        </w14:solidFill>
                      </w14:textFill>
                    </w:rPr>
                  </w:pPr>
                  <w:r>
                    <w:rPr>
                      <w:color w:val="000000" w:themeColor="text1"/>
                      <w14:textFill>
                        <w14:solidFill>
                          <w14:schemeClr w14:val="tx1"/>
                        </w14:solidFill>
                      </w14:textFill>
                    </w:rPr>
                    <w:t>主要污染源</w:t>
                  </w:r>
                </w:p>
              </w:tc>
              <w:tc>
                <w:tcPr>
                  <w:tcW w:w="1252" w:type="dxa"/>
                  <w:vAlign w:val="center"/>
                </w:tcPr>
                <w:p w14:paraId="261A0F72">
                  <w:pPr>
                    <w:pStyle w:val="90"/>
                    <w:rPr>
                      <w:color w:val="000000" w:themeColor="text1"/>
                      <w14:textFill>
                        <w14:solidFill>
                          <w14:schemeClr w14:val="tx1"/>
                        </w14:solidFill>
                      </w14:textFill>
                    </w:rPr>
                  </w:pPr>
                  <w:r>
                    <w:rPr>
                      <w:color w:val="000000" w:themeColor="text1"/>
                      <w14:textFill>
                        <w14:solidFill>
                          <w14:schemeClr w14:val="tx1"/>
                        </w14:solidFill>
                      </w14:textFill>
                    </w:rPr>
                    <w:t>环境要素</w:t>
                  </w:r>
                </w:p>
              </w:tc>
              <w:tc>
                <w:tcPr>
                  <w:tcW w:w="1431" w:type="dxa"/>
                  <w:vAlign w:val="center"/>
                </w:tcPr>
                <w:p w14:paraId="08B48DC4">
                  <w:pPr>
                    <w:pStyle w:val="90"/>
                    <w:rPr>
                      <w:color w:val="000000" w:themeColor="text1"/>
                      <w14:textFill>
                        <w14:solidFill>
                          <w14:schemeClr w14:val="tx1"/>
                        </w14:solidFill>
                      </w14:textFill>
                    </w:rPr>
                  </w:pPr>
                  <w:r>
                    <w:rPr>
                      <w:color w:val="000000" w:themeColor="text1"/>
                      <w14:textFill>
                        <w14:solidFill>
                          <w14:schemeClr w14:val="tx1"/>
                        </w14:solidFill>
                      </w14:textFill>
                    </w:rPr>
                    <w:t>污染途径</w:t>
                  </w:r>
                </w:p>
              </w:tc>
              <w:tc>
                <w:tcPr>
                  <w:tcW w:w="1474" w:type="dxa"/>
                  <w:vAlign w:val="center"/>
                </w:tcPr>
                <w:p w14:paraId="38FC988A">
                  <w:pPr>
                    <w:pStyle w:val="90"/>
                    <w:rPr>
                      <w:color w:val="000000" w:themeColor="text1"/>
                      <w14:textFill>
                        <w14:solidFill>
                          <w14:schemeClr w14:val="tx1"/>
                        </w14:solidFill>
                      </w14:textFill>
                    </w:rPr>
                  </w:pPr>
                  <w:r>
                    <w:rPr>
                      <w:color w:val="000000" w:themeColor="text1"/>
                      <w14:textFill>
                        <w14:solidFill>
                          <w14:schemeClr w14:val="tx1"/>
                        </w14:solidFill>
                      </w14:textFill>
                    </w:rPr>
                    <w:t xml:space="preserve">污染物类型 </w:t>
                  </w:r>
                </w:p>
              </w:tc>
              <w:tc>
                <w:tcPr>
                  <w:tcW w:w="1770" w:type="dxa"/>
                  <w:vAlign w:val="center"/>
                </w:tcPr>
                <w:p w14:paraId="3E7CA3C3">
                  <w:pPr>
                    <w:pStyle w:val="90"/>
                    <w:rPr>
                      <w:color w:val="000000" w:themeColor="text1"/>
                      <w14:textFill>
                        <w14:solidFill>
                          <w14:schemeClr w14:val="tx1"/>
                        </w14:solidFill>
                      </w14:textFill>
                    </w:rPr>
                  </w:pPr>
                  <w:r>
                    <w:rPr>
                      <w:color w:val="000000" w:themeColor="text1"/>
                      <w14:textFill>
                        <w14:solidFill>
                          <w14:schemeClr w14:val="tx1"/>
                        </w14:solidFill>
                      </w14:textFill>
                    </w:rPr>
                    <w:t>特征因子</w:t>
                  </w:r>
                </w:p>
              </w:tc>
              <w:tc>
                <w:tcPr>
                  <w:tcW w:w="1360" w:type="dxa"/>
                  <w:vAlign w:val="center"/>
                </w:tcPr>
                <w:p w14:paraId="41002384">
                  <w:pPr>
                    <w:pStyle w:val="90"/>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06311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2" w:hRule="atLeast"/>
                <w:jc w:val="center"/>
              </w:trPr>
              <w:tc>
                <w:tcPr>
                  <w:tcW w:w="1342" w:type="dxa"/>
                  <w:vAlign w:val="center"/>
                </w:tcPr>
                <w:p w14:paraId="306D2DEA">
                  <w:pPr>
                    <w:pStyle w:val="90"/>
                    <w:rPr>
                      <w:color w:val="000000" w:themeColor="text1"/>
                      <w14:textFill>
                        <w14:solidFill>
                          <w14:schemeClr w14:val="tx1"/>
                        </w14:solidFill>
                      </w14:textFill>
                    </w:rPr>
                  </w:pPr>
                  <w:r>
                    <w:rPr>
                      <w:color w:val="000000" w:themeColor="text1"/>
                      <w14:textFill>
                        <w14:solidFill>
                          <w14:schemeClr w14:val="tx1"/>
                        </w14:solidFill>
                      </w14:textFill>
                    </w:rPr>
                    <w:t>汽轮机、锅炉、排水管</w:t>
                  </w:r>
                </w:p>
              </w:tc>
              <w:tc>
                <w:tcPr>
                  <w:tcW w:w="1252" w:type="dxa"/>
                  <w:vAlign w:val="center"/>
                </w:tcPr>
                <w:p w14:paraId="4B588E18">
                  <w:pPr>
                    <w:pStyle w:val="90"/>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1431" w:type="dxa"/>
                  <w:vAlign w:val="center"/>
                </w:tcPr>
                <w:p w14:paraId="63C59C64">
                  <w:pPr>
                    <w:pStyle w:val="90"/>
                    <w:rPr>
                      <w:color w:val="000000" w:themeColor="text1"/>
                      <w14:textFill>
                        <w14:solidFill>
                          <w14:schemeClr w14:val="tx1"/>
                        </w14:solidFill>
                      </w14:textFill>
                    </w:rPr>
                  </w:pPr>
                  <w:r>
                    <w:rPr>
                      <w:color w:val="000000" w:themeColor="text1"/>
                      <w14:textFill>
                        <w14:solidFill>
                          <w14:schemeClr w14:val="tx1"/>
                        </w14:solidFill>
                      </w14:textFill>
                    </w:rPr>
                    <w:t>垂直入渗</w:t>
                  </w:r>
                </w:p>
              </w:tc>
              <w:tc>
                <w:tcPr>
                  <w:tcW w:w="1474" w:type="dxa"/>
                  <w:vAlign w:val="center"/>
                </w:tcPr>
                <w:p w14:paraId="325E084B">
                  <w:pPr>
                    <w:pStyle w:val="90"/>
                    <w:rPr>
                      <w:color w:val="000000" w:themeColor="text1"/>
                      <w14:textFill>
                        <w14:solidFill>
                          <w14:schemeClr w14:val="tx1"/>
                        </w14:solidFill>
                      </w14:textFill>
                    </w:rPr>
                  </w:pPr>
                  <w:r>
                    <w:rPr>
                      <w:color w:val="000000" w:themeColor="text1"/>
                      <w14:textFill>
                        <w14:solidFill>
                          <w14:schemeClr w14:val="tx1"/>
                        </w14:solidFill>
                      </w14:textFill>
                    </w:rPr>
                    <w:t>生产废水、矿物油</w:t>
                  </w:r>
                </w:p>
              </w:tc>
              <w:tc>
                <w:tcPr>
                  <w:tcW w:w="1770" w:type="dxa"/>
                  <w:vAlign w:val="center"/>
                </w:tcPr>
                <w:p w14:paraId="2B8057D2">
                  <w:pPr>
                    <w:pStyle w:val="90"/>
                    <w:rPr>
                      <w:color w:val="000000" w:themeColor="text1"/>
                      <w14:textFill>
                        <w14:solidFill>
                          <w14:schemeClr w14:val="tx1"/>
                        </w14:solidFill>
                      </w14:textFill>
                    </w:rPr>
                  </w:pPr>
                  <w:r>
                    <w:rPr>
                      <w:color w:val="000000" w:themeColor="text1"/>
                      <w14:textFill>
                        <w14:solidFill>
                          <w14:schemeClr w14:val="tx1"/>
                        </w14:solidFill>
                      </w14:textFill>
                    </w:rPr>
                    <w:t>pH、矿物油</w:t>
                  </w:r>
                </w:p>
              </w:tc>
              <w:tc>
                <w:tcPr>
                  <w:tcW w:w="1360" w:type="dxa"/>
                  <w:vAlign w:val="center"/>
                </w:tcPr>
                <w:p w14:paraId="4C5D4C0B">
                  <w:pPr>
                    <w:pStyle w:val="90"/>
                    <w:rPr>
                      <w:color w:val="000000" w:themeColor="text1"/>
                      <w14:textFill>
                        <w14:solidFill>
                          <w14:schemeClr w14:val="tx1"/>
                        </w14:solidFill>
                      </w14:textFill>
                    </w:rPr>
                  </w:pPr>
                  <w:r>
                    <w:rPr>
                      <w:color w:val="000000" w:themeColor="text1"/>
                      <w14:textFill>
                        <w14:solidFill>
                          <w14:schemeClr w14:val="tx1"/>
                        </w14:solidFill>
                      </w14:textFill>
                    </w:rPr>
                    <w:t>非正常排放</w:t>
                  </w:r>
                </w:p>
              </w:tc>
            </w:tr>
            <w:tr w14:paraId="7D91F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2" w:hRule="atLeast"/>
                <w:jc w:val="center"/>
              </w:trPr>
              <w:tc>
                <w:tcPr>
                  <w:tcW w:w="1342" w:type="dxa"/>
                  <w:vAlign w:val="center"/>
                </w:tcPr>
                <w:p w14:paraId="406D2EB8">
                  <w:pPr>
                    <w:pStyle w:val="90"/>
                    <w:rPr>
                      <w:color w:val="000000" w:themeColor="text1"/>
                      <w14:textFill>
                        <w14:solidFill>
                          <w14:schemeClr w14:val="tx1"/>
                        </w14:solidFill>
                      </w14:textFill>
                    </w:rPr>
                  </w:pPr>
                  <w:r>
                    <w:rPr>
                      <w:color w:val="000000" w:themeColor="text1"/>
                      <w14:textFill>
                        <w14:solidFill>
                          <w14:schemeClr w14:val="tx1"/>
                        </w14:solidFill>
                      </w14:textFill>
                    </w:rPr>
                    <w:t>排气筒</w:t>
                  </w:r>
                </w:p>
              </w:tc>
              <w:tc>
                <w:tcPr>
                  <w:tcW w:w="1252" w:type="dxa"/>
                  <w:vAlign w:val="center"/>
                </w:tcPr>
                <w:p w14:paraId="103BD915">
                  <w:pPr>
                    <w:pStyle w:val="90"/>
                    <w:rPr>
                      <w:color w:val="000000" w:themeColor="text1"/>
                      <w14:textFill>
                        <w14:solidFill>
                          <w14:schemeClr w14:val="tx1"/>
                        </w14:solidFill>
                      </w14:textFill>
                    </w:rPr>
                  </w:pPr>
                  <w:r>
                    <w:rPr>
                      <w:color w:val="000000" w:themeColor="text1"/>
                      <w14:textFill>
                        <w14:solidFill>
                          <w14:schemeClr w14:val="tx1"/>
                        </w14:solidFill>
                      </w14:textFill>
                    </w:rPr>
                    <w:t>土壤</w:t>
                  </w:r>
                </w:p>
              </w:tc>
              <w:tc>
                <w:tcPr>
                  <w:tcW w:w="1431" w:type="dxa"/>
                  <w:vAlign w:val="center"/>
                </w:tcPr>
                <w:p w14:paraId="59236204">
                  <w:pPr>
                    <w:pStyle w:val="90"/>
                    <w:rPr>
                      <w:color w:val="000000" w:themeColor="text1"/>
                      <w14:textFill>
                        <w14:solidFill>
                          <w14:schemeClr w14:val="tx1"/>
                        </w14:solidFill>
                      </w14:textFill>
                    </w:rPr>
                  </w:pPr>
                  <w:r>
                    <w:rPr>
                      <w:color w:val="000000" w:themeColor="text1"/>
                      <w14:textFill>
                        <w14:solidFill>
                          <w14:schemeClr w14:val="tx1"/>
                        </w14:solidFill>
                      </w14:textFill>
                    </w:rPr>
                    <w:t>大气沉降</w:t>
                  </w:r>
                </w:p>
              </w:tc>
              <w:tc>
                <w:tcPr>
                  <w:tcW w:w="1474" w:type="dxa"/>
                  <w:vAlign w:val="center"/>
                </w:tcPr>
                <w:p w14:paraId="232C5025">
                  <w:pPr>
                    <w:pStyle w:val="9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770" w:type="dxa"/>
                  <w:vAlign w:val="center"/>
                </w:tcPr>
                <w:p w14:paraId="4C2F3E9E">
                  <w:pPr>
                    <w:pStyle w:val="9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360" w:type="dxa"/>
                  <w:vAlign w:val="center"/>
                </w:tcPr>
                <w:p w14:paraId="2E5E66FE">
                  <w:pPr>
                    <w:pStyle w:val="90"/>
                    <w:rPr>
                      <w:color w:val="000000" w:themeColor="text1"/>
                      <w14:textFill>
                        <w14:solidFill>
                          <w14:schemeClr w14:val="tx1"/>
                        </w14:solidFill>
                      </w14:textFill>
                    </w:rPr>
                  </w:pPr>
                  <w:r>
                    <w:rPr>
                      <w:color w:val="000000" w:themeColor="text1"/>
                      <w14:textFill>
                        <w14:solidFill>
                          <w14:schemeClr w14:val="tx1"/>
                        </w14:solidFill>
                      </w14:textFill>
                    </w:rPr>
                    <w:t>连续排放</w:t>
                  </w:r>
                </w:p>
              </w:tc>
            </w:tr>
          </w:tbl>
          <w:p w14:paraId="4C65F2CD">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地下水、土壤污染防控措施</w:t>
            </w:r>
          </w:p>
          <w:p w14:paraId="7F848C4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本评价针对拟建项目提出以下防控措施。</w:t>
            </w:r>
          </w:p>
          <w:p w14:paraId="3FCCD93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（1）地下水防控措施</w:t>
            </w:r>
          </w:p>
          <w:p w14:paraId="1AE16CB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①源头控制措施</w:t>
            </w:r>
          </w:p>
          <w:p w14:paraId="1710C2C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为防止和降低污染物跑、冒、滴、漏，将污染物泄漏的环境风险事故降到最低程度，建议从以下几方面着手：</w:t>
            </w:r>
          </w:p>
          <w:p w14:paraId="1A94B64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A、对生产全过程进行控制，并对产生的各类废物进行合理的回用和治理，尽可能从源头上减少污染物的产生和排放，积极开展水的循环使用和中水回用；</w:t>
            </w:r>
          </w:p>
          <w:p w14:paraId="06DCA01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B、严格按照国家相关规范要求，对涉及污染场地采取防渗改造，以防止和降低污染物的渗漏，将污染物泄漏的环境风险事故降到最低程度；</w:t>
            </w:r>
          </w:p>
          <w:p w14:paraId="0F8D188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C、防渗工程的设计建设使用年限不应低于设备、管线及建、构筑物的设计使用年限；</w:t>
            </w:r>
          </w:p>
          <w:p w14:paraId="71973A3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D、对可能泄漏有害介质和污染物的设备和管道敷设尽量采用“可视化”改造，即管道尽可能地上敷设，做到污染物“早发现、早处理”，以减少由于埋地管道泄漏而可能造成的地下水污染。</w:t>
            </w:r>
          </w:p>
          <w:p w14:paraId="09EA608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②分区防渗措施</w:t>
            </w:r>
          </w:p>
          <w:p w14:paraId="4ED2015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本项目生产单元的布置，污染物特征，可能泄漏污染地下水的位置，以及潜在的地下水污染源分析，将项目生产区域分为重点污染防治区、一般污染防治区和简单防渗区，分区防治区必须严格采取对应防渗措施。</w:t>
            </w:r>
          </w:p>
          <w:p w14:paraId="5438F74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A、重点防渗区：排污降温池、事故油池，加药系统；</w:t>
            </w:r>
          </w:p>
          <w:p w14:paraId="6477B2D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B、一般防渗区：主厂房，锅炉生产区域、除盐水系统区域和循环水系统等；</w:t>
            </w:r>
          </w:p>
          <w:p w14:paraId="48DF775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C、简单防渗区：道路等其他区域。</w:t>
            </w:r>
          </w:p>
          <w:p w14:paraId="16C1899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③防渗技术要求</w:t>
            </w:r>
          </w:p>
          <w:p w14:paraId="43729F7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针对重点防渗区、一般防渗区和简单防渗区不同区域提出相应的防渗要求。</w:t>
            </w:r>
          </w:p>
          <w:p w14:paraId="42768CA8">
            <w:pPr>
              <w:ind w:firstLine="48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A、重点防渗区</w:t>
            </w:r>
          </w:p>
          <w:p w14:paraId="07456CD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指污染地下水环境的物料泄漏后，不容易被及时发现和处理的区域。重点污染防渗区防渗要求：防渗性能不应低于6 m、厚渗透系数≤10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cm/s的黏土层的防渗性能，或参照GB18598 执行。</w:t>
            </w:r>
          </w:p>
          <w:p w14:paraId="72B02DD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B、一般防渗区</w:t>
            </w:r>
          </w:p>
          <w:p w14:paraId="05B6E3A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指裸露于地面的生产功能单元，污染地下水环境的物料泄漏后，容易被及时发现和处理的区域。一般污染区防渗要求：防渗性能不应低于1.5m厚渗透系数≤10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cm/s的黏土层的防渗性能，或参照GB18598 执行。</w:t>
            </w:r>
          </w:p>
          <w:p w14:paraId="6AF9B7D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B、简单防渗区</w:t>
            </w:r>
          </w:p>
          <w:p w14:paraId="268EDB4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指不会对地下水造成污染的区域。对于基本上不产生污染物的简单防渗区，不采取专门针对地下水污染的防治措施，但装置区外系统管廊区地基处理应分层压实。为保证防渗工程正常施工、运行，达到设计防渗等级，应对工程质量进行管理控制。</w:t>
            </w:r>
          </w:p>
          <w:p w14:paraId="009B4ED4">
            <w:pPr>
              <w:pStyle w:val="138"/>
              <w:rPr>
                <w:rFonts w:cs="Times New Roman"/>
                <w:color w:val="000000" w:themeColor="text1"/>
                <w14:textFill>
                  <w14:solidFill>
                    <w14:schemeClr w14:val="tx1"/>
                  </w14:solidFill>
                </w14:textFill>
              </w:rPr>
            </w:pPr>
          </w:p>
          <w:p w14:paraId="275E0054">
            <w:pPr>
              <w:pStyle w:val="98"/>
              <w:spacing w:before="24" w:after="24"/>
              <w:rPr>
                <w:color w:val="000000" w:themeColor="text1"/>
                <w14:textFill>
                  <w14:solidFill>
                    <w14:schemeClr w14:val="tx1"/>
                  </w14:solidFill>
                </w14:textFill>
              </w:rPr>
            </w:pPr>
            <w:r>
              <w:rPr>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4.10</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拟建项目分区防渗分布示意图</w:t>
            </w:r>
          </w:p>
          <w:p w14:paraId="5A7A1461">
            <w:pPr>
              <w:pStyle w:val="98"/>
              <w:spacing w:before="24" w:after="24"/>
              <w:rPr>
                <w:b w:val="0"/>
                <w:bCs w:val="0"/>
                <w:color w:val="000000" w:themeColor="text1"/>
                <w:kern w:val="2"/>
                <w14:textFill>
                  <w14:solidFill>
                    <w14:schemeClr w14:val="tx1"/>
                  </w14:solidFill>
                </w14:textFill>
              </w:rPr>
            </w:pPr>
            <w:r>
              <w:rPr>
                <w:rFonts w:ascii="TimesNewRomanPSMT" w:hAnsi="TimesNewRomanPSMT"/>
              </w:rPr>
              <w:t>(</w:t>
            </w:r>
            <w:r>
              <w:rPr>
                <w:rFonts w:hint="eastAsia"/>
              </w:rPr>
              <w:t>涉及商业秘密，进行删除</w:t>
            </w:r>
            <w:r>
              <w:rPr>
                <w:rFonts w:ascii="TimesNewRomanPSMT" w:hAnsi="TimesNewRomanPSMT"/>
              </w:rPr>
              <w:t>)</w:t>
            </w:r>
          </w:p>
          <w:p w14:paraId="0C516D9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（2）土壤防控措施</w:t>
            </w:r>
          </w:p>
          <w:p w14:paraId="1B5EC4A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进一步减少污染物排放对周边土壤环境的影响，本评价按照《国务院关于印发土壤污染防治行动计划的通知》（国发〔2016〕31号）文件要求，提出进一步加强污染控制、减轻土壤环境影响的管理措施，具体如下：</w:t>
            </w:r>
          </w:p>
          <w:p w14:paraId="4AFE3EE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①加强环保设备的运行管理，保障各污染物达标排放。禁止直接向土壤环境排放有毒有害的工业废气、废水和固体废物等物质。</w:t>
            </w:r>
          </w:p>
          <w:p w14:paraId="69A8875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②加强固体废物的收集、储存、转运和处置的全过程管理，按要求建立防扬散、防流失、防渗漏等设施，避免因固废泄漏、撒落造成土壤污染。</w:t>
            </w:r>
          </w:p>
          <w:p w14:paraId="4503828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③加强环境风险管理，防止环境风险事故的发生，降低或避免生产中出现非正常工况。</w:t>
            </w:r>
          </w:p>
          <w:p w14:paraId="17B334B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④配合各级人民政府部门组织开展的土壤污染防治监督、管理、调查、监测、评价和科学研究工作。</w:t>
            </w:r>
          </w:p>
          <w:p w14:paraId="1CE5773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⑤建议建设单位委托具备资质的专业单位定期对项目厂区及周边的土壤开展环境质量监测，一旦发现土壤污染现象，要及时采取有效措施保护和改善土壤环境，或委托具备资质的专业单位消除土壤污染危害。</w:t>
            </w:r>
          </w:p>
          <w:p w14:paraId="4605B4C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⑥需要拆除设施、设备或者构筑物时，应当采取措施防止其中残留的危险废物或者其他有毒有害物质的泄漏、遗撒和扬散污染土壤环境。并事先制定残留污染物清理和安全处置方案，并报所在地环境保护、工信部门备案，防范拆除活动污染土壤。</w:t>
            </w:r>
          </w:p>
          <w:p w14:paraId="1944D52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⑦切实落实本评价提出的各项防渗、防泄漏、防腐蚀措施，防止废水、废液及其他固体废物等污染物渗漏污染土壤。</w:t>
            </w:r>
          </w:p>
          <w:p w14:paraId="0725E35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⑧发生突发环境风险事故时，应当立即启动风险应急预案，按照预案要求做好应急处置，全面评估环境风险事故对土壤环境造成的影响，并及时采取措施消除土壤污染危害。</w:t>
            </w:r>
          </w:p>
          <w:p w14:paraId="626F565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⑨建议在本项目投产运行后，适时开展清洁生产评价，按评价要求落实清洁生产改造，提升企业清洁生产水平，减少或者避免生产、服务和产品使用过程中污染物的产生和排放，减轻或者消除对公众健康和环境的危害。</w:t>
            </w:r>
          </w:p>
          <w:p w14:paraId="03262C8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⑩建议建设单位在本项目投产运行一段时间后，委托专业机构开展土壤环境影响的跟踪评价，评估分析项目对厂区及周边土壤环境的累积性影响。</w:t>
            </w:r>
          </w:p>
          <w:p w14:paraId="6C5BE81D">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跟踪监测</w:t>
            </w:r>
          </w:p>
          <w:p w14:paraId="50744A5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本项目地下水监测内容统筹于全厂监测计划一并施行；针对本项目特点的地下水和土壤监测指标和频次见下表和图。</w:t>
            </w:r>
          </w:p>
          <w:p w14:paraId="23308194">
            <w:pPr>
              <w:pStyle w:val="90"/>
              <w:rPr>
                <w:color w:val="000000" w:themeColor="text1"/>
                <w14:textFill>
                  <w14:solidFill>
                    <w14:schemeClr w14:val="tx1"/>
                  </w14:solidFill>
                </w14:textFill>
              </w:rPr>
            </w:pPr>
          </w:p>
          <w:p w14:paraId="67AD427A">
            <w:pPr>
              <w:pStyle w:val="98"/>
              <w:rPr>
                <w:color w:val="000000" w:themeColor="text1"/>
                <w14:textFill>
                  <w14:solidFill>
                    <w14:schemeClr w14:val="tx1"/>
                  </w14:solidFill>
                </w14:textFill>
              </w:rPr>
            </w:pPr>
            <w:r>
              <w:rPr>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4.10</w:t>
            </w:r>
            <w:r>
              <w:rPr>
                <w:color w:val="000000" w:themeColor="text1"/>
                <w14:textFill>
                  <w14:solidFill>
                    <w14:schemeClr w14:val="tx1"/>
                  </w14:solidFill>
                </w14:textFill>
              </w:rPr>
              <w:fldChar w:fldCharType="end"/>
            </w:r>
            <w:r>
              <w:rPr>
                <w:color w:val="000000" w:themeColor="text1"/>
                <w14:textFill>
                  <w14:solidFill>
                    <w14:schemeClr w14:val="tx1"/>
                  </w14:solidFill>
                </w14:textFill>
              </w:rPr>
              <w:t>-1  地下水、土壤监测点位分布图</w:t>
            </w:r>
          </w:p>
          <w:p w14:paraId="566A121D">
            <w:pPr>
              <w:pStyle w:val="98"/>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4.10</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地下水、土壤监测内容一览表</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97"/>
              <w:gridCol w:w="880"/>
              <w:gridCol w:w="852"/>
              <w:gridCol w:w="4272"/>
              <w:gridCol w:w="1206"/>
            </w:tblGrid>
            <w:tr w14:paraId="4AAAB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8" w:hRule="atLeast"/>
                <w:jc w:val="center"/>
              </w:trPr>
              <w:tc>
                <w:tcPr>
                  <w:tcW w:w="762" w:type="pct"/>
                  <w:vAlign w:val="center"/>
                </w:tcPr>
                <w:p w14:paraId="097CE79D">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环境要素</w:t>
                  </w:r>
                </w:p>
              </w:tc>
              <w:tc>
                <w:tcPr>
                  <w:tcW w:w="1018" w:type="pct"/>
                  <w:gridSpan w:val="2"/>
                  <w:vAlign w:val="center"/>
                </w:tcPr>
                <w:p w14:paraId="16963548">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点位名称</w:t>
                  </w:r>
                </w:p>
              </w:tc>
              <w:tc>
                <w:tcPr>
                  <w:tcW w:w="2511" w:type="pct"/>
                  <w:vAlign w:val="center"/>
                </w:tcPr>
                <w:p w14:paraId="6277638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监测项目</w:t>
                  </w:r>
                </w:p>
              </w:tc>
              <w:tc>
                <w:tcPr>
                  <w:tcW w:w="709" w:type="pct"/>
                  <w:vAlign w:val="center"/>
                </w:tcPr>
                <w:p w14:paraId="327C39B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监测频率</w:t>
                  </w:r>
                </w:p>
              </w:tc>
            </w:tr>
            <w:tr w14:paraId="3D8C8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38" w:hRule="atLeast"/>
                <w:jc w:val="center"/>
              </w:trPr>
              <w:tc>
                <w:tcPr>
                  <w:tcW w:w="762" w:type="pct"/>
                  <w:vAlign w:val="center"/>
                </w:tcPr>
                <w:p w14:paraId="0CC7533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地下水</w:t>
                  </w:r>
                </w:p>
              </w:tc>
              <w:tc>
                <w:tcPr>
                  <w:tcW w:w="1018" w:type="pct"/>
                  <w:gridSpan w:val="2"/>
                  <w:vAlign w:val="center"/>
                </w:tcPr>
                <w:p w14:paraId="24C96585">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BJ、HS1、KS1</w:t>
                  </w:r>
                </w:p>
                <w:p w14:paraId="5534E39B">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JS1、MS1、NS1</w:t>
                  </w:r>
                </w:p>
              </w:tc>
              <w:tc>
                <w:tcPr>
                  <w:tcW w:w="2511" w:type="pct"/>
                  <w:vAlign w:val="center"/>
                </w:tcPr>
                <w:p w14:paraId="4AFC3824">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pH、氨氮、无机氮、活性磷酸盐、溶解性总固体、总硬度、硫酸盐、氯化物、挥发酚、硝酸盐、亚硝酸盐、氰化物、砷、汞、铅、镉、锰、铜、锌</w:t>
                  </w:r>
                </w:p>
              </w:tc>
              <w:tc>
                <w:tcPr>
                  <w:tcW w:w="709" w:type="pct"/>
                  <w:vAlign w:val="center"/>
                </w:tcPr>
                <w:p w14:paraId="4BF838A7">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1次/半年</w:t>
                  </w:r>
                </w:p>
              </w:tc>
            </w:tr>
            <w:tr w14:paraId="181FC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54" w:hRule="atLeast"/>
                <w:jc w:val="center"/>
              </w:trPr>
              <w:tc>
                <w:tcPr>
                  <w:tcW w:w="762" w:type="pct"/>
                  <w:vMerge w:val="restart"/>
                  <w:vAlign w:val="center"/>
                </w:tcPr>
                <w:p w14:paraId="2DDD823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w:t>
                  </w:r>
                </w:p>
              </w:tc>
              <w:tc>
                <w:tcPr>
                  <w:tcW w:w="517" w:type="pct"/>
                  <w:vMerge w:val="restart"/>
                  <w:vAlign w:val="center"/>
                </w:tcPr>
                <w:p w14:paraId="617C2980">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T1、T2</w:t>
                  </w:r>
                </w:p>
              </w:tc>
              <w:tc>
                <w:tcPr>
                  <w:tcW w:w="501" w:type="pct"/>
                  <w:vAlign w:val="center"/>
                </w:tcPr>
                <w:p w14:paraId="29E6385C">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表层样</w:t>
                  </w:r>
                </w:p>
              </w:tc>
              <w:tc>
                <w:tcPr>
                  <w:tcW w:w="2511" w:type="pct"/>
                  <w:vAlign w:val="center"/>
                </w:tcPr>
                <w:p w14:paraId="546DB81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GB36600基本项45项，石油烃</w:t>
                  </w:r>
                </w:p>
              </w:tc>
              <w:tc>
                <w:tcPr>
                  <w:tcW w:w="709" w:type="pct"/>
                  <w:vMerge w:val="restart"/>
                  <w:vAlign w:val="center"/>
                </w:tcPr>
                <w:p w14:paraId="4FC789D9">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1次/年</w:t>
                  </w:r>
                </w:p>
              </w:tc>
            </w:tr>
            <w:tr w14:paraId="4BEB5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54" w:hRule="atLeast"/>
                <w:jc w:val="center"/>
              </w:trPr>
              <w:tc>
                <w:tcPr>
                  <w:tcW w:w="762" w:type="pct"/>
                  <w:vMerge w:val="continue"/>
                  <w:vAlign w:val="center"/>
                </w:tcPr>
                <w:p w14:paraId="2ED0B5DC">
                  <w:pPr>
                    <w:pStyle w:val="138"/>
                    <w:rPr>
                      <w:rFonts w:cs="Times New Roman"/>
                      <w:color w:val="000000" w:themeColor="text1"/>
                      <w14:textFill>
                        <w14:solidFill>
                          <w14:schemeClr w14:val="tx1"/>
                        </w14:solidFill>
                      </w14:textFill>
                    </w:rPr>
                  </w:pPr>
                </w:p>
              </w:tc>
              <w:tc>
                <w:tcPr>
                  <w:tcW w:w="517" w:type="pct"/>
                  <w:vMerge w:val="continue"/>
                  <w:vAlign w:val="center"/>
                </w:tcPr>
                <w:p w14:paraId="58262ACF">
                  <w:pPr>
                    <w:pStyle w:val="138"/>
                    <w:rPr>
                      <w:rFonts w:cs="Times New Roman"/>
                      <w:color w:val="000000" w:themeColor="text1"/>
                      <w14:textFill>
                        <w14:solidFill>
                          <w14:schemeClr w14:val="tx1"/>
                        </w14:solidFill>
                      </w14:textFill>
                    </w:rPr>
                  </w:pPr>
                </w:p>
              </w:tc>
              <w:tc>
                <w:tcPr>
                  <w:tcW w:w="501" w:type="pct"/>
                  <w:vAlign w:val="center"/>
                </w:tcPr>
                <w:p w14:paraId="49762BA1">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柱状样</w:t>
                  </w:r>
                </w:p>
              </w:tc>
              <w:tc>
                <w:tcPr>
                  <w:tcW w:w="2511" w:type="pct"/>
                  <w:vAlign w:val="center"/>
                </w:tcPr>
                <w:p w14:paraId="43016652">
                  <w:pPr>
                    <w:pStyle w:val="13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石油烃</w:t>
                  </w:r>
                </w:p>
              </w:tc>
              <w:tc>
                <w:tcPr>
                  <w:tcW w:w="709" w:type="pct"/>
                  <w:vMerge w:val="continue"/>
                  <w:vAlign w:val="center"/>
                </w:tcPr>
                <w:p w14:paraId="23CD88ED">
                  <w:pPr>
                    <w:pStyle w:val="138"/>
                    <w:rPr>
                      <w:rFonts w:cs="Times New Roman"/>
                      <w:color w:val="000000" w:themeColor="text1"/>
                      <w14:textFill>
                        <w14:solidFill>
                          <w14:schemeClr w14:val="tx1"/>
                        </w14:solidFill>
                      </w14:textFill>
                    </w:rPr>
                  </w:pPr>
                </w:p>
              </w:tc>
            </w:tr>
          </w:tbl>
          <w:p w14:paraId="5FEAC94B">
            <w:pPr>
              <w:pStyle w:val="3"/>
              <w:rPr>
                <w:rFonts w:cs="Times New Roman"/>
                <w:color w:val="000000" w:themeColor="text1"/>
                <w14:textFill>
                  <w14:solidFill>
                    <w14:schemeClr w14:val="tx1"/>
                  </w14:solidFill>
                </w14:textFill>
              </w:rPr>
            </w:pPr>
            <w:bookmarkStart w:id="174" w:name="_Toc1025248046"/>
            <w:bookmarkStart w:id="175" w:name="_Toc230448057"/>
            <w:r>
              <w:rPr>
                <w:rFonts w:cs="Times New Roman"/>
                <w:color w:val="000000" w:themeColor="text1"/>
                <w14:textFill>
                  <w14:solidFill>
                    <w14:schemeClr w14:val="tx1"/>
                  </w14:solidFill>
                </w14:textFill>
              </w:rPr>
              <w:t>生态环境影响</w:t>
            </w:r>
            <w:bookmarkEnd w:id="174"/>
            <w:bookmarkEnd w:id="175"/>
          </w:p>
          <w:p w14:paraId="7B1E243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本项目用地为厂区既有用地，未新增占地，属于规划三类工业用地。工程区建设用地对区域土地利用的影响有限。</w:t>
            </w:r>
          </w:p>
          <w:p w14:paraId="6EA289CB">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 生态环境影响分析</w:t>
            </w:r>
          </w:p>
          <w:p w14:paraId="6E326BE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项目的实施，导致局部土地利用方式的改变，主要包括：动植物资源的变化、区域景观格局改变、地形改变与水土流失影响等。</w:t>
            </w:r>
          </w:p>
          <w:p w14:paraId="6602AF8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（1）对植物的影响分析</w:t>
            </w:r>
          </w:p>
          <w:p w14:paraId="387FA39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周边植被类型可以归纳为常绿闹叶林、常绿针叶林、毛竹林、灌木丛、草丛和人工栽培植物等。根据项目的排污特性，项目建成后对区域周边植被、农作物的影响主要为项目排放废气对生物植株正常生长、发育、繁殖的影响。资料表明，存在于空气中的各种气体、固体形态的污染物，主要是气体与植物发生联系，气体以及一般直径小于1μm的污染物质，通过植物叶面的气孔吸收后经细胞间隙抵达导管，而后运转至其它部分。根据工程分析项目大气污染物排放情况，确定环境空气影响预测因子为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、颗粒物和氨。</w:t>
            </w:r>
          </w:p>
          <w:p w14:paraId="55123F3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①颗粒物对植物的影响</w:t>
            </w:r>
          </w:p>
          <w:p w14:paraId="4660EB3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沉积在绿色植物叶面，堵塞气孔，阻碍光合作用、呼吸作用、蒸腾作用等，危害植物健康。</w:t>
            </w:r>
          </w:p>
          <w:p w14:paraId="593DC567">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②二氧化硫对植物的影响</w:t>
            </w:r>
          </w:p>
          <w:p w14:paraId="421DF38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由于自然界的生物多样性，各种生物的特征各不相同，对SO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的抗性差异也很大。根据目前的研究结果，大气中SO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浓度达到0.3ppm时，植物就出现伤害症状，对SO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伤害较为敏感的植物在SO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浓度为3.25mg/m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空气中暴露1小时产生初始可见伤害，即其可见伤害的</w:t>
            </w:r>
            <w:r>
              <w:rPr>
                <w:rFonts w:hint="eastAsia" w:cs="Times New Roman"/>
                <w:color w:val="000000" w:themeColor="text1"/>
                <w14:textFill>
                  <w14:solidFill>
                    <w14:schemeClr w14:val="tx1"/>
                  </w14:solidFill>
                </w14:textFill>
              </w:rPr>
              <w:t>he</w:t>
            </w:r>
            <w:r>
              <w:rPr>
                <w:rFonts w:cs="Times New Roman"/>
                <w:color w:val="000000" w:themeColor="text1"/>
                <w14:textFill>
                  <w14:solidFill>
                    <w14:schemeClr w14:val="tx1"/>
                  </w14:solidFill>
                </w14:textFill>
              </w:rPr>
              <w:t>值剂量为3.25mg/m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。一般情况下，SO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平均浓度不超过18.13、1.05、0.68、0.47mg/m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暴露时间相应为1、2、4、8小时，则植物可避免出现叶部伤害。植物的隐性伤害表现为生理干扰，或对生长和产量的影响，但植物不呈现外部可见伤害症状。据研究，敏感作物光合作用受抑制的平均阈值剂量为0.65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·h。导致敏感作物光合作用速率减低10%的平均暴露剂量为1.17mg/m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w:t>
            </w:r>
          </w:p>
          <w:p w14:paraId="427C22F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③氮氧化物对植物的影响</w:t>
            </w:r>
          </w:p>
          <w:p w14:paraId="743C7C6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NOx对植物的伤害没有SO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对植物的伤害严重。大多数由NOx引起的对田间植物伤害和危害事件与某些工业生产过程中发生的事故性排放（如偶然释放或泄漏）有关。据报道，一般来说对植物生长和代谢影响的NOx阈值剂量为1.32mg/m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·h，叶子受伤害的阈值剂量为5.64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·h，同时也有报道认为，低浓度的NOx可能会促进植物的生长。</w:t>
            </w:r>
          </w:p>
          <w:p w14:paraId="6E4A3FA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④氨对植物的影响</w:t>
            </w:r>
          </w:p>
          <w:p w14:paraId="01CBD2B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分子易通过气孔、角质层进入细胞，破坏细胞膜、改变胞质pH，抑制光合、呼吸酶系。低浓度即可抑制根系生长、根毛发育、根尖坏死。抑制K</w:t>
            </w:r>
            <w:r>
              <w:rPr>
                <w:rFonts w:cs="Times New Roman"/>
                <w:color w:val="000000" w:themeColor="text1"/>
                <w:vertAlign w:val="superscript"/>
                <w14:textFill>
                  <w14:solidFill>
                    <w14:schemeClr w14:val="tx1"/>
                  </w14:solidFill>
                </w14:textFill>
              </w:rPr>
              <w:t>+</w:t>
            </w:r>
            <w:r>
              <w:rPr>
                <w:rFonts w:cs="Times New Roman"/>
                <w:color w:val="000000" w:themeColor="text1"/>
                <w14:textFill>
                  <w14:solidFill>
                    <w14:schemeClr w14:val="tx1"/>
                  </w14:solidFill>
                </w14:textFill>
              </w:rPr>
              <w:t>、Ca</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g2+</w:t>
            </w:r>
            <w:r>
              <w:rPr>
                <w:rFonts w:cs="Times New Roman"/>
                <w:color w:val="000000" w:themeColor="text1"/>
                <w14:textFill>
                  <w14:solidFill>
                    <w14:schemeClr w14:val="tx1"/>
                  </w14:solidFill>
                </w14:textFill>
              </w:rPr>
              <w:t>吸收，出现缺钾、缺钙症状（叶尖枯、脐腐、畸形果）。NH</w:t>
            </w:r>
            <w:r>
              <w:rPr>
                <w:rFonts w:cs="Times New Roman"/>
                <w:color w:val="000000" w:themeColor="text1"/>
                <w:vertAlign w:val="subscript"/>
                <w14:textFill>
                  <w14:solidFill>
                    <w14:schemeClr w14:val="tx1"/>
                  </w14:solidFill>
                </w14:textFill>
              </w:rPr>
              <w:t>4</w:t>
            </w:r>
            <w:r>
              <w:rPr>
                <w:rFonts w:cs="Times New Roman"/>
                <w:color w:val="000000" w:themeColor="text1"/>
                <w:vertAlign w:val="superscript"/>
                <w14:textFill>
                  <w14:solidFill>
                    <w14:schemeClr w14:val="tx1"/>
                  </w14:solidFill>
                </w14:textFill>
              </w:rPr>
              <w:t>+</w:t>
            </w:r>
            <w:r>
              <w:rPr>
                <w:rFonts w:cs="Times New Roman"/>
                <w:color w:val="000000" w:themeColor="text1"/>
                <w14:textFill>
                  <w14:solidFill>
                    <w14:schemeClr w14:val="tx1"/>
                  </w14:solidFill>
                </w14:textFill>
              </w:rPr>
              <w:t>同化消耗大量ATP与碳水化合物，生长减慢、抗逆（寒/旱/病）下降。沉降改变土壤氮/碳比，喜氮杂草扩张、敏感乡土种衰退、生物多样性下降。本项目SCR设施氨逃逸（设计值2.5 mg/m³）在设施界外300 m内对敏感蔬菜、果树、花卉存在低水平慢性影响风险（叶黄、长势差、轻度减产）；300 m以外对农作物与植被无显著伤害；1 km 外影响可忽略。结合项目总平布置和所在区域生态环境，长期氮沉降对自然植被多样性存在潜在缓慢影响，但总体生态风险可控。</w:t>
            </w:r>
          </w:p>
          <w:p w14:paraId="76BDE07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拟建项目排放的SO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、颗粒物执行超低排放标准限值，氨逃逸有效控制，排放污染物的伤害强度低于上述研究的伤害阈值，因此其排放的污染物对区域植被不会造成明显的不良影响。</w:t>
            </w:r>
          </w:p>
          <w:p w14:paraId="628960D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（2）对动物资源的影响</w:t>
            </w:r>
          </w:p>
          <w:p w14:paraId="7CB0B1B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罗源县罗源湾开发区金港工业区内，项目周边已形成开发的的工业园区，由于人工建筑分布密集，缺乏野生动物生存需要的隐蔽和觅食的空间，因此在这片已经开发的区域活动的野生动物种类和数量都十分稀少，本项目施工的噪声和扬尘，以及施工人群活动的增加等，将会干扰现有鸟类的正常生活。但施工结束后，周边的一般野生生物会逐渐回迁到附近的地域，不会造成物种的消失，拟建项目建设对陆生野生动物的影响较小。</w:t>
            </w:r>
          </w:p>
          <w:p w14:paraId="08069F7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（3）区域景观格局的改变</w:t>
            </w:r>
          </w:p>
          <w:p w14:paraId="13A2CB9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本项目用地为厂区既有用地，未新增占地，项目的实施不会改变区域的景观格局，未来区域内除金港工业区外，农田、林地景观仍占据一定的优势。</w:t>
            </w:r>
          </w:p>
          <w:p w14:paraId="6E88394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（4）水土流失的影响</w:t>
            </w:r>
          </w:p>
          <w:p w14:paraId="3814953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项目实施过程确保采取以下措施，减轻水土流失造成的环境影响。</w:t>
            </w:r>
          </w:p>
          <w:p w14:paraId="70FA4B8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①裸土表面覆盖彩条布，既防止起尘，同时防止下雨引起水土流失。</w:t>
            </w:r>
          </w:p>
          <w:p w14:paraId="4E269AF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②做好厂区及周围的绿化，恢复植被，可有效防止水土流失，减小水土流失程度，增加绿化面积，有利于生态保护。</w:t>
            </w:r>
          </w:p>
          <w:p w14:paraId="28C0245D">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小结</w:t>
            </w:r>
          </w:p>
          <w:p w14:paraId="4FB6F87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建成投产后，在落实各项环保措施，并保证各环保设施运行正常、废气达标排放的前提下，废气排放对周边植被的影响不大。项目的实施对评价区域生态环境的改变主要体现为土地利用方式的变更，项目建设仅会使局部区域的物种重新分布，但不会造成评价区内的物种消失，即不会对生物多样性产生明显影响，不会改变区域的景观格局。</w:t>
            </w:r>
          </w:p>
          <w:p w14:paraId="5018892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因此，本项目的建设对评价区内生态环境影响较小。</w:t>
            </w:r>
          </w:p>
          <w:p w14:paraId="7DA97EFC">
            <w:pPr>
              <w:pStyle w:val="3"/>
              <w:rPr>
                <w:rFonts w:cs="Times New Roman"/>
                <w:color w:val="000000" w:themeColor="text1"/>
                <w14:textFill>
                  <w14:solidFill>
                    <w14:schemeClr w14:val="tx1"/>
                  </w14:solidFill>
                </w14:textFill>
              </w:rPr>
            </w:pPr>
            <w:bookmarkStart w:id="176" w:name="_Toc230448058"/>
            <w:bookmarkStart w:id="177" w:name="_Toc1125249759"/>
            <w:r>
              <w:rPr>
                <w:rFonts w:cs="Times New Roman"/>
                <w:color w:val="000000" w:themeColor="text1"/>
                <w14:textFill>
                  <w14:solidFill>
                    <w14:schemeClr w14:val="tx1"/>
                  </w14:solidFill>
                </w14:textFill>
              </w:rPr>
              <w:t>环境风险影响及防治措施</w:t>
            </w:r>
            <w:bookmarkEnd w:id="176"/>
            <w:bookmarkEnd w:id="177"/>
          </w:p>
          <w:p w14:paraId="4236F02F">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环境风险影响</w:t>
            </w:r>
          </w:p>
          <w:p w14:paraId="58FE1A7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主要危险物质为高炉煤气、转炉煤气、焦炉煤气，矿物油和5%氨水，风险类型为发生煤气泄漏，泄漏的煤气与空气混合形成爆炸性混合气体，当其达到爆炸极限时，一旦遇火源即可发生火灾、爆炸。变压器故障、短路、火灾、爆炸导致绝缘油泄漏、燃烧；阀门、法兰、焊缝破损或检修操作不当造成矿物油泄漏。氨水管道法兰、阀门、法兰连接密封部位失效或泄漏等。危险物质分布情况见下表。</w:t>
            </w:r>
          </w:p>
          <w:p w14:paraId="41AE0E3D">
            <w:pPr>
              <w:pStyle w:val="97"/>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STYLEREF 2 \s </w:instrText>
            </w:r>
            <w:r>
              <w:rPr>
                <w:rFonts w:cs="Times New Roman"/>
                <w:color w:val="000000" w:themeColor="text1"/>
                <w14:textFill>
                  <w14:solidFill>
                    <w14:schemeClr w14:val="tx1"/>
                  </w14:solidFill>
                </w14:textFill>
              </w:rPr>
              <w:fldChar w:fldCharType="separate"/>
            </w:r>
            <w:r>
              <w:rPr>
                <w:rFonts w:cs="Times New Roman"/>
                <w:color w:val="000000" w:themeColor="text1"/>
                <w:lang w:val="en-US"/>
                <w14:textFill>
                  <w14:solidFill>
                    <w14:schemeClr w14:val="tx1"/>
                  </w14:solidFill>
                </w14:textFill>
              </w:rPr>
              <w:t>4.12</w:t>
            </w:r>
            <w:r>
              <w:rPr>
                <w:rFonts w:cs="Times New Roman"/>
                <w:color w:val="000000" w:themeColor="text1"/>
                <w14:textFill>
                  <w14:solidFill>
                    <w14:schemeClr w14:val="tx1"/>
                  </w14:solidFill>
                </w14:textFill>
              </w:rPr>
              <w:fldChar w:fldCharType="end"/>
            </w:r>
            <w:r>
              <w:rPr>
                <w:rFonts w:cs="Times New Roman"/>
                <w:color w:val="000000" w:themeColor="text1"/>
                <w:lang w:val="en-US"/>
                <w14:textFill>
                  <w14:solidFill>
                    <w14:schemeClr w14:val="tx1"/>
                  </w14:solidFill>
                </w14:textFill>
              </w:rPr>
              <w:t>-</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SEQ 表 \* ARABIC \s 2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 xml:space="preserve">  危险物质分布情况表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23"/>
              <w:gridCol w:w="1941"/>
              <w:gridCol w:w="2324"/>
              <w:gridCol w:w="2122"/>
            </w:tblGrid>
            <w:tr w14:paraId="173CFB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47" w:type="pct"/>
                  <w:vAlign w:val="center"/>
                </w:tcPr>
                <w:p w14:paraId="7E1F90DB">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危险物质</w:t>
                  </w:r>
                </w:p>
              </w:tc>
              <w:tc>
                <w:tcPr>
                  <w:tcW w:w="1140" w:type="pct"/>
                  <w:vAlign w:val="center"/>
                </w:tcPr>
                <w:p w14:paraId="3AB97C75">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存储量（t）</w:t>
                  </w:r>
                </w:p>
              </w:tc>
              <w:tc>
                <w:tcPr>
                  <w:tcW w:w="1364" w:type="pct"/>
                  <w:vAlign w:val="center"/>
                </w:tcPr>
                <w:p w14:paraId="37BC7872">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分布位置</w:t>
                  </w:r>
                </w:p>
              </w:tc>
              <w:tc>
                <w:tcPr>
                  <w:tcW w:w="1247" w:type="pct"/>
                  <w:vAlign w:val="center"/>
                </w:tcPr>
                <w:p w14:paraId="790CDAEA">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存储方式</w:t>
                  </w:r>
                </w:p>
              </w:tc>
            </w:tr>
            <w:tr w14:paraId="628AC5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47" w:type="pct"/>
                  <w:vAlign w:val="center"/>
                </w:tcPr>
                <w:p w14:paraId="1A1BD7E6">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煤气</w:t>
                  </w:r>
                </w:p>
              </w:tc>
              <w:tc>
                <w:tcPr>
                  <w:tcW w:w="1140" w:type="pct"/>
                  <w:vAlign w:val="center"/>
                </w:tcPr>
                <w:p w14:paraId="4550C5C5">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0.4</w:t>
                  </w:r>
                </w:p>
              </w:tc>
              <w:tc>
                <w:tcPr>
                  <w:tcW w:w="1364" w:type="pct"/>
                  <w:vAlign w:val="center"/>
                </w:tcPr>
                <w:p w14:paraId="5A58D875">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煤气输送管道</w:t>
                  </w:r>
                </w:p>
              </w:tc>
              <w:tc>
                <w:tcPr>
                  <w:tcW w:w="1247" w:type="pct"/>
                  <w:vAlign w:val="center"/>
                </w:tcPr>
                <w:p w14:paraId="40E4EDB6">
                  <w:pPr>
                    <w:pStyle w:val="138"/>
                    <w:spacing w:line="240" w:lineRule="atLeas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管道</w:t>
                  </w:r>
                </w:p>
              </w:tc>
            </w:tr>
            <w:tr w14:paraId="30124E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47" w:type="pct"/>
                  <w:vAlign w:val="center"/>
                </w:tcPr>
                <w:p w14:paraId="743B7F5E">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5%氨水</w:t>
                  </w:r>
                </w:p>
              </w:tc>
              <w:tc>
                <w:tcPr>
                  <w:tcW w:w="1140" w:type="pct"/>
                  <w:vAlign w:val="center"/>
                </w:tcPr>
                <w:p w14:paraId="156D6F2F">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w:t>
                  </w:r>
                </w:p>
              </w:tc>
              <w:tc>
                <w:tcPr>
                  <w:tcW w:w="1364" w:type="pct"/>
                  <w:vAlign w:val="center"/>
                </w:tcPr>
                <w:p w14:paraId="5F271B6D">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SCR设施</w:t>
                  </w:r>
                </w:p>
              </w:tc>
              <w:tc>
                <w:tcPr>
                  <w:tcW w:w="1247" w:type="pct"/>
                  <w:vAlign w:val="center"/>
                </w:tcPr>
                <w:p w14:paraId="1729B8BE">
                  <w:pPr>
                    <w:pStyle w:val="138"/>
                    <w:spacing w:line="240" w:lineRule="atLeas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贮存罐</w:t>
                  </w:r>
                </w:p>
              </w:tc>
            </w:tr>
            <w:tr w14:paraId="4C8282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47" w:type="pct"/>
                  <w:vAlign w:val="center"/>
                </w:tcPr>
                <w:p w14:paraId="022DDCAE">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矿物油</w:t>
                  </w:r>
                </w:p>
              </w:tc>
              <w:tc>
                <w:tcPr>
                  <w:tcW w:w="1140" w:type="pct"/>
                  <w:vAlign w:val="center"/>
                </w:tcPr>
                <w:p w14:paraId="33523603">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16.8</w:t>
                  </w:r>
                </w:p>
              </w:tc>
              <w:tc>
                <w:tcPr>
                  <w:tcW w:w="1364" w:type="pct"/>
                  <w:vAlign w:val="center"/>
                </w:tcPr>
                <w:p w14:paraId="733F1371">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变压器</w:t>
                  </w:r>
                </w:p>
              </w:tc>
              <w:tc>
                <w:tcPr>
                  <w:tcW w:w="1247" w:type="pct"/>
                  <w:vAlign w:val="center"/>
                </w:tcPr>
                <w:p w14:paraId="444136D2">
                  <w:pPr>
                    <w:pStyle w:val="138"/>
                    <w:spacing w:line="240" w:lineRule="atLeas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油箱</w:t>
                  </w:r>
                </w:p>
              </w:tc>
            </w:tr>
          </w:tbl>
          <w:p w14:paraId="62FE4909">
            <w:pPr>
              <w:ind w:firstLine="440"/>
              <w:rPr>
                <w:rFonts w:cs="Times New Roman"/>
                <w:color w:val="000000" w:themeColor="text1"/>
                <w:sz w:val="22"/>
                <w14:textFill>
                  <w14:solidFill>
                    <w14:schemeClr w14:val="tx1"/>
                  </w14:solidFill>
                </w14:textFill>
              </w:rPr>
            </w:pPr>
            <w:r>
              <w:rPr>
                <w:rFonts w:cs="Times New Roman"/>
                <w:color w:val="000000" w:themeColor="text1"/>
                <w:sz w:val="22"/>
                <w14:textFill>
                  <w14:solidFill>
                    <w14:schemeClr w14:val="tx1"/>
                  </w14:solidFill>
                </w14:textFill>
              </w:rPr>
              <w:t>注：本项目新建DN1800高炉煤气管90m，DN700转炉煤气管100m，DN600焦炉煤气管120m，各煤气密度取值1.30 kg/Nm³，则本项目所有煤气管道煤气储存量约为0.4t。</w:t>
            </w:r>
          </w:p>
          <w:p w14:paraId="2EDA386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根据危险性识别结果，拟建项目环境风险类型主要有矿物油泄漏、氨水泄漏、煤气泄漏、煤气火灾爆炸等产生的消防废水排放。本项目危险物质扩散途径主要有以下几个方面：</w:t>
            </w:r>
          </w:p>
          <w:p w14:paraId="74F853A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（1）大气环境扩散：煤气泄漏后直接进入大气环境，或者煤气泄漏后发生火灾事故时伴生污染物进入大气环境；氨水属于易挥发的液态物质，泄漏后生成氨气通过大气扩散对周围环境造成影响。</w:t>
            </w:r>
          </w:p>
          <w:p w14:paraId="41FBC253">
            <w:pPr>
              <w:pStyle w:val="16"/>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（2）地表水环境扩散：矿物油设有事故油池，氨水罐区设有围堰，厂内设有事故水池、雨污分流等措施，发生矿物油和氨水泄漏到地表水的可能性较小。</w:t>
            </w:r>
          </w:p>
          <w:p w14:paraId="3E90D2A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（3）土壤、地下水环境扩散：泄漏氨水、矿物油或煤气泄漏发生火灾事故时产生的消防废水未得到有效收集而进入清净雨水管网，通过管网排入外环境，对周围水环境及土壤造成影响。</w:t>
            </w:r>
          </w:p>
          <w:p w14:paraId="0F0C9542">
            <w:pPr>
              <w:pStyle w:val="98"/>
              <w:spacing w:before="24" w:after="24"/>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拟建项目环境风险影响途径一览表</w:t>
            </w:r>
          </w:p>
          <w:tbl>
            <w:tblPr>
              <w:tblStyle w:val="46"/>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62"/>
              <w:gridCol w:w="919"/>
              <w:gridCol w:w="1497"/>
              <w:gridCol w:w="4523"/>
            </w:tblGrid>
            <w:tr w14:paraId="07B4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vAlign w:val="center"/>
                </w:tcPr>
                <w:p w14:paraId="0B20348F">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危险单元</w:t>
                  </w:r>
                </w:p>
              </w:tc>
              <w:tc>
                <w:tcPr>
                  <w:tcW w:w="862" w:type="dxa"/>
                  <w:vAlign w:val="center"/>
                </w:tcPr>
                <w:p w14:paraId="7F0F3A07">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涉及危险物质</w:t>
                  </w:r>
                </w:p>
              </w:tc>
              <w:tc>
                <w:tcPr>
                  <w:tcW w:w="919" w:type="dxa"/>
                  <w:vAlign w:val="center"/>
                </w:tcPr>
                <w:p w14:paraId="1BAAA675">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潜在风险源</w:t>
                  </w:r>
                </w:p>
              </w:tc>
              <w:tc>
                <w:tcPr>
                  <w:tcW w:w="1497" w:type="dxa"/>
                  <w:vAlign w:val="center"/>
                </w:tcPr>
                <w:p w14:paraId="4097929B">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环境风险类型</w:t>
                  </w:r>
                </w:p>
              </w:tc>
              <w:tc>
                <w:tcPr>
                  <w:tcW w:w="4523" w:type="dxa"/>
                  <w:vAlign w:val="center"/>
                </w:tcPr>
                <w:p w14:paraId="3A5414BF">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环境影响途径及可能受影响的环境敏感目标</w:t>
                  </w:r>
                </w:p>
              </w:tc>
            </w:tr>
            <w:tr w14:paraId="771B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vMerge w:val="restart"/>
                  <w:vAlign w:val="center"/>
                </w:tcPr>
                <w:p w14:paraId="79534084">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生产单元</w:t>
                  </w:r>
                </w:p>
              </w:tc>
              <w:tc>
                <w:tcPr>
                  <w:tcW w:w="862" w:type="dxa"/>
                  <w:vAlign w:val="center"/>
                </w:tcPr>
                <w:p w14:paraId="55820D7B">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煤气</w:t>
                  </w:r>
                </w:p>
              </w:tc>
              <w:tc>
                <w:tcPr>
                  <w:tcW w:w="919" w:type="dxa"/>
                  <w:vAlign w:val="center"/>
                </w:tcPr>
                <w:p w14:paraId="1074E4D5">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煤气管道</w:t>
                  </w:r>
                </w:p>
              </w:tc>
              <w:tc>
                <w:tcPr>
                  <w:tcW w:w="1497" w:type="dxa"/>
                  <w:vAlign w:val="center"/>
                </w:tcPr>
                <w:p w14:paraId="56A71305">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煤气泄漏、煤气火灾爆炸等产生的消防废水排放</w:t>
                  </w:r>
                </w:p>
              </w:tc>
              <w:tc>
                <w:tcPr>
                  <w:tcW w:w="4523" w:type="dxa"/>
                  <w:vMerge w:val="restart"/>
                  <w:vAlign w:val="center"/>
                </w:tcPr>
                <w:p w14:paraId="72360601">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大气扩散：事故发生时下风向一定距离内村庄居民。</w:t>
                  </w:r>
                </w:p>
                <w:p w14:paraId="490BB8D2">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水环境、土壤扩散：建设项目地块及周边地块土壤和罗源湾海水水质。</w:t>
                  </w:r>
                </w:p>
              </w:tc>
            </w:tr>
            <w:tr w14:paraId="300D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19" w:type="dxa"/>
                  <w:vMerge w:val="continue"/>
                  <w:vAlign w:val="center"/>
                </w:tcPr>
                <w:p w14:paraId="3EDABDA2">
                  <w:pPr>
                    <w:pStyle w:val="138"/>
                    <w:rPr>
                      <w:rFonts w:cs="Times New Roman"/>
                      <w:color w:val="000000" w:themeColor="text1"/>
                      <w:szCs w:val="21"/>
                      <w14:textFill>
                        <w14:solidFill>
                          <w14:schemeClr w14:val="tx1"/>
                        </w14:solidFill>
                      </w14:textFill>
                    </w:rPr>
                  </w:pPr>
                </w:p>
              </w:tc>
              <w:tc>
                <w:tcPr>
                  <w:tcW w:w="862" w:type="dxa"/>
                  <w:vAlign w:val="center"/>
                </w:tcPr>
                <w:p w14:paraId="460B9D45">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矿物油</w:t>
                  </w:r>
                </w:p>
              </w:tc>
              <w:tc>
                <w:tcPr>
                  <w:tcW w:w="919" w:type="dxa"/>
                  <w:vAlign w:val="center"/>
                </w:tcPr>
                <w:p w14:paraId="3BC68A29">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变压器</w:t>
                  </w:r>
                </w:p>
              </w:tc>
              <w:tc>
                <w:tcPr>
                  <w:tcW w:w="1497" w:type="dxa"/>
                  <w:vAlign w:val="center"/>
                </w:tcPr>
                <w:p w14:paraId="5F48F6D1">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矿物油泄漏</w:t>
                  </w:r>
                </w:p>
              </w:tc>
              <w:tc>
                <w:tcPr>
                  <w:tcW w:w="4523" w:type="dxa"/>
                  <w:vMerge w:val="continue"/>
                  <w:vAlign w:val="center"/>
                </w:tcPr>
                <w:p w14:paraId="40F66133">
                  <w:pPr>
                    <w:pStyle w:val="138"/>
                    <w:jc w:val="both"/>
                    <w:rPr>
                      <w:rFonts w:cs="Times New Roman"/>
                      <w:color w:val="000000" w:themeColor="text1"/>
                      <w:szCs w:val="21"/>
                      <w14:textFill>
                        <w14:solidFill>
                          <w14:schemeClr w14:val="tx1"/>
                        </w14:solidFill>
                      </w14:textFill>
                    </w:rPr>
                  </w:pPr>
                </w:p>
              </w:tc>
            </w:tr>
            <w:tr w14:paraId="7DF6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vAlign w:val="center"/>
                </w:tcPr>
                <w:p w14:paraId="3681A4B2">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烟气治理单元</w:t>
                  </w:r>
                </w:p>
              </w:tc>
              <w:tc>
                <w:tcPr>
                  <w:tcW w:w="862" w:type="dxa"/>
                  <w:vAlign w:val="center"/>
                </w:tcPr>
                <w:p w14:paraId="1898935F">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氨水</w:t>
                  </w:r>
                </w:p>
              </w:tc>
              <w:tc>
                <w:tcPr>
                  <w:tcW w:w="919" w:type="dxa"/>
                  <w:vAlign w:val="center"/>
                </w:tcPr>
                <w:p w14:paraId="03DA3CA0">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氨水罐</w:t>
                  </w:r>
                </w:p>
              </w:tc>
              <w:tc>
                <w:tcPr>
                  <w:tcW w:w="1497" w:type="dxa"/>
                  <w:vAlign w:val="center"/>
                </w:tcPr>
                <w:p w14:paraId="026B48C9">
                  <w:pPr>
                    <w:pStyle w:val="13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氨水泄漏</w:t>
                  </w:r>
                </w:p>
              </w:tc>
              <w:tc>
                <w:tcPr>
                  <w:tcW w:w="4523" w:type="dxa"/>
                  <w:vMerge w:val="continue"/>
                  <w:vAlign w:val="center"/>
                </w:tcPr>
                <w:p w14:paraId="46E241E4">
                  <w:pPr>
                    <w:pStyle w:val="138"/>
                    <w:jc w:val="both"/>
                    <w:rPr>
                      <w:rFonts w:cs="Times New Roman"/>
                      <w:color w:val="000000" w:themeColor="text1"/>
                      <w:szCs w:val="21"/>
                      <w14:textFill>
                        <w14:solidFill>
                          <w14:schemeClr w14:val="tx1"/>
                        </w14:solidFill>
                      </w14:textFill>
                    </w:rPr>
                  </w:pPr>
                </w:p>
              </w:tc>
            </w:tr>
          </w:tbl>
          <w:p w14:paraId="14D00CEF">
            <w:pPr>
              <w:pStyle w:val="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风险防范措施</w:t>
            </w:r>
          </w:p>
          <w:p w14:paraId="5C25DFC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（1）总图布置和建筑防范措施</w:t>
            </w:r>
          </w:p>
          <w:p w14:paraId="0A21C92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装置区的总图布置执行《钢铁企业总图运输设计规范》(GB50603-2010)、《建筑设计防火规范》(GB50016-2014)和《火力发电厂与变电站设计防火标准》(GB50229-2019)的要求，本项目生产装置和公用辅助设施的防火间距满足规范的要求，各功能区、装置之间设有环形通道，并与厂区道路相连；在充分考虑安全防护距离的前提下，实现消防和疏散通道以及人货分流等问题。在消防设计方面，以“预防为主、防消结合”的原则，严格执行国家颁布的消防法规。将危险性较高的煤气管线布置在远离办公区。远离人群密集区的区域，并在生产区的布置上充分考虑风向因素，安全防护距离，消防和疏散通道以及人货分流等问题，有利于安全生产。</w:t>
            </w:r>
          </w:p>
          <w:p w14:paraId="76C74EB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（2）工艺技术设计防范措施</w:t>
            </w:r>
          </w:p>
          <w:p w14:paraId="217EB06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宝钢德盛生产工艺成熟，但仍然存在有毒有害气体泄漏和火灾爆炸事故隐患。为保证安全、稳定、长周期生产，本项目在工艺设计中提高自动化控制水平和机械化生产水平，生产装置采用DCS控制系统，优化操作指标。煤气输送管道应执行《工业企业煤气安全规程》（GB6222-2005）的相关要求。</w:t>
            </w:r>
          </w:p>
          <w:p w14:paraId="4DE1DF19">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①煤气管道风险防范措施</w:t>
            </w:r>
          </w:p>
          <w:p w14:paraId="0A7104F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A、对有泄漏现象和迹象者及时采取处理措施。</w:t>
            </w:r>
          </w:p>
          <w:p w14:paraId="142649C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B、经常检查煤气设备的严密性，防止煤气泄漏，煤气设备容易泄漏部位，设置固定式 CO 报警装置，巡检或进行煤气作业人员持便携式 CO 报警器，一旦发现煤气泄漏必须第一时间果断的采取正确的补救措施。。</w:t>
            </w:r>
          </w:p>
          <w:p w14:paraId="422569C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C、设置连锁装置，煤气管道断裂，关闭煤气管道主管道的进口蝶阀和联动蝶阀，翻闭两蝶阀后的插板阀，翻闭煤气管道其他煤气管道上的盲板阀。</w:t>
            </w:r>
          </w:p>
          <w:p w14:paraId="542905C5">
            <w:pPr>
              <w:pStyle w:val="16"/>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②矿物油风险防范措施</w:t>
            </w:r>
          </w:p>
          <w:p w14:paraId="4EDDE1A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A、变压器布置于变压器室内，地面采用混凝土硬化防渗处理，防渗性能不应低于1.5m厚渗透系数≤10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cm/s的黏土层的防渗性能，或参照GB18598 执行。</w:t>
            </w:r>
          </w:p>
          <w:p w14:paraId="1F76310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B、变压器下方设置符合容积要求的集油坑、挡油槛，确保泄漏油品不漫流扩散。</w:t>
            </w:r>
          </w:p>
          <w:p w14:paraId="509300F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C、集油坑连接事故油池，事故油池采取防渗、防漏、加盖措施，容积满足单台最大变压器油量贮存要求。</w:t>
            </w:r>
          </w:p>
          <w:p w14:paraId="3A062D6C">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D、变压器配备油位计、压力释放阀、温度计、瓦斯继电器等安全保护装置。</w:t>
            </w:r>
          </w:p>
          <w:p w14:paraId="758D3087">
            <w:pPr>
              <w:pStyle w:val="16"/>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③氨水储罐风险防范措施</w:t>
            </w:r>
          </w:p>
          <w:p w14:paraId="42FD9D1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A、氨水储罐四周设置长5m、宽5m、高1.2m的围堰，围堰容积大于氨水储罐的有效储存量，能够将泄漏氨水围挡在围堰内。</w:t>
            </w:r>
          </w:p>
          <w:p w14:paraId="1EE44F3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B、罐区地面及围堰按相关要求进行防渗处理。定期检修储罐输送管道、阀门等，防止跑冒滴漏。</w:t>
            </w:r>
          </w:p>
          <w:p w14:paraId="0F4EB3B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C、设置固定式氨气(NH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)泄漏报警器，实时监测氨气浓度，超标立即声光报警。</w:t>
            </w:r>
          </w:p>
          <w:p w14:paraId="18E5599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（3）电气、电讯安全防范措施</w:t>
            </w:r>
          </w:p>
          <w:p w14:paraId="4064F38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在主控室、各电气室、变压器室、液压站、计算机室、操作室、电缆隧道、电缆夹层等易着火区域设置火灾自动报警及联动控制装置。</w:t>
            </w:r>
          </w:p>
          <w:p w14:paraId="64C17C1F">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（4）事故应急池</w:t>
            </w:r>
          </w:p>
          <w:p w14:paraId="5AB2D81A">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应急事故水池容积参照《石化企业水体环境风险防控技术要求》（Q/SH0729-2018）规定，公式如下：</w:t>
            </w:r>
          </w:p>
          <w:p w14:paraId="1289435D">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总</w:t>
            </w: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1</w:t>
            </w: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2</w:t>
            </w: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3</w:t>
            </w:r>
            <w:r>
              <w:rPr>
                <w:rFonts w:cs="Times New Roman"/>
                <w:color w:val="000000" w:themeColor="text1"/>
                <w:szCs w:val="18"/>
                <w14:textFill>
                  <w14:solidFill>
                    <w14:schemeClr w14:val="tx1"/>
                  </w14:solidFill>
                </w14:textFill>
              </w:rPr>
              <w:t>)max+V</w:t>
            </w:r>
            <w:r>
              <w:rPr>
                <w:rFonts w:cs="Times New Roman"/>
                <w:color w:val="000000" w:themeColor="text1"/>
                <w:szCs w:val="18"/>
                <w:vertAlign w:val="subscript"/>
                <w14:textFill>
                  <w14:solidFill>
                    <w14:schemeClr w14:val="tx1"/>
                  </w14:solidFill>
                </w14:textFill>
              </w:rPr>
              <w:t>4</w:t>
            </w: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5</w:t>
            </w:r>
          </w:p>
          <w:p w14:paraId="1002DA3C">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式中：V</w:t>
            </w:r>
            <w:r>
              <w:rPr>
                <w:rFonts w:cs="Times New Roman"/>
                <w:color w:val="000000" w:themeColor="text1"/>
                <w:szCs w:val="18"/>
                <w:vertAlign w:val="subscript"/>
                <w14:textFill>
                  <w14:solidFill>
                    <w14:schemeClr w14:val="tx1"/>
                  </w14:solidFill>
                </w14:textFill>
              </w:rPr>
              <w:t>1</w:t>
            </w:r>
            <w:r>
              <w:rPr>
                <w:rFonts w:cs="Times New Roman"/>
                <w:color w:val="000000" w:themeColor="text1"/>
                <w:szCs w:val="18"/>
                <w14:textFill>
                  <w14:solidFill>
                    <w14:schemeClr w14:val="tx1"/>
                  </w14:solidFill>
                </w14:textFill>
              </w:rPr>
              <w:t>—收集系统范围内发生事故时的泄漏物料量；</w:t>
            </w:r>
          </w:p>
          <w:p w14:paraId="20A2BA03">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2</w:t>
            </w:r>
            <w:r>
              <w:rPr>
                <w:rFonts w:cs="Times New Roman"/>
                <w:color w:val="000000" w:themeColor="text1"/>
                <w:szCs w:val="18"/>
                <w14:textFill>
                  <w14:solidFill>
                    <w14:schemeClr w14:val="tx1"/>
                  </w14:solidFill>
                </w14:textFill>
              </w:rPr>
              <w:t>—发生事故的消防水量；</w:t>
            </w:r>
          </w:p>
          <w:p w14:paraId="2744CA14">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3</w:t>
            </w:r>
            <w:r>
              <w:rPr>
                <w:rFonts w:cs="Times New Roman"/>
                <w:color w:val="000000" w:themeColor="text1"/>
                <w:szCs w:val="18"/>
                <w14:textFill>
                  <w14:solidFill>
                    <w14:schemeClr w14:val="tx1"/>
                  </w14:solidFill>
                </w14:textFill>
              </w:rPr>
              <w:t>—发生事故时可以转输到其他储存或处理设施的物料量；</w:t>
            </w:r>
          </w:p>
          <w:p w14:paraId="616C4475">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4</w:t>
            </w:r>
            <w:r>
              <w:rPr>
                <w:rFonts w:cs="Times New Roman"/>
                <w:color w:val="000000" w:themeColor="text1"/>
                <w:szCs w:val="18"/>
                <w14:textFill>
                  <w14:solidFill>
                    <w14:schemeClr w14:val="tx1"/>
                  </w14:solidFill>
                </w14:textFill>
              </w:rPr>
              <w:t>—发生事故时必须进入该收集池的生产废水量；</w:t>
            </w:r>
          </w:p>
          <w:p w14:paraId="6EDA71B2">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5</w:t>
            </w:r>
            <w:r>
              <w:rPr>
                <w:rFonts w:cs="Times New Roman"/>
                <w:color w:val="000000" w:themeColor="text1"/>
                <w:szCs w:val="18"/>
                <w14:textFill>
                  <w14:solidFill>
                    <w14:schemeClr w14:val="tx1"/>
                  </w14:solidFill>
                </w14:textFill>
              </w:rPr>
              <w:t>一发生事故时可能进入该收集系统的降雨量。V</w:t>
            </w:r>
            <w:r>
              <w:rPr>
                <w:rFonts w:cs="Times New Roman"/>
                <w:color w:val="000000" w:themeColor="text1"/>
                <w:szCs w:val="18"/>
                <w:vertAlign w:val="subscript"/>
                <w14:textFill>
                  <w14:solidFill>
                    <w14:schemeClr w14:val="tx1"/>
                  </w14:solidFill>
                </w14:textFill>
              </w:rPr>
              <w:t>5</w:t>
            </w:r>
            <w:r>
              <w:rPr>
                <w:rFonts w:cs="Times New Roman"/>
                <w:color w:val="000000" w:themeColor="text1"/>
                <w:szCs w:val="18"/>
                <w14:textFill>
                  <w14:solidFill>
                    <w14:schemeClr w14:val="tx1"/>
                  </w14:solidFill>
                </w14:textFill>
              </w:rPr>
              <w:t>=10qF，其中q=qa/n，日平均降雨量；F：必须进入事故池的雨水汇水面积，ha。</w:t>
            </w:r>
          </w:p>
          <w:p w14:paraId="257796D1">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（1）物料泄漏（V</w:t>
            </w:r>
            <w:r>
              <w:rPr>
                <w:rFonts w:cs="Times New Roman"/>
                <w:color w:val="000000" w:themeColor="text1"/>
                <w:szCs w:val="18"/>
                <w:vertAlign w:val="subscript"/>
                <w14:textFill>
                  <w14:solidFill>
                    <w14:schemeClr w14:val="tx1"/>
                  </w14:solidFill>
                </w14:textFill>
              </w:rPr>
              <w:t>1</w:t>
            </w:r>
            <w:r>
              <w:rPr>
                <w:rFonts w:cs="Times New Roman"/>
                <w:color w:val="000000" w:themeColor="text1"/>
                <w:szCs w:val="18"/>
                <w14:textFill>
                  <w14:solidFill>
                    <w14:schemeClr w14:val="tx1"/>
                  </w14:solidFill>
                </w14:textFill>
              </w:rPr>
              <w:t>）</w:t>
            </w:r>
          </w:p>
          <w:p w14:paraId="0F7E108B">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拟建项目有</w:t>
            </w:r>
            <w:r>
              <w:rPr>
                <w:rFonts w:cs="Times New Roman"/>
                <w:color w:val="000000" w:themeColor="text1"/>
                <w14:textFill>
                  <w14:solidFill>
                    <w14:schemeClr w14:val="tx1"/>
                  </w14:solidFill>
                </w14:textFill>
              </w:rPr>
              <w:t>5%氨水罐30t</w:t>
            </w:r>
            <w:r>
              <w:rPr>
                <w:rFonts w:cs="Times New Roman"/>
                <w:color w:val="000000" w:themeColor="text1"/>
                <w:szCs w:val="18"/>
                <w14:textFill>
                  <w14:solidFill>
                    <w14:schemeClr w14:val="tx1"/>
                  </w14:solidFill>
                </w14:textFill>
              </w:rPr>
              <w:t>，若生泄漏，</w:t>
            </w:r>
            <w:r>
              <w:rPr>
                <w:rFonts w:cs="Times New Roman"/>
                <w:color w:val="000000" w:themeColor="text1"/>
                <w14:textFill>
                  <w14:solidFill>
                    <w14:schemeClr w14:val="tx1"/>
                  </w14:solidFill>
                </w14:textFill>
              </w:rPr>
              <w:t>氨水罐区域</w:t>
            </w:r>
            <w:r>
              <w:rPr>
                <w:rFonts w:cs="Times New Roman"/>
                <w:color w:val="000000" w:themeColor="text1"/>
                <w:szCs w:val="18"/>
                <w14:textFill>
                  <w14:solidFill>
                    <w14:schemeClr w14:val="tx1"/>
                  </w14:solidFill>
                </w14:textFill>
              </w:rPr>
              <w:t>设置有容积为30m</w:t>
            </w:r>
            <w:r>
              <w:rPr>
                <w:rFonts w:cs="Times New Roman"/>
                <w:color w:val="000000" w:themeColor="text1"/>
                <w:szCs w:val="18"/>
                <w:vertAlign w:val="superscript"/>
                <w14:textFill>
                  <w14:solidFill>
                    <w14:schemeClr w14:val="tx1"/>
                  </w14:solidFill>
                </w14:textFill>
              </w:rPr>
              <w:t>3</w:t>
            </w:r>
            <w:r>
              <w:rPr>
                <w:rFonts w:cs="Times New Roman"/>
                <w:color w:val="000000" w:themeColor="text1"/>
                <w:szCs w:val="18"/>
                <w14:textFill>
                  <w14:solidFill>
                    <w14:schemeClr w14:val="tx1"/>
                  </w14:solidFill>
                </w14:textFill>
              </w:rPr>
              <w:t>围堰，足以容纳泄漏的</w:t>
            </w:r>
            <w:r>
              <w:rPr>
                <w:rFonts w:cs="Times New Roman"/>
                <w:color w:val="000000" w:themeColor="text1"/>
                <w14:textFill>
                  <w14:solidFill>
                    <w14:schemeClr w14:val="tx1"/>
                  </w14:solidFill>
                </w14:textFill>
              </w:rPr>
              <w:t>氨水</w:t>
            </w:r>
            <w:r>
              <w:rPr>
                <w:rFonts w:cs="Times New Roman"/>
                <w:color w:val="000000" w:themeColor="text1"/>
                <w:szCs w:val="18"/>
                <w14:textFill>
                  <w14:solidFill>
                    <w14:schemeClr w14:val="tx1"/>
                  </w14:solidFill>
                </w14:textFill>
              </w:rPr>
              <w:t>。最大可信事故为</w:t>
            </w:r>
            <w:r>
              <w:rPr>
                <w:rFonts w:cs="Times New Roman"/>
                <w:color w:val="000000" w:themeColor="text1"/>
                <w14:textFill>
                  <w14:solidFill>
                    <w14:schemeClr w14:val="tx1"/>
                  </w14:solidFill>
                </w14:textFill>
              </w:rPr>
              <w:t>氨水罐破裂</w:t>
            </w:r>
            <w:r>
              <w:rPr>
                <w:rFonts w:cs="Times New Roman"/>
                <w:color w:val="000000" w:themeColor="text1"/>
                <w:szCs w:val="18"/>
                <w14:textFill>
                  <w14:solidFill>
                    <w14:schemeClr w14:val="tx1"/>
                  </w14:solidFill>
                </w14:textFill>
              </w:rPr>
              <w:t>泄漏，泄漏物可截留于围堰内。</w:t>
            </w:r>
          </w:p>
          <w:p w14:paraId="63AB38FA">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（2）发生事故的最大消防用水量（V</w:t>
            </w:r>
            <w:r>
              <w:rPr>
                <w:rFonts w:cs="Times New Roman"/>
                <w:color w:val="000000" w:themeColor="text1"/>
                <w:szCs w:val="18"/>
                <w:vertAlign w:val="subscript"/>
                <w14:textFill>
                  <w14:solidFill>
                    <w14:schemeClr w14:val="tx1"/>
                  </w14:solidFill>
                </w14:textFill>
              </w:rPr>
              <w:t>2</w:t>
            </w:r>
            <w:r>
              <w:rPr>
                <w:rFonts w:cs="Times New Roman"/>
                <w:color w:val="000000" w:themeColor="text1"/>
                <w:szCs w:val="18"/>
                <w14:textFill>
                  <w14:solidFill>
                    <w14:schemeClr w14:val="tx1"/>
                  </w14:solidFill>
                </w14:textFill>
              </w:rPr>
              <w:t>）</w:t>
            </w:r>
          </w:p>
          <w:p w14:paraId="6B8B71CE">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根据车间消防设计，室内消防栓水量为20L/s；火灾延续时间按3h计算。假设一次火灾产生的消防废水量为消防废水用量。经计算，一次消防废水产生量为216m</w:t>
            </w:r>
            <w:r>
              <w:rPr>
                <w:rFonts w:cs="Times New Roman"/>
                <w:color w:val="000000" w:themeColor="text1"/>
                <w:szCs w:val="18"/>
                <w:vertAlign w:val="superscript"/>
                <w14:textFill>
                  <w14:solidFill>
                    <w14:schemeClr w14:val="tx1"/>
                  </w14:solidFill>
                </w14:textFill>
              </w:rPr>
              <w:t>3</w:t>
            </w:r>
            <w:r>
              <w:rPr>
                <w:rFonts w:cs="Times New Roman"/>
                <w:color w:val="000000" w:themeColor="text1"/>
                <w:szCs w:val="18"/>
                <w14:textFill>
                  <w14:solidFill>
                    <w14:schemeClr w14:val="tx1"/>
                  </w14:solidFill>
                </w14:textFill>
              </w:rPr>
              <w:t>。</w:t>
            </w:r>
          </w:p>
          <w:p w14:paraId="5B7C8709">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（3）发生事故时可以转输到其他储存或处理设施的物料量（V</w:t>
            </w:r>
            <w:r>
              <w:rPr>
                <w:rFonts w:cs="Times New Roman"/>
                <w:color w:val="000000" w:themeColor="text1"/>
                <w:szCs w:val="18"/>
                <w:vertAlign w:val="subscript"/>
                <w14:textFill>
                  <w14:solidFill>
                    <w14:schemeClr w14:val="tx1"/>
                  </w14:solidFill>
                </w14:textFill>
              </w:rPr>
              <w:t>3</w:t>
            </w:r>
            <w:r>
              <w:rPr>
                <w:rFonts w:cs="Times New Roman"/>
                <w:color w:val="000000" w:themeColor="text1"/>
                <w:szCs w:val="18"/>
                <w14:textFill>
                  <w14:solidFill>
                    <w14:schemeClr w14:val="tx1"/>
                  </w14:solidFill>
                </w14:textFill>
              </w:rPr>
              <w:t>）</w:t>
            </w:r>
          </w:p>
          <w:p w14:paraId="794CFAF3">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3</w:t>
            </w:r>
            <w:r>
              <w:rPr>
                <w:rFonts w:cs="Times New Roman"/>
                <w:color w:val="000000" w:themeColor="text1"/>
                <w:szCs w:val="18"/>
                <w14:textFill>
                  <w14:solidFill>
                    <w14:schemeClr w14:val="tx1"/>
                  </w14:solidFill>
                </w14:textFill>
              </w:rPr>
              <w:t>=30m</w:t>
            </w:r>
            <w:r>
              <w:rPr>
                <w:rFonts w:cs="Times New Roman"/>
                <w:color w:val="000000" w:themeColor="text1"/>
                <w:szCs w:val="18"/>
                <w:vertAlign w:val="superscript"/>
                <w14:textFill>
                  <w14:solidFill>
                    <w14:schemeClr w14:val="tx1"/>
                  </w14:solidFill>
                </w14:textFill>
              </w:rPr>
              <w:t>3</w:t>
            </w:r>
            <w:r>
              <w:rPr>
                <w:rFonts w:cs="Times New Roman"/>
                <w:color w:val="000000" w:themeColor="text1"/>
                <w:szCs w:val="18"/>
                <w14:textFill>
                  <w14:solidFill>
                    <w14:schemeClr w14:val="tx1"/>
                  </w14:solidFill>
                </w14:textFill>
              </w:rPr>
              <w:t>，有容积为30m</w:t>
            </w:r>
            <w:r>
              <w:rPr>
                <w:rFonts w:cs="Times New Roman"/>
                <w:color w:val="000000" w:themeColor="text1"/>
                <w:szCs w:val="18"/>
                <w:vertAlign w:val="superscript"/>
                <w14:textFill>
                  <w14:solidFill>
                    <w14:schemeClr w14:val="tx1"/>
                  </w14:solidFill>
                </w14:textFill>
              </w:rPr>
              <w:t>3</w:t>
            </w:r>
            <w:r>
              <w:rPr>
                <w:rFonts w:cs="Times New Roman"/>
                <w:color w:val="000000" w:themeColor="text1"/>
                <w:szCs w:val="18"/>
                <w14:textFill>
                  <w14:solidFill>
                    <w14:schemeClr w14:val="tx1"/>
                  </w14:solidFill>
                </w14:textFill>
              </w:rPr>
              <w:t>围堰。</w:t>
            </w:r>
          </w:p>
          <w:p w14:paraId="5F24F94A">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（4）生产废水应急所需容积（V</w:t>
            </w:r>
            <w:r>
              <w:rPr>
                <w:rFonts w:cs="Times New Roman"/>
                <w:color w:val="000000" w:themeColor="text1"/>
                <w:szCs w:val="18"/>
                <w:vertAlign w:val="subscript"/>
                <w14:textFill>
                  <w14:solidFill>
                    <w14:schemeClr w14:val="tx1"/>
                  </w14:solidFill>
                </w14:textFill>
              </w:rPr>
              <w:t>4</w:t>
            </w:r>
            <w:r>
              <w:rPr>
                <w:rFonts w:cs="Times New Roman"/>
                <w:color w:val="000000" w:themeColor="text1"/>
                <w:szCs w:val="18"/>
                <w14:textFill>
                  <w14:solidFill>
                    <w14:schemeClr w14:val="tx1"/>
                  </w14:solidFill>
                </w14:textFill>
              </w:rPr>
              <w:t>）</w:t>
            </w:r>
          </w:p>
          <w:p w14:paraId="6325823A">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发生事故时生产废水进入污水处理站的应急池，则V</w:t>
            </w:r>
            <w:r>
              <w:rPr>
                <w:rFonts w:cs="Times New Roman"/>
                <w:color w:val="000000" w:themeColor="text1"/>
                <w:szCs w:val="18"/>
                <w:vertAlign w:val="subscript"/>
                <w14:textFill>
                  <w14:solidFill>
                    <w14:schemeClr w14:val="tx1"/>
                  </w14:solidFill>
                </w14:textFill>
              </w:rPr>
              <w:t>4</w:t>
            </w:r>
            <w:r>
              <w:rPr>
                <w:rFonts w:cs="Times New Roman"/>
                <w:color w:val="000000" w:themeColor="text1"/>
                <w:szCs w:val="18"/>
                <w14:textFill>
                  <w14:solidFill>
                    <w14:schemeClr w14:val="tx1"/>
                  </w14:solidFill>
                </w14:textFill>
              </w:rPr>
              <w:t>=0m</w:t>
            </w:r>
            <w:r>
              <w:rPr>
                <w:rFonts w:cs="Times New Roman"/>
                <w:color w:val="000000" w:themeColor="text1"/>
                <w:szCs w:val="18"/>
                <w:vertAlign w:val="superscript"/>
                <w14:textFill>
                  <w14:solidFill>
                    <w14:schemeClr w14:val="tx1"/>
                  </w14:solidFill>
                </w14:textFill>
              </w:rPr>
              <w:t>3</w:t>
            </w:r>
            <w:r>
              <w:rPr>
                <w:rFonts w:cs="Times New Roman"/>
                <w:color w:val="000000" w:themeColor="text1"/>
                <w:szCs w:val="18"/>
                <w14:textFill>
                  <w14:solidFill>
                    <w14:schemeClr w14:val="tx1"/>
                  </w14:solidFill>
                </w14:textFill>
              </w:rPr>
              <w:t>。</w:t>
            </w:r>
          </w:p>
          <w:p w14:paraId="16C9598C">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（5）降雨量（V</w:t>
            </w:r>
            <w:r>
              <w:rPr>
                <w:rFonts w:cs="Times New Roman"/>
                <w:color w:val="000000" w:themeColor="text1"/>
                <w:szCs w:val="18"/>
                <w:vertAlign w:val="subscript"/>
                <w14:textFill>
                  <w14:solidFill>
                    <w14:schemeClr w14:val="tx1"/>
                  </w14:solidFill>
                </w14:textFill>
              </w:rPr>
              <w:t>5</w:t>
            </w:r>
            <w:r>
              <w:rPr>
                <w:rFonts w:cs="Times New Roman"/>
                <w:color w:val="000000" w:themeColor="text1"/>
                <w:szCs w:val="18"/>
                <w14:textFill>
                  <w14:solidFill>
                    <w14:schemeClr w14:val="tx1"/>
                  </w14:solidFill>
                </w14:textFill>
              </w:rPr>
              <w:t>）</w:t>
            </w:r>
          </w:p>
          <w:p w14:paraId="11658B07">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福州市年均降水量约取1342mm，年平均降雨天数取145天，则q为9.255mm/d，屋面的雨水通过雨水管道独立收集，发生事故时可能进入该收集系统的降雨量为露天硬化路面汇水面积，约0.15ha，则V</w:t>
            </w:r>
            <w:r>
              <w:rPr>
                <w:rFonts w:cs="Times New Roman"/>
                <w:color w:val="000000" w:themeColor="text1"/>
                <w:szCs w:val="18"/>
                <w:vertAlign w:val="subscript"/>
                <w14:textFill>
                  <w14:solidFill>
                    <w14:schemeClr w14:val="tx1"/>
                  </w14:solidFill>
                </w14:textFill>
              </w:rPr>
              <w:t>5</w:t>
            </w:r>
            <w:r>
              <w:rPr>
                <w:rFonts w:cs="Times New Roman"/>
                <w:color w:val="000000" w:themeColor="text1"/>
                <w:szCs w:val="18"/>
                <w14:textFill>
                  <w14:solidFill>
                    <w14:schemeClr w14:val="tx1"/>
                  </w14:solidFill>
                </w14:textFill>
              </w:rPr>
              <w:t>=14m</w:t>
            </w:r>
            <w:r>
              <w:rPr>
                <w:rFonts w:cs="Times New Roman"/>
                <w:color w:val="000000" w:themeColor="text1"/>
                <w:szCs w:val="18"/>
                <w:vertAlign w:val="superscript"/>
                <w14:textFill>
                  <w14:solidFill>
                    <w14:schemeClr w14:val="tx1"/>
                  </w14:solidFill>
                </w14:textFill>
              </w:rPr>
              <w:t>3</w:t>
            </w:r>
            <w:r>
              <w:rPr>
                <w:rFonts w:cs="Times New Roman"/>
                <w:color w:val="000000" w:themeColor="text1"/>
                <w:szCs w:val="18"/>
                <w14:textFill>
                  <w14:solidFill>
                    <w14:schemeClr w14:val="tx1"/>
                  </w14:solidFill>
                </w14:textFill>
              </w:rPr>
              <w:t>。</w:t>
            </w:r>
          </w:p>
          <w:p w14:paraId="50A85276">
            <w:pPr>
              <w:pStyle w:val="363"/>
              <w:ind w:firstLine="480"/>
              <w:rPr>
                <w:rFonts w:cs="Times New Roman"/>
                <w:color w:val="000000" w:themeColor="text1"/>
                <w:szCs w:val="18"/>
                <w14:textFill>
                  <w14:solidFill>
                    <w14:schemeClr w14:val="tx1"/>
                  </w14:solidFill>
                </w14:textFill>
              </w:rPr>
            </w:pPr>
            <w:r>
              <w:rPr>
                <w:rFonts w:cs="Times New Roman"/>
                <w:color w:val="000000" w:themeColor="text1"/>
                <w:szCs w:val="18"/>
                <w14:textFill>
                  <w14:solidFill>
                    <w14:schemeClr w14:val="tx1"/>
                  </w14:solidFill>
                </w14:textFill>
              </w:rPr>
              <w:t>消防事故应急池V</w:t>
            </w:r>
            <w:r>
              <w:rPr>
                <w:rFonts w:cs="Times New Roman"/>
                <w:color w:val="000000" w:themeColor="text1"/>
                <w:szCs w:val="18"/>
                <w:vertAlign w:val="subscript"/>
                <w14:textFill>
                  <w14:solidFill>
                    <w14:schemeClr w14:val="tx1"/>
                  </w14:solidFill>
                </w14:textFill>
              </w:rPr>
              <w:t>总</w:t>
            </w: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1</w:t>
            </w: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2</w:t>
            </w: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3</w:t>
            </w:r>
            <w:r>
              <w:rPr>
                <w:rFonts w:cs="Times New Roman"/>
                <w:color w:val="000000" w:themeColor="text1"/>
                <w:szCs w:val="18"/>
                <w14:textFill>
                  <w14:solidFill>
                    <w14:schemeClr w14:val="tx1"/>
                  </w14:solidFill>
                </w14:textFill>
              </w:rPr>
              <w:t>)max+V</w:t>
            </w:r>
            <w:r>
              <w:rPr>
                <w:rFonts w:cs="Times New Roman"/>
                <w:color w:val="000000" w:themeColor="text1"/>
                <w:szCs w:val="18"/>
                <w:vertAlign w:val="subscript"/>
                <w14:textFill>
                  <w14:solidFill>
                    <w14:schemeClr w14:val="tx1"/>
                  </w14:solidFill>
                </w14:textFill>
              </w:rPr>
              <w:t>4</w:t>
            </w:r>
            <w:r>
              <w:rPr>
                <w:rFonts w:cs="Times New Roman"/>
                <w:color w:val="000000" w:themeColor="text1"/>
                <w:szCs w:val="18"/>
                <w14:textFill>
                  <w14:solidFill>
                    <w14:schemeClr w14:val="tx1"/>
                  </w14:solidFill>
                </w14:textFill>
              </w:rPr>
              <w:t>+V</w:t>
            </w:r>
            <w:r>
              <w:rPr>
                <w:rFonts w:cs="Times New Roman"/>
                <w:color w:val="000000" w:themeColor="text1"/>
                <w:szCs w:val="18"/>
                <w:vertAlign w:val="subscript"/>
                <w14:textFill>
                  <w14:solidFill>
                    <w14:schemeClr w14:val="tx1"/>
                  </w14:solidFill>
                </w14:textFill>
              </w:rPr>
              <w:t>5</w:t>
            </w:r>
            <w:r>
              <w:rPr>
                <w:rFonts w:cs="Times New Roman"/>
                <w:color w:val="000000" w:themeColor="text1"/>
                <w:szCs w:val="18"/>
                <w14:textFill>
                  <w14:solidFill>
                    <w14:schemeClr w14:val="tx1"/>
                  </w14:solidFill>
                </w14:textFill>
              </w:rPr>
              <w:t>=（30+216-30）+0+14=230m</w:t>
            </w:r>
            <w:r>
              <w:rPr>
                <w:rFonts w:cs="Times New Roman"/>
                <w:color w:val="000000" w:themeColor="text1"/>
                <w:szCs w:val="18"/>
                <w:vertAlign w:val="superscript"/>
                <w14:textFill>
                  <w14:solidFill>
                    <w14:schemeClr w14:val="tx1"/>
                  </w14:solidFill>
                </w14:textFill>
              </w:rPr>
              <w:t>3</w:t>
            </w:r>
            <w:r>
              <w:rPr>
                <w:rFonts w:cs="Times New Roman"/>
                <w:color w:val="000000" w:themeColor="text1"/>
                <w:szCs w:val="18"/>
                <w14:textFill>
                  <w14:solidFill>
                    <w14:schemeClr w14:val="tx1"/>
                  </w14:solidFill>
                </w14:textFill>
              </w:rPr>
              <w:t>。</w:t>
            </w:r>
          </w:p>
          <w:p w14:paraId="1920E573">
            <w:pPr>
              <w:ind w:firstLine="480"/>
              <w:rPr>
                <w:rFonts w:cs="Times New Roman"/>
                <w:color w:val="000000" w:themeColor="text1"/>
                <w14:textFill>
                  <w14:solidFill>
                    <w14:schemeClr w14:val="tx1"/>
                  </w14:solidFill>
                </w14:textFill>
              </w:rPr>
            </w:pPr>
            <w:r>
              <w:rPr>
                <w:rFonts w:cs="Times New Roman"/>
                <w:color w:val="000000" w:themeColor="text1"/>
                <w:szCs w:val="18"/>
                <w14:textFill>
                  <w14:solidFill>
                    <w14:schemeClr w14:val="tx1"/>
                  </w14:solidFill>
                </w14:textFill>
              </w:rPr>
              <w:t>因此，拟建项目发生事故情境下将产生约 223m</w:t>
            </w:r>
            <w:r>
              <w:rPr>
                <w:rFonts w:cs="Times New Roman"/>
                <w:color w:val="000000" w:themeColor="text1"/>
                <w:szCs w:val="18"/>
                <w:vertAlign w:val="superscript"/>
                <w14:textFill>
                  <w14:solidFill>
                    <w14:schemeClr w14:val="tx1"/>
                  </w14:solidFill>
                </w14:textFill>
              </w:rPr>
              <w:t>3</w:t>
            </w:r>
            <w:r>
              <w:rPr>
                <w:rFonts w:cs="Times New Roman"/>
                <w:color w:val="000000" w:themeColor="text1"/>
                <w:szCs w:val="18"/>
                <w14:textFill>
                  <w14:solidFill>
                    <w14:schemeClr w14:val="tx1"/>
                  </w14:solidFill>
                </w14:textFill>
              </w:rPr>
              <w:t>的事故废水，项目所在区域</w:t>
            </w:r>
            <w:r>
              <w:rPr>
                <w:rFonts w:cs="Times New Roman"/>
                <w:color w:val="000000" w:themeColor="text1"/>
                <w14:textFill>
                  <w14:solidFill>
                    <w14:schemeClr w14:val="tx1"/>
                  </w14:solidFill>
                </w14:textFill>
              </w:rPr>
              <w:t>已建1100m</w:t>
            </w:r>
            <w:r>
              <w:rPr>
                <w:rFonts w:cs="Times New Roman"/>
                <w:color w:val="000000" w:themeColor="text1"/>
                <w:sz w:val="22"/>
                <w:szCs w:val="21"/>
                <w:vertAlign w:val="superscript"/>
                <w14:textFill>
                  <w14:solidFill>
                    <w14:schemeClr w14:val="tx1"/>
                  </w14:solidFill>
                </w14:textFill>
              </w:rPr>
              <w:t xml:space="preserve">3 </w:t>
            </w:r>
            <w:r>
              <w:rPr>
                <w:rFonts w:cs="Times New Roman"/>
                <w:color w:val="000000" w:themeColor="text1"/>
                <w14:textFill>
                  <w14:solidFill>
                    <w14:schemeClr w14:val="tx1"/>
                  </w14:solidFill>
                </w14:textFill>
              </w:rPr>
              <w:t>4#事故应急池，可保证本项目应急需求。</w:t>
            </w:r>
          </w:p>
          <w:p w14:paraId="5F712B7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（5）应急响应</w:t>
            </w:r>
          </w:p>
          <w:p w14:paraId="4AC502E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采取优化设计、加强管理等措施预防风险事故的发生，一旦发生煤气泄漏事故，发现人员采取应急措施并上报领导，领导接到通知后立即启动应急预案，组织应急队伍进行现场控制，通知疏散可能受到影响的员工及敏感点人员，隔离事故发生区域，切断泄漏源，采取控制措施消减事故，待事故处理结束后逐步消除事故影响。</w:t>
            </w:r>
          </w:p>
          <w:p w14:paraId="68CB08E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（6）应急预案</w:t>
            </w:r>
          </w:p>
          <w:p w14:paraId="1948A86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落实有效的环境风险措施后，拟建项目环境风险是可防控的。本项目要切实从建设、生产、管理等各方面积极采取防护措施，及时修订突发环境事件应急预案，按照生产实际完善应急资源储备，做好与园区环境风险防控体系的衔接与分级影响措施。</w:t>
            </w:r>
          </w:p>
        </w:tc>
      </w:tr>
    </w:tbl>
    <w:p w14:paraId="7BF0B65D">
      <w:pPr>
        <w:adjustRightInd w:val="0"/>
        <w:snapToGrid w:val="0"/>
        <w:ind w:firstLine="562"/>
        <w:rPr>
          <w:rFonts w:cs="Times New Roman"/>
          <w:b/>
          <w:color w:val="000000" w:themeColor="text1"/>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p w14:paraId="6088B048">
      <w:pPr>
        <w:pStyle w:val="2"/>
        <w:rPr>
          <w:rFonts w:cs="Times New Roman"/>
          <w:snapToGrid w:val="0"/>
          <w:color w:val="000000" w:themeColor="text1"/>
          <w14:textFill>
            <w14:solidFill>
              <w14:schemeClr w14:val="tx1"/>
            </w14:solidFill>
          </w14:textFill>
        </w:rPr>
      </w:pPr>
      <w:bookmarkStart w:id="178" w:name="_Toc230448059"/>
      <w:bookmarkStart w:id="179" w:name="_Hlk54167917"/>
      <w:bookmarkStart w:id="180" w:name="_Toc236219306"/>
      <w:r>
        <w:rPr>
          <w:rFonts w:cs="Times New Roman"/>
          <w:color w:val="000000" w:themeColor="text1"/>
          <w14:textFill>
            <w14:solidFill>
              <w14:schemeClr w14:val="tx1"/>
            </w14:solidFill>
          </w14:textFill>
        </w:rPr>
        <w:t>（</w:t>
      </w:r>
      <w:r>
        <w:rPr>
          <w:rFonts w:cs="Times New Roman"/>
          <w:snapToGrid w:val="0"/>
          <w:color w:val="000000" w:themeColor="text1"/>
          <w14:textFill>
            <w14:solidFill>
              <w14:schemeClr w14:val="tx1"/>
            </w14:solidFill>
          </w14:textFill>
        </w:rPr>
        <w:t>五</w:t>
      </w:r>
      <w:r>
        <w:rPr>
          <w:rFonts w:cs="Times New Roman"/>
          <w:color w:val="000000" w:themeColor="text1"/>
          <w14:textFill>
            <w14:solidFill>
              <w14:schemeClr w14:val="tx1"/>
            </w14:solidFill>
          </w14:textFill>
        </w:rPr>
        <w:t>）</w:t>
      </w:r>
      <w:r>
        <w:rPr>
          <w:rFonts w:cs="Times New Roman"/>
          <w:snapToGrid w:val="0"/>
          <w:color w:val="000000" w:themeColor="text1"/>
          <w14:textFill>
            <w14:solidFill>
              <w14:schemeClr w14:val="tx1"/>
            </w14:solidFill>
          </w14:textFill>
        </w:rPr>
        <w:t>环境保护措施监督检查清单</w:t>
      </w:r>
      <w:bookmarkEnd w:id="178"/>
      <w:bookmarkEnd w:id="179"/>
      <w:bookmarkEnd w:id="180"/>
    </w:p>
    <w:tbl>
      <w:tblPr>
        <w:tblStyle w:val="4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1811"/>
        <w:gridCol w:w="1418"/>
        <w:gridCol w:w="1843"/>
        <w:gridCol w:w="2147"/>
      </w:tblGrid>
      <w:tr w14:paraId="7FC74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581" w:type="dxa"/>
            <w:tcBorders>
              <w:tl2br w:val="single" w:color="auto" w:sz="4" w:space="0"/>
            </w:tcBorders>
          </w:tcPr>
          <w:p w14:paraId="51727EAB">
            <w:pPr>
              <w:pStyle w:val="90"/>
              <w:rPr>
                <w:color w:val="000000" w:themeColor="text1"/>
                <w14:textFill>
                  <w14:solidFill>
                    <w14:schemeClr w14:val="tx1"/>
                  </w14:solidFill>
                </w14:textFill>
              </w:rPr>
            </w:pPr>
            <w:r>
              <w:rPr>
                <w:color w:val="000000" w:themeColor="text1"/>
                <w14:textFill>
                  <w14:solidFill>
                    <w14:schemeClr w14:val="tx1"/>
                  </w14:solidFill>
                </w14:textFill>
              </w:rPr>
              <w:t>内容</w:t>
            </w:r>
          </w:p>
          <w:p w14:paraId="1022B755">
            <w:pPr>
              <w:pStyle w:val="90"/>
              <w:rPr>
                <w:color w:val="000000" w:themeColor="text1"/>
                <w14:textFill>
                  <w14:solidFill>
                    <w14:schemeClr w14:val="tx1"/>
                  </w14:solidFill>
                </w14:textFill>
              </w:rPr>
            </w:pPr>
            <w:r>
              <w:rPr>
                <w:color w:val="000000" w:themeColor="text1"/>
                <w14:textFill>
                  <w14:solidFill>
                    <w14:schemeClr w14:val="tx1"/>
                  </w14:solidFill>
                </w14:textFill>
              </w:rPr>
              <w:t>要素</w:t>
            </w:r>
          </w:p>
        </w:tc>
        <w:tc>
          <w:tcPr>
            <w:tcW w:w="1811" w:type="dxa"/>
            <w:vAlign w:val="center"/>
          </w:tcPr>
          <w:p w14:paraId="7C0A4FBC">
            <w:pPr>
              <w:pStyle w:val="90"/>
              <w:rPr>
                <w:color w:val="000000" w:themeColor="text1"/>
                <w14:textFill>
                  <w14:solidFill>
                    <w14:schemeClr w14:val="tx1"/>
                  </w14:solidFill>
                </w14:textFill>
              </w:rPr>
            </w:pPr>
            <w:r>
              <w:rPr>
                <w:color w:val="000000" w:themeColor="text1"/>
                <w14:textFill>
                  <w14:solidFill>
                    <w14:schemeClr w14:val="tx1"/>
                  </w14:solidFill>
                </w14:textFill>
              </w:rPr>
              <w:t>排放口(编号、</w:t>
            </w:r>
          </w:p>
          <w:p w14:paraId="53CE0F51">
            <w:pPr>
              <w:pStyle w:val="90"/>
              <w:rPr>
                <w:color w:val="000000" w:themeColor="text1"/>
                <w14:textFill>
                  <w14:solidFill>
                    <w14:schemeClr w14:val="tx1"/>
                  </w14:solidFill>
                </w14:textFill>
              </w:rPr>
            </w:pPr>
            <w:r>
              <w:rPr>
                <w:color w:val="000000" w:themeColor="text1"/>
                <w14:textFill>
                  <w14:solidFill>
                    <w14:schemeClr w14:val="tx1"/>
                  </w14:solidFill>
                </w14:textFill>
              </w:rPr>
              <w:t>名称)/污染源</w:t>
            </w:r>
          </w:p>
        </w:tc>
        <w:tc>
          <w:tcPr>
            <w:tcW w:w="1418" w:type="dxa"/>
            <w:vAlign w:val="center"/>
          </w:tcPr>
          <w:p w14:paraId="56EB1D23">
            <w:pPr>
              <w:pStyle w:val="90"/>
              <w:rPr>
                <w:color w:val="000000" w:themeColor="text1"/>
                <w14:textFill>
                  <w14:solidFill>
                    <w14:schemeClr w14:val="tx1"/>
                  </w14:solidFill>
                </w14:textFill>
              </w:rPr>
            </w:pPr>
            <w:r>
              <w:rPr>
                <w:color w:val="000000" w:themeColor="text1"/>
                <w14:textFill>
                  <w14:solidFill>
                    <w14:schemeClr w14:val="tx1"/>
                  </w14:solidFill>
                </w14:textFill>
              </w:rPr>
              <w:t>污染物项目</w:t>
            </w:r>
          </w:p>
        </w:tc>
        <w:tc>
          <w:tcPr>
            <w:tcW w:w="1843" w:type="dxa"/>
            <w:vAlign w:val="center"/>
          </w:tcPr>
          <w:p w14:paraId="3FA198B6">
            <w:pPr>
              <w:pStyle w:val="90"/>
              <w:rPr>
                <w:color w:val="000000" w:themeColor="text1"/>
                <w14:textFill>
                  <w14:solidFill>
                    <w14:schemeClr w14:val="tx1"/>
                  </w14:solidFill>
                </w14:textFill>
              </w:rPr>
            </w:pPr>
            <w:r>
              <w:rPr>
                <w:color w:val="000000" w:themeColor="text1"/>
                <w14:textFill>
                  <w14:solidFill>
                    <w14:schemeClr w14:val="tx1"/>
                  </w14:solidFill>
                </w14:textFill>
              </w:rPr>
              <w:t>环境保护措施</w:t>
            </w:r>
          </w:p>
        </w:tc>
        <w:tc>
          <w:tcPr>
            <w:tcW w:w="2147" w:type="dxa"/>
            <w:vAlign w:val="center"/>
          </w:tcPr>
          <w:p w14:paraId="1EDE9418">
            <w:pPr>
              <w:pStyle w:val="90"/>
              <w:rPr>
                <w:rStyle w:val="56"/>
                <w:color w:val="000000" w:themeColor="text1"/>
                <w14:textFill>
                  <w14:solidFill>
                    <w14:schemeClr w14:val="tx1"/>
                  </w14:solidFill>
                </w14:textFill>
              </w:rPr>
            </w:pPr>
            <w:r>
              <w:rPr>
                <w:rStyle w:val="56"/>
                <w:color w:val="000000" w:themeColor="text1"/>
                <w14:textFill>
                  <w14:solidFill>
                    <w14:schemeClr w14:val="tx1"/>
                  </w14:solidFill>
                </w14:textFill>
              </w:rPr>
              <w:t>执行标准</w:t>
            </w:r>
          </w:p>
        </w:tc>
      </w:tr>
      <w:tr w14:paraId="363B5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7" w:hRule="atLeast"/>
          <w:jc w:val="center"/>
        </w:trPr>
        <w:tc>
          <w:tcPr>
            <w:tcW w:w="1581" w:type="dxa"/>
            <w:vMerge w:val="restart"/>
            <w:vAlign w:val="center"/>
          </w:tcPr>
          <w:p w14:paraId="1BFB0255">
            <w:pPr>
              <w:pStyle w:val="90"/>
              <w:rPr>
                <w:color w:val="000000" w:themeColor="text1"/>
                <w14:textFill>
                  <w14:solidFill>
                    <w14:schemeClr w14:val="tx1"/>
                  </w14:solidFill>
                </w14:textFill>
              </w:rPr>
            </w:pPr>
            <w:r>
              <w:rPr>
                <w:color w:val="000000" w:themeColor="text1"/>
                <w14:textFill>
                  <w14:solidFill>
                    <w14:schemeClr w14:val="tx1"/>
                  </w14:solidFill>
                </w14:textFill>
              </w:rPr>
              <w:t>大气环境</w:t>
            </w:r>
          </w:p>
        </w:tc>
        <w:tc>
          <w:tcPr>
            <w:tcW w:w="1811" w:type="dxa"/>
            <w:vAlign w:val="center"/>
          </w:tcPr>
          <w:p w14:paraId="30A97F41">
            <w:pPr>
              <w:pStyle w:val="90"/>
              <w:rPr>
                <w:color w:val="000000" w:themeColor="text1"/>
                <w14:textFill>
                  <w14:solidFill>
                    <w14:schemeClr w14:val="tx1"/>
                  </w14:solidFill>
                </w14:textFill>
              </w:rPr>
            </w:pPr>
            <w:r>
              <w:rPr>
                <w:color w:val="000000" w:themeColor="text1"/>
                <w14:textFill>
                  <w14:solidFill>
                    <w14:schemeClr w14:val="tx1"/>
                  </w14:solidFill>
                </w14:textFill>
              </w:rPr>
              <w:t>170t/h超高温超高压燃气锅炉排气筒（DA230）</w:t>
            </w:r>
          </w:p>
          <w:p w14:paraId="59C47D68">
            <w:pPr>
              <w:pStyle w:val="90"/>
              <w:rPr>
                <w:color w:val="000000" w:themeColor="text1"/>
                <w14:textFill>
                  <w14:solidFill>
                    <w14:schemeClr w14:val="tx1"/>
                  </w14:solidFill>
                </w14:textFill>
              </w:rPr>
            </w:pPr>
          </w:p>
        </w:tc>
        <w:tc>
          <w:tcPr>
            <w:tcW w:w="1418" w:type="dxa"/>
            <w:vAlign w:val="center"/>
          </w:tcPr>
          <w:p w14:paraId="40DC6E9F">
            <w:pPr>
              <w:pStyle w:val="90"/>
              <w:rPr>
                <w:color w:val="000000" w:themeColor="text1"/>
                <w14:textFill>
                  <w14:solidFill>
                    <w14:schemeClr w14:val="tx1"/>
                  </w14:solidFill>
                </w14:textFill>
              </w:rPr>
            </w:pPr>
            <w:r>
              <w:rPr>
                <w:rStyle w:val="56"/>
                <w:color w:val="000000" w:themeColor="text1"/>
                <w14:textFill>
                  <w14:solidFill>
                    <w14:schemeClr w14:val="tx1"/>
                  </w14:solidFill>
                </w14:textFill>
              </w:rPr>
              <w:t>二氧化硫、氮氧化物、颗粒物、氨、烟气黑度</w:t>
            </w:r>
          </w:p>
        </w:tc>
        <w:tc>
          <w:tcPr>
            <w:tcW w:w="1843" w:type="dxa"/>
            <w:vAlign w:val="center"/>
          </w:tcPr>
          <w:p w14:paraId="325062D7">
            <w:pPr>
              <w:pStyle w:val="90"/>
              <w:rPr>
                <w:color w:val="000000" w:themeColor="text1"/>
                <w14:textFill>
                  <w14:solidFill>
                    <w14:schemeClr w14:val="tx1"/>
                  </w14:solidFill>
                </w14:textFill>
              </w:rPr>
            </w:pPr>
            <w:r>
              <w:rPr>
                <w:color w:val="000000" w:themeColor="text1"/>
                <w14:textFill>
                  <w14:solidFill>
                    <w14:schemeClr w14:val="tx1"/>
                  </w14:solidFill>
                </w14:textFill>
              </w:rPr>
              <w:t>低氮燃烧技术+烟气SCR脱硝+干法脱硫+袋式除尘</w:t>
            </w:r>
            <w:r>
              <w:rPr>
                <w:rStyle w:val="56"/>
                <w:color w:val="000000" w:themeColor="text1"/>
                <w14:textFill>
                  <w14:solidFill>
                    <w14:schemeClr w14:val="tx1"/>
                  </w14:solidFill>
                </w14:textFill>
              </w:rPr>
              <w:t>+60m烟囱排放；安装在线监测设施和废气采样口规范建设，在线设施与生态主管部门联网</w:t>
            </w:r>
          </w:p>
        </w:tc>
        <w:tc>
          <w:tcPr>
            <w:tcW w:w="2147" w:type="dxa"/>
            <w:vAlign w:val="center"/>
          </w:tcPr>
          <w:p w14:paraId="426C5CD2">
            <w:pPr>
              <w:pStyle w:val="90"/>
              <w:rPr>
                <w:rStyle w:val="56"/>
                <w:color w:val="000000" w:themeColor="text1"/>
                <w14:textFill>
                  <w14:solidFill>
                    <w14:schemeClr w14:val="tx1"/>
                  </w14:solidFill>
                </w14:textFill>
              </w:rPr>
            </w:pPr>
            <w:r>
              <w:rPr>
                <w:rStyle w:val="56"/>
                <w:color w:val="000000" w:themeColor="text1"/>
                <w14:textFill>
                  <w14:solidFill>
                    <w14:schemeClr w14:val="tx1"/>
                  </w14:solidFill>
                </w14:textFill>
              </w:rPr>
              <w:t>《关于推进实施钢铁行业超低排放的意见》（环大气[2019]35号）、《火电厂大气污染物排放标准》（GB 13223—2011）、其中氨参照执行《火电厂及锅炉大气污染物排放标准（征求意见稿）》（GB 13223 修订版，2026）表1</w:t>
            </w:r>
          </w:p>
        </w:tc>
      </w:tr>
      <w:tr w14:paraId="246A4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1" w:type="dxa"/>
            <w:vMerge w:val="continue"/>
            <w:vAlign w:val="center"/>
          </w:tcPr>
          <w:p w14:paraId="30491AE8">
            <w:pPr>
              <w:pStyle w:val="90"/>
              <w:rPr>
                <w:color w:val="000000" w:themeColor="text1"/>
                <w14:textFill>
                  <w14:solidFill>
                    <w14:schemeClr w14:val="tx1"/>
                  </w14:solidFill>
                </w14:textFill>
              </w:rPr>
            </w:pPr>
          </w:p>
        </w:tc>
        <w:tc>
          <w:tcPr>
            <w:tcW w:w="1811" w:type="dxa"/>
            <w:vAlign w:val="center"/>
          </w:tcPr>
          <w:p w14:paraId="0A43AD7B">
            <w:pPr>
              <w:pStyle w:val="90"/>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1418" w:type="dxa"/>
            <w:vAlign w:val="center"/>
          </w:tcPr>
          <w:p w14:paraId="3F241C10">
            <w:pPr>
              <w:pStyle w:val="90"/>
              <w:rPr>
                <w:rStyle w:val="56"/>
                <w:color w:val="000000" w:themeColor="text1"/>
                <w14:textFill>
                  <w14:solidFill>
                    <w14:schemeClr w14:val="tx1"/>
                  </w14:solidFill>
                </w14:textFill>
              </w:rPr>
            </w:pPr>
            <w:r>
              <w:rPr>
                <w:rStyle w:val="56"/>
                <w:color w:val="000000" w:themeColor="text1"/>
                <w14:textFill>
                  <w14:solidFill>
                    <w14:schemeClr w14:val="tx1"/>
                  </w14:solidFill>
                </w14:textFill>
              </w:rPr>
              <w:t>颗粒物</w:t>
            </w:r>
          </w:p>
        </w:tc>
        <w:tc>
          <w:tcPr>
            <w:tcW w:w="1843" w:type="dxa"/>
            <w:vAlign w:val="center"/>
          </w:tcPr>
          <w:p w14:paraId="64E98513">
            <w:pPr>
              <w:pStyle w:val="90"/>
              <w:rPr>
                <w:color w:val="000000" w:themeColor="text1"/>
                <w14:textFill>
                  <w14:solidFill>
                    <w14:schemeClr w14:val="tx1"/>
                  </w14:solidFill>
                </w14:textFill>
              </w:rPr>
            </w:pPr>
            <w:r>
              <w:rPr>
                <w:color w:val="000000" w:themeColor="text1"/>
                <w14:textFill>
                  <w14:solidFill>
                    <w14:schemeClr w14:val="tx1"/>
                  </w14:solidFill>
                </w14:textFill>
              </w:rPr>
              <w:t>除尘灰、脱硫灰全封闭收集贮存</w:t>
            </w:r>
          </w:p>
        </w:tc>
        <w:tc>
          <w:tcPr>
            <w:tcW w:w="2147" w:type="dxa"/>
            <w:vAlign w:val="center"/>
          </w:tcPr>
          <w:p w14:paraId="7049F830">
            <w:pPr>
              <w:pStyle w:val="90"/>
              <w:rPr>
                <w:rStyle w:val="56"/>
                <w:color w:val="000000" w:themeColor="text1"/>
                <w14:textFill>
                  <w14:solidFill>
                    <w14:schemeClr w14:val="tx1"/>
                  </w14:solidFill>
                </w14:textFill>
              </w:rPr>
            </w:pPr>
            <w:r>
              <w:rPr>
                <w:rStyle w:val="56"/>
                <w:color w:val="000000" w:themeColor="text1"/>
                <w14:textFill>
                  <w14:solidFill>
                    <w14:schemeClr w14:val="tx1"/>
                  </w14:solidFill>
                </w14:textFill>
              </w:rPr>
              <w:t>《火电厂及锅炉大气污染物排放标准（征求意见稿）》（GB 13223 修订版，2026）表3</w:t>
            </w:r>
          </w:p>
        </w:tc>
      </w:tr>
      <w:tr w14:paraId="1948CA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1581" w:type="dxa"/>
            <w:vAlign w:val="center"/>
          </w:tcPr>
          <w:p w14:paraId="7275C135">
            <w:pPr>
              <w:pStyle w:val="90"/>
              <w:rPr>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1811" w:type="dxa"/>
            <w:vAlign w:val="center"/>
          </w:tcPr>
          <w:p w14:paraId="2F10F89A">
            <w:pPr>
              <w:pStyle w:val="90"/>
              <w:rPr>
                <w:color w:val="000000" w:themeColor="text1"/>
                <w14:textFill>
                  <w14:solidFill>
                    <w14:schemeClr w14:val="tx1"/>
                  </w14:solidFill>
                </w14:textFill>
              </w:rPr>
            </w:pPr>
            <w:r>
              <w:rPr>
                <w:color w:val="000000" w:themeColor="text1"/>
                <w14:textFill>
                  <w14:solidFill>
                    <w14:schemeClr w14:val="tx1"/>
                  </w14:solidFill>
                </w14:textFill>
              </w:rPr>
              <w:t>中央污水处理站出口</w:t>
            </w:r>
          </w:p>
        </w:tc>
        <w:tc>
          <w:tcPr>
            <w:tcW w:w="1418" w:type="dxa"/>
            <w:vAlign w:val="center"/>
          </w:tcPr>
          <w:p w14:paraId="27FF7A81">
            <w:pPr>
              <w:pStyle w:val="90"/>
              <w:rPr>
                <w:color w:val="000000" w:themeColor="text1"/>
                <w14:textFill>
                  <w14:solidFill>
                    <w14:schemeClr w14:val="tx1"/>
                  </w14:solidFill>
                </w14:textFill>
              </w:rPr>
            </w:pPr>
            <w:r>
              <w:rPr>
                <w:color w:val="000000" w:themeColor="text1"/>
                <w14:textFill>
                  <w14:solidFill>
                    <w14:schemeClr w14:val="tx1"/>
                  </w14:solidFill>
                </w14:textFill>
              </w:rPr>
              <w:t>pH、悬浮物、COD、BOD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、石油类、NH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-N、总硬度、总铁</w:t>
            </w:r>
          </w:p>
        </w:tc>
        <w:tc>
          <w:tcPr>
            <w:tcW w:w="1843" w:type="dxa"/>
            <w:vAlign w:val="center"/>
          </w:tcPr>
          <w:p w14:paraId="19C93DE8">
            <w:pPr>
              <w:pStyle w:val="90"/>
              <w:rPr>
                <w:color w:val="000000" w:themeColor="text1"/>
                <w14:textFill>
                  <w14:solidFill>
                    <w14:schemeClr w14:val="tx1"/>
                  </w14:solidFill>
                </w14:textFill>
              </w:rPr>
            </w:pPr>
            <w:r>
              <w:rPr>
                <w:color w:val="000000" w:themeColor="text1"/>
                <w14:textFill>
                  <w14:solidFill>
                    <w14:schemeClr w14:val="tx1"/>
                  </w14:solidFill>
                </w14:textFill>
              </w:rPr>
              <w:t>中央污水处理站：常规处理工艺为“澄清+沉淀+多介质过滤”，深度处理工艺为“UF+一级RO+二级RO+浓水RO”</w:t>
            </w:r>
          </w:p>
        </w:tc>
        <w:tc>
          <w:tcPr>
            <w:tcW w:w="2147" w:type="dxa"/>
            <w:vAlign w:val="center"/>
          </w:tcPr>
          <w:p w14:paraId="2913E6F4">
            <w:pPr>
              <w:pStyle w:val="90"/>
              <w:rPr>
                <w:color w:val="000000" w:themeColor="text1"/>
                <w14:textFill>
                  <w14:solidFill>
                    <w14:schemeClr w14:val="tx1"/>
                  </w14:solidFill>
                </w14:textFill>
              </w:rPr>
            </w:pPr>
            <w:r>
              <w:rPr>
                <w:color w:val="000000" w:themeColor="text1"/>
                <w14:textFill>
                  <w14:solidFill>
                    <w14:schemeClr w14:val="tx1"/>
                  </w14:solidFill>
                </w14:textFill>
              </w:rPr>
              <w:t>《钢铁工业废水治理回用工程技术规范》（HJ2019-2012）</w:t>
            </w:r>
          </w:p>
        </w:tc>
      </w:tr>
      <w:tr w14:paraId="695FF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81" w:type="dxa"/>
            <w:vAlign w:val="center"/>
          </w:tcPr>
          <w:p w14:paraId="4E55A44F">
            <w:pPr>
              <w:pStyle w:val="90"/>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1811" w:type="dxa"/>
            <w:vAlign w:val="center"/>
          </w:tcPr>
          <w:p w14:paraId="0772A5D6">
            <w:pPr>
              <w:pStyle w:val="90"/>
              <w:rPr>
                <w:color w:val="000000" w:themeColor="text1"/>
                <w14:textFill>
                  <w14:solidFill>
                    <w14:schemeClr w14:val="tx1"/>
                  </w14:solidFill>
                </w14:textFill>
              </w:rPr>
            </w:pPr>
            <w:r>
              <w:rPr>
                <w:color w:val="000000" w:themeColor="text1"/>
                <w14:textFill>
                  <w14:solidFill>
                    <w14:schemeClr w14:val="tx1"/>
                  </w14:solidFill>
                </w14:textFill>
              </w:rPr>
              <w:t>厂界/噪声设备</w:t>
            </w:r>
          </w:p>
        </w:tc>
        <w:tc>
          <w:tcPr>
            <w:tcW w:w="1418" w:type="dxa"/>
            <w:vAlign w:val="center"/>
          </w:tcPr>
          <w:p w14:paraId="23DCC6B0">
            <w:pPr>
              <w:pStyle w:val="90"/>
              <w:rPr>
                <w:color w:val="000000" w:themeColor="text1"/>
                <w14:textFill>
                  <w14:solidFill>
                    <w14:schemeClr w14:val="tx1"/>
                  </w14:solidFill>
                </w14:textFill>
              </w:rPr>
            </w:pPr>
            <w:r>
              <w:rPr>
                <w:color w:val="000000" w:themeColor="text1"/>
                <w14:textFill>
                  <w14:solidFill>
                    <w14:schemeClr w14:val="tx1"/>
                  </w14:solidFill>
                </w14:textFill>
              </w:rPr>
              <w:t>等效连续A</w:t>
            </w:r>
          </w:p>
          <w:p w14:paraId="11782159">
            <w:pPr>
              <w:pStyle w:val="90"/>
              <w:rPr>
                <w:color w:val="000000" w:themeColor="text1"/>
                <w14:textFill>
                  <w14:solidFill>
                    <w14:schemeClr w14:val="tx1"/>
                  </w14:solidFill>
                </w14:textFill>
              </w:rPr>
            </w:pPr>
            <w:r>
              <w:rPr>
                <w:color w:val="000000" w:themeColor="text1"/>
                <w14:textFill>
                  <w14:solidFill>
                    <w14:schemeClr w14:val="tx1"/>
                  </w14:solidFill>
                </w14:textFill>
              </w:rPr>
              <w:t>声级</w:t>
            </w:r>
          </w:p>
        </w:tc>
        <w:tc>
          <w:tcPr>
            <w:tcW w:w="1843" w:type="dxa"/>
            <w:vAlign w:val="center"/>
          </w:tcPr>
          <w:p w14:paraId="772C104C">
            <w:pPr>
              <w:pStyle w:val="90"/>
              <w:rPr>
                <w:color w:val="000000" w:themeColor="text1"/>
                <w14:textFill>
                  <w14:solidFill>
                    <w14:schemeClr w14:val="tx1"/>
                  </w14:solidFill>
                </w14:textFill>
              </w:rPr>
            </w:pPr>
            <w:r>
              <w:rPr>
                <w:color w:val="000000" w:themeColor="text1"/>
                <w14:textFill>
                  <w14:solidFill>
                    <w14:schemeClr w14:val="tx1"/>
                  </w14:solidFill>
                </w14:textFill>
              </w:rPr>
              <w:t>综合隔声、降</w:t>
            </w:r>
          </w:p>
          <w:p w14:paraId="023CDC46">
            <w:pPr>
              <w:pStyle w:val="90"/>
              <w:rPr>
                <w:color w:val="000000" w:themeColor="text1"/>
                <w14:textFill>
                  <w14:solidFill>
                    <w14:schemeClr w14:val="tx1"/>
                  </w14:solidFill>
                </w14:textFill>
              </w:rPr>
            </w:pPr>
            <w:r>
              <w:rPr>
                <w:color w:val="000000" w:themeColor="text1"/>
                <w14:textFill>
                  <w14:solidFill>
                    <w14:schemeClr w14:val="tx1"/>
                  </w14:solidFill>
                </w14:textFill>
              </w:rPr>
              <w:t>噪、减振措施</w:t>
            </w:r>
          </w:p>
        </w:tc>
        <w:tc>
          <w:tcPr>
            <w:tcW w:w="2147" w:type="dxa"/>
            <w:vAlign w:val="center"/>
          </w:tcPr>
          <w:p w14:paraId="0C6F9086">
            <w:pPr>
              <w:pStyle w:val="90"/>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《工业企业厂界环境噪声排放标准》（GB12348-2008）3类标准</w:t>
            </w:r>
          </w:p>
        </w:tc>
      </w:tr>
      <w:tr w14:paraId="0EB79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81" w:type="dxa"/>
            <w:vAlign w:val="center"/>
          </w:tcPr>
          <w:p w14:paraId="402A1A5C">
            <w:pPr>
              <w:pStyle w:val="90"/>
              <w:rPr>
                <w:color w:val="000000" w:themeColor="text1"/>
                <w14:textFill>
                  <w14:solidFill>
                    <w14:schemeClr w14:val="tx1"/>
                  </w14:solidFill>
                </w14:textFill>
              </w:rPr>
            </w:pPr>
            <w:r>
              <w:rPr>
                <w:color w:val="000000" w:themeColor="text1"/>
                <w14:textFill>
                  <w14:solidFill>
                    <w14:schemeClr w14:val="tx1"/>
                  </w14:solidFill>
                </w14:textFill>
              </w:rPr>
              <w:t>电磁辐射</w:t>
            </w:r>
          </w:p>
        </w:tc>
        <w:tc>
          <w:tcPr>
            <w:tcW w:w="1811" w:type="dxa"/>
            <w:vAlign w:val="center"/>
          </w:tcPr>
          <w:p w14:paraId="1AE531FD">
            <w:pPr>
              <w:pStyle w:val="90"/>
              <w:rPr>
                <w:color w:val="000000" w:themeColor="text1"/>
                <w14:textFill>
                  <w14:solidFill>
                    <w14:schemeClr w14:val="tx1"/>
                  </w14:solidFill>
                </w14:textFill>
              </w:rPr>
            </w:pPr>
            <w:r>
              <w:rPr>
                <w:color w:val="000000" w:themeColor="text1"/>
                <w14:textFill>
                  <w14:solidFill>
                    <w14:schemeClr w14:val="tx1"/>
                  </w14:solidFill>
                </w14:textFill>
              </w:rPr>
              <w:t>无</w:t>
            </w:r>
          </w:p>
        </w:tc>
        <w:tc>
          <w:tcPr>
            <w:tcW w:w="1418" w:type="dxa"/>
            <w:vAlign w:val="center"/>
          </w:tcPr>
          <w:p w14:paraId="7EA4BE9F">
            <w:pPr>
              <w:pStyle w:val="90"/>
              <w:rPr>
                <w:color w:val="000000" w:themeColor="text1"/>
                <w14:textFill>
                  <w14:solidFill>
                    <w14:schemeClr w14:val="tx1"/>
                  </w14:solidFill>
                </w14:textFill>
              </w:rPr>
            </w:pPr>
            <w:r>
              <w:rPr>
                <w:color w:val="000000" w:themeColor="text1"/>
                <w14:textFill>
                  <w14:solidFill>
                    <w14:schemeClr w14:val="tx1"/>
                  </w14:solidFill>
                </w14:textFill>
              </w:rPr>
              <w:t>无</w:t>
            </w:r>
          </w:p>
        </w:tc>
        <w:tc>
          <w:tcPr>
            <w:tcW w:w="1843" w:type="dxa"/>
            <w:vAlign w:val="center"/>
          </w:tcPr>
          <w:p w14:paraId="61A72734">
            <w:pPr>
              <w:pStyle w:val="90"/>
              <w:rPr>
                <w:color w:val="000000" w:themeColor="text1"/>
                <w14:textFill>
                  <w14:solidFill>
                    <w14:schemeClr w14:val="tx1"/>
                  </w14:solidFill>
                </w14:textFill>
              </w:rPr>
            </w:pPr>
            <w:r>
              <w:rPr>
                <w:color w:val="000000" w:themeColor="text1"/>
                <w14:textFill>
                  <w14:solidFill>
                    <w14:schemeClr w14:val="tx1"/>
                  </w14:solidFill>
                </w14:textFill>
              </w:rPr>
              <w:t>无</w:t>
            </w:r>
          </w:p>
        </w:tc>
        <w:tc>
          <w:tcPr>
            <w:tcW w:w="2147" w:type="dxa"/>
            <w:vAlign w:val="center"/>
          </w:tcPr>
          <w:p w14:paraId="24C40DEE">
            <w:pPr>
              <w:pStyle w:val="90"/>
              <w:rPr>
                <w:color w:val="000000" w:themeColor="text1"/>
                <w14:textFill>
                  <w14:solidFill>
                    <w14:schemeClr w14:val="tx1"/>
                  </w14:solidFill>
                </w14:textFill>
              </w:rPr>
            </w:pPr>
            <w:r>
              <w:rPr>
                <w:color w:val="000000" w:themeColor="text1"/>
                <w14:textFill>
                  <w14:solidFill>
                    <w14:schemeClr w14:val="tx1"/>
                  </w14:solidFill>
                </w14:textFill>
              </w:rPr>
              <w:t>无</w:t>
            </w:r>
          </w:p>
        </w:tc>
      </w:tr>
      <w:tr w14:paraId="0EE7B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581" w:type="dxa"/>
            <w:vAlign w:val="center"/>
          </w:tcPr>
          <w:p w14:paraId="673748F0">
            <w:pPr>
              <w:pStyle w:val="90"/>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7219" w:type="dxa"/>
            <w:gridSpan w:val="4"/>
            <w:vAlign w:val="center"/>
          </w:tcPr>
          <w:p w14:paraId="74448130">
            <w:pPr>
              <w:pStyle w:val="90"/>
              <w:jc w:val="both"/>
              <w:rPr>
                <w:color w:val="000000" w:themeColor="text1"/>
                <w14:textFill>
                  <w14:solidFill>
                    <w14:schemeClr w14:val="tx1"/>
                  </w14:solidFill>
                </w14:textFill>
              </w:rPr>
            </w:pPr>
            <w:r>
              <w:rPr>
                <w:color w:val="000000" w:themeColor="text1"/>
                <w:szCs w:val="21"/>
                <w14:textFill>
                  <w14:solidFill>
                    <w14:schemeClr w14:val="tx1"/>
                  </w14:solidFill>
                </w14:textFill>
              </w:rPr>
              <w:t>①I类</w:t>
            </w:r>
            <w:r>
              <w:rPr>
                <w:color w:val="000000" w:themeColor="text1"/>
                <w14:textFill>
                  <w14:solidFill>
                    <w14:schemeClr w14:val="tx1"/>
                  </w14:solidFill>
                </w14:textFill>
              </w:rPr>
              <w:t>一般固废：脱硫灰外售综合利用、除尘灰返回烧结车间回收利用、废催化剂、废除尘布袋厂家回收利用；其中脱硫灰和除尘灰储存于灰仓；废除尘布袋储存于一般固废储存间。</w:t>
            </w:r>
          </w:p>
          <w:p w14:paraId="7054631B">
            <w:pPr>
              <w:pStyle w:val="90"/>
              <w:jc w:val="both"/>
              <w:rPr>
                <w:color w:val="000000" w:themeColor="text1"/>
                <w14:textFill>
                  <w14:solidFill>
                    <w14:schemeClr w14:val="tx1"/>
                  </w14:solidFill>
                </w14:textFill>
              </w:rPr>
            </w:pPr>
            <w:r>
              <w:rPr>
                <w:color w:val="000000" w:themeColor="text1"/>
                <w14:textFill>
                  <w14:solidFill>
                    <w14:schemeClr w14:val="tx1"/>
                  </w14:solidFill>
                </w14:textFill>
              </w:rPr>
              <w:t>②危险废物：废矿物油按危废要求收集、贮存于危废暂存场所内，定期由有资质的危险废物处置单位统一处置；危险废物的收集、储存、转运和处置，需严格按照《危险废物贮存污染控制标准》（GB 18597-2023）和《危险废物收集 贮存 运输技术规范》((HJ 2025-2012)执行相关措施。</w:t>
            </w:r>
          </w:p>
          <w:p w14:paraId="554EBC72">
            <w:pPr>
              <w:pStyle w:val="144"/>
              <w:spacing w:before="24"/>
              <w:jc w:val="left"/>
              <w:rPr>
                <w:color w:val="000000" w:themeColor="text1"/>
                <w14:textFill>
                  <w14:solidFill>
                    <w14:schemeClr w14:val="tx1"/>
                  </w14:solidFill>
                </w14:textFill>
              </w:rPr>
            </w:pPr>
            <w:r>
              <w:rPr>
                <w:color w:val="000000" w:themeColor="text1"/>
                <w14:textFill>
                  <w14:solidFill>
                    <w14:schemeClr w14:val="tx1"/>
                  </w14:solidFill>
                </w14:textFill>
              </w:rPr>
              <w:t>③废催化剂待鉴别，属性确定前按危废管理。</w:t>
            </w:r>
          </w:p>
          <w:p w14:paraId="39E57B27">
            <w:pPr>
              <w:ind w:firstLine="0" w:firstLineChars="0"/>
              <w:rPr>
                <w:rFonts w:cs="Times New Roman"/>
                <w:color w:val="000000" w:themeColor="text1"/>
                <w14:textFill>
                  <w14:solidFill>
                    <w14:schemeClr w14:val="tx1"/>
                  </w14:solidFill>
                </w14:textFill>
              </w:rPr>
            </w:pPr>
            <w:r>
              <w:rPr>
                <w:rFonts w:cs="Times New Roman"/>
                <w:color w:val="000000" w:themeColor="text1"/>
                <w:sz w:val="21"/>
                <w:szCs w:val="20"/>
                <w14:textFill>
                  <w14:solidFill>
                    <w14:schemeClr w14:val="tx1"/>
                  </w14:solidFill>
                </w14:textFill>
              </w:rPr>
              <w:t>生活垃圾：环卫部门清运处理。</w:t>
            </w:r>
          </w:p>
        </w:tc>
      </w:tr>
      <w:tr w14:paraId="0E831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81" w:type="dxa"/>
            <w:vAlign w:val="center"/>
          </w:tcPr>
          <w:p w14:paraId="2A3B073C">
            <w:pPr>
              <w:pStyle w:val="90"/>
              <w:rPr>
                <w:color w:val="000000" w:themeColor="text1"/>
                <w14:textFill>
                  <w14:solidFill>
                    <w14:schemeClr w14:val="tx1"/>
                  </w14:solidFill>
                </w14:textFill>
              </w:rPr>
            </w:pPr>
            <w:r>
              <w:rPr>
                <w:color w:val="000000" w:themeColor="text1"/>
                <w14:textFill>
                  <w14:solidFill>
                    <w14:schemeClr w14:val="tx1"/>
                  </w14:solidFill>
                </w14:textFill>
              </w:rPr>
              <w:t>土壤及地下水</w:t>
            </w:r>
          </w:p>
          <w:p w14:paraId="6E864D0A">
            <w:pPr>
              <w:pStyle w:val="90"/>
              <w:rPr>
                <w:color w:val="000000" w:themeColor="text1"/>
                <w14:textFill>
                  <w14:solidFill>
                    <w14:schemeClr w14:val="tx1"/>
                  </w14:solidFill>
                </w14:textFill>
              </w:rPr>
            </w:pPr>
            <w:r>
              <w:rPr>
                <w:color w:val="000000" w:themeColor="text1"/>
                <w14:textFill>
                  <w14:solidFill>
                    <w14:schemeClr w14:val="tx1"/>
                  </w14:solidFill>
                </w14:textFill>
              </w:rPr>
              <w:t>污染防治措施</w:t>
            </w:r>
          </w:p>
        </w:tc>
        <w:tc>
          <w:tcPr>
            <w:tcW w:w="7219" w:type="dxa"/>
            <w:gridSpan w:val="4"/>
            <w:vAlign w:val="center"/>
          </w:tcPr>
          <w:p w14:paraId="364F14D6">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采取分区防控措施，即排污降温池、事故油池，加药系统等区域采取重点防渗，防渗技术要求为：等效黏土防渗层Mb≥6m，K≤10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cm/s；或参照GB18598 执行；主厂房，锅炉生产区域、除盐水系统区域和循环水系统等区域采取一般防渗，防渗技术要求为：等效黏土防渗层Mb≥1.5m，K≤10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cm/s；或参照GB16889 执行。道路等其他区域采取简单防渗。</w:t>
            </w:r>
          </w:p>
        </w:tc>
      </w:tr>
      <w:tr w14:paraId="7F9944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581" w:type="dxa"/>
            <w:vAlign w:val="center"/>
          </w:tcPr>
          <w:p w14:paraId="6DFC5C1A">
            <w:pPr>
              <w:pStyle w:val="90"/>
              <w:rPr>
                <w:color w:val="000000" w:themeColor="text1"/>
                <w14:textFill>
                  <w14:solidFill>
                    <w14:schemeClr w14:val="tx1"/>
                  </w14:solidFill>
                </w14:textFill>
              </w:rPr>
            </w:pPr>
            <w:r>
              <w:rPr>
                <w:color w:val="000000" w:themeColor="text1"/>
                <w14:textFill>
                  <w14:solidFill>
                    <w14:schemeClr w14:val="tx1"/>
                  </w14:solidFill>
                </w14:textFill>
              </w:rPr>
              <w:t>生态保护措施</w:t>
            </w:r>
          </w:p>
        </w:tc>
        <w:tc>
          <w:tcPr>
            <w:tcW w:w="7219" w:type="dxa"/>
            <w:gridSpan w:val="4"/>
            <w:vAlign w:val="center"/>
          </w:tcPr>
          <w:p w14:paraId="5B7D3F9A">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①裸土表面覆盖彩条布，既防止起尘，又防止下雨引起水土流失。</w:t>
            </w:r>
          </w:p>
          <w:p w14:paraId="6FB7EFCC">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②做好厂区及周围的绿化、植被恢复，减小水土流失，利于生态保护。</w:t>
            </w:r>
          </w:p>
        </w:tc>
      </w:tr>
      <w:tr w14:paraId="0A20C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1581" w:type="dxa"/>
            <w:vAlign w:val="center"/>
          </w:tcPr>
          <w:p w14:paraId="65CD27C1">
            <w:pPr>
              <w:pStyle w:val="90"/>
              <w:rPr>
                <w:color w:val="000000" w:themeColor="text1"/>
                <w14:textFill>
                  <w14:solidFill>
                    <w14:schemeClr w14:val="tx1"/>
                  </w14:solidFill>
                </w14:textFill>
              </w:rPr>
            </w:pPr>
            <w:r>
              <w:rPr>
                <w:color w:val="000000" w:themeColor="text1"/>
                <w14:textFill>
                  <w14:solidFill>
                    <w14:schemeClr w14:val="tx1"/>
                  </w14:solidFill>
                </w14:textFill>
              </w:rPr>
              <w:t>环境风险</w:t>
            </w:r>
          </w:p>
          <w:p w14:paraId="5BC2B8A0">
            <w:pPr>
              <w:pStyle w:val="90"/>
              <w:rPr>
                <w:color w:val="000000" w:themeColor="text1"/>
                <w14:textFill>
                  <w14:solidFill>
                    <w14:schemeClr w14:val="tx1"/>
                  </w14:solidFill>
                </w14:textFill>
              </w:rPr>
            </w:pPr>
            <w:r>
              <w:rPr>
                <w:color w:val="000000" w:themeColor="text1"/>
                <w14:textFill>
                  <w14:solidFill>
                    <w14:schemeClr w14:val="tx1"/>
                  </w14:solidFill>
                </w14:textFill>
              </w:rPr>
              <w:t>防范措施</w:t>
            </w:r>
          </w:p>
        </w:tc>
        <w:tc>
          <w:tcPr>
            <w:tcW w:w="7219" w:type="dxa"/>
            <w:gridSpan w:val="4"/>
            <w:vAlign w:val="center"/>
          </w:tcPr>
          <w:p w14:paraId="3A2C2F41">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①工艺技术设计防范措施；</w:t>
            </w:r>
          </w:p>
          <w:p w14:paraId="027C7710">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②自动控制设计安全防范措施；</w:t>
            </w:r>
          </w:p>
          <w:p w14:paraId="72B0124E">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③氨水罐设有围堰，变压器设置事故油池；</w:t>
            </w:r>
          </w:p>
          <w:p w14:paraId="0908229C">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④事故应急池依托防控；</w:t>
            </w:r>
          </w:p>
          <w:p w14:paraId="61C897AE">
            <w:pPr>
              <w:pStyle w:val="90"/>
              <w:jc w:val="left"/>
              <w:rPr>
                <w:color w:val="000000" w:themeColor="text1"/>
                <w14:textFill>
                  <w14:solidFill>
                    <w14:schemeClr w14:val="tx1"/>
                  </w14:solidFill>
                </w14:textFill>
              </w:rPr>
            </w:pPr>
            <w:r>
              <w:rPr>
                <w:color w:val="000000" w:themeColor="text1"/>
                <w14:textFill>
                  <w14:solidFill>
                    <w14:schemeClr w14:val="tx1"/>
                  </w14:solidFill>
                </w14:textFill>
              </w:rPr>
              <w:t>⑤应急预案修编，企业与园区环境风险防控体系的衔接与分级影响措施。</w:t>
            </w:r>
          </w:p>
        </w:tc>
      </w:tr>
      <w:tr w14:paraId="28B93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81" w:type="dxa"/>
            <w:vAlign w:val="center"/>
          </w:tcPr>
          <w:p w14:paraId="2F87BD1D">
            <w:pPr>
              <w:pStyle w:val="90"/>
              <w:rPr>
                <w:color w:val="000000" w:themeColor="text1"/>
                <w14:textFill>
                  <w14:solidFill>
                    <w14:schemeClr w14:val="tx1"/>
                  </w14:solidFill>
                </w14:textFill>
              </w:rPr>
            </w:pPr>
            <w:r>
              <w:rPr>
                <w:color w:val="000000" w:themeColor="text1"/>
                <w14:textFill>
                  <w14:solidFill>
                    <w14:schemeClr w14:val="tx1"/>
                  </w14:solidFill>
                </w14:textFill>
              </w:rPr>
              <w:t>其他环境</w:t>
            </w:r>
          </w:p>
          <w:p w14:paraId="796B4539">
            <w:pPr>
              <w:pStyle w:val="90"/>
              <w:rPr>
                <w:color w:val="000000" w:themeColor="text1"/>
                <w14:textFill>
                  <w14:solidFill>
                    <w14:schemeClr w14:val="tx1"/>
                  </w14:solidFill>
                </w14:textFill>
              </w:rPr>
            </w:pPr>
            <w:r>
              <w:rPr>
                <w:color w:val="000000" w:themeColor="text1"/>
                <w14:textFill>
                  <w14:solidFill>
                    <w14:schemeClr w14:val="tx1"/>
                  </w14:solidFill>
                </w14:textFill>
              </w:rPr>
              <w:t>管理要求</w:t>
            </w:r>
          </w:p>
        </w:tc>
        <w:tc>
          <w:tcPr>
            <w:tcW w:w="7219" w:type="dxa"/>
            <w:gridSpan w:val="4"/>
            <w:vAlign w:val="center"/>
          </w:tcPr>
          <w:p w14:paraId="3E7FE9CC">
            <w:pPr>
              <w:ind w:firstLine="420"/>
              <w:rPr>
                <w:rStyle w:val="56"/>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（1） 环境管理</w:t>
            </w:r>
          </w:p>
          <w:p w14:paraId="6E2816D2">
            <w:pPr>
              <w:ind w:firstLine="420"/>
              <w:rPr>
                <w:rStyle w:val="56"/>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①在项目建成营运后，由宝钢德盛能源环保部配备专职环保人员，其职责是专门负责项目区内环境管理，制定环保管理条例，承担有关环境监视工作。</w:t>
            </w:r>
          </w:p>
          <w:p w14:paraId="55AED4E0">
            <w:pPr>
              <w:ind w:firstLine="420"/>
              <w:rPr>
                <w:rStyle w:val="56"/>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②制定各环保设施操作规程，定期维修制度，使各项环保设施在生产过程中处于良好的运行状态，严禁非正常排放。</w:t>
            </w:r>
          </w:p>
          <w:p w14:paraId="60FBEBD6">
            <w:pPr>
              <w:ind w:firstLine="420"/>
              <w:rPr>
                <w:rStyle w:val="56"/>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③对技术工作进行上岗前的环保知识法规教育及操作规程的培训，使各项环保设施的操作规范化，保证环保设施的正常运转。</w:t>
            </w:r>
          </w:p>
          <w:p w14:paraId="26827181">
            <w:pPr>
              <w:ind w:firstLine="420"/>
              <w:rPr>
                <w:rStyle w:val="56"/>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④按要求开展自行监测及在线监控设施运维。</w:t>
            </w:r>
          </w:p>
          <w:p w14:paraId="0A7C7FFA">
            <w:pPr>
              <w:ind w:firstLine="420"/>
              <w:rPr>
                <w:rStyle w:val="56"/>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 xml:space="preserve">（2）排污口规范化 </w:t>
            </w:r>
          </w:p>
          <w:p w14:paraId="6FC95201">
            <w:pPr>
              <w:ind w:firstLine="420"/>
              <w:rPr>
                <w:rStyle w:val="56"/>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建设单位应如实填写《中华人民共和国规范化排污口标志登记证》的有关内容，由环保主管部门签发登记证。建设单位应将排污口情况如排污口的性质、编号、排污口的位置 以及主要排放的污染物的种类、数量、浓度、排放规律、排放去向以及污染治理设施的运 行情况建档管理，并报送环保主管部门备案。建设单位应在排放口处设立或挂上标志牌，标志牌注明污染物名称以警示周围群众，执行 GB15563.1-1995《环境图形标准排污口(源)》。</w:t>
            </w:r>
          </w:p>
          <w:p w14:paraId="081D7ADB">
            <w:pPr>
              <w:ind w:firstLine="420"/>
              <w:rPr>
                <w:rStyle w:val="56"/>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（3）排污许可管理</w:t>
            </w:r>
          </w:p>
          <w:p w14:paraId="2950427C">
            <w:pPr>
              <w:ind w:firstLine="420"/>
              <w:rPr>
                <w:rStyle w:val="56"/>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根据《固定污染源排污许可分类管理名录（2019 年版）》，项目属于三十九、电力、热力生产和供应业44 电力生产441 火力发电4411，热力生产和供应443 单台或者合计出力20吨/小时（14兆瓦）及以上的锅炉（不含电热锅炉），实行排污许可重点管理，应在启动生产设施或者发生实际排污前申领排污许可证。</w:t>
            </w:r>
          </w:p>
          <w:p w14:paraId="28B87DB3">
            <w:pPr>
              <w:ind w:firstLine="420"/>
              <w:rPr>
                <w:rStyle w:val="56"/>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（4）竣工环保验收</w:t>
            </w:r>
          </w:p>
          <w:p w14:paraId="2D17369E">
            <w:pPr>
              <w:ind w:firstLine="420"/>
              <w:rPr>
                <w:rFonts w:cs="Times New Roman"/>
                <w:color w:val="000000" w:themeColor="text1"/>
                <w14:textFill>
                  <w14:solidFill>
                    <w14:schemeClr w14:val="tx1"/>
                  </w14:solidFill>
                </w14:textFill>
              </w:rPr>
            </w:pPr>
            <w:r>
              <w:rPr>
                <w:rStyle w:val="56"/>
                <w:rFonts w:cs="Times New Roman"/>
                <w:color w:val="000000" w:themeColor="text1"/>
                <w14:textFill>
                  <w14:solidFill>
                    <w14:schemeClr w14:val="tx1"/>
                  </w14:solidFill>
                </w14:textFill>
              </w:rPr>
              <w:t>根据《建设项目竣工环境保护验收暂行办法》的规定，建设项目竣工后，建设单位应当及时开展竣工环境保护自主验收工作，如实查验、监测、记载建设项目环境保护设施的建设和调试情况，编制验收监测报告表。</w:t>
            </w:r>
          </w:p>
        </w:tc>
      </w:tr>
    </w:tbl>
    <w:p w14:paraId="56C548BE">
      <w:pPr>
        <w:pStyle w:val="2"/>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br w:type="page"/>
      </w:r>
      <w:bookmarkStart w:id="181" w:name="_Toc1690100364"/>
      <w:bookmarkStart w:id="182" w:name="_Toc230448060"/>
      <w:r>
        <w:rPr>
          <w:rFonts w:cs="Times New Roman"/>
          <w:snapToGrid w:val="0"/>
          <w:color w:val="000000" w:themeColor="text1"/>
          <w14:textFill>
            <w14:solidFill>
              <w14:schemeClr w14:val="tx1"/>
            </w14:solidFill>
          </w14:textFill>
        </w:rPr>
        <w:t>（六）结论</w:t>
      </w:r>
      <w:bookmarkEnd w:id="181"/>
      <w:bookmarkEnd w:id="182"/>
    </w:p>
    <w:tbl>
      <w:tblPr>
        <w:tblStyle w:val="4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B20C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D93C072">
            <w:pPr>
              <w:ind w:firstLine="48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宝钢德盛50MW余气及25MW余热发电项目位于宝钢德盛现有厂区内，拟建项目的生产工艺、生产规模及产品符合地方产业规划及国家产业政策；项目周边环境质量较好，符合功能要求，有一定的环境承载力；项目选址符合当地城市发展规划、环境功能区划，选址、布局基本合理。</w:t>
            </w:r>
          </w:p>
          <w:p w14:paraId="4008AE19">
            <w:pPr>
              <w:ind w:firstLine="48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针对项目产生的废水、废气、噪声、固体废物污染及可能存在的环境风险，有针对性地提出了一系列的环境治理措施、风险防范措施及总量控制方案，按上述措施及方案实行后可确保各项污染物稳定达标排放，对周围环境的影响可以控制在国家有关标准允许范围内，项目实施后将产生较好的综合效益。因此，项目的建设方案和规划，在环境保护方面是可行的，可以按拟定规模和计划实施。</w:t>
            </w:r>
          </w:p>
          <w:p w14:paraId="2D614BED">
            <w:pPr>
              <w:pStyle w:val="45"/>
              <w:ind w:left="480" w:firstLine="480"/>
              <w:rPr>
                <w:rFonts w:ascii="Times New Roman" w:cs="Times New Roman"/>
                <w:color w:val="000000" w:themeColor="text1"/>
                <w14:textFill>
                  <w14:solidFill>
                    <w14:schemeClr w14:val="tx1"/>
                  </w14:solidFill>
                </w14:textFill>
              </w:rPr>
            </w:pPr>
          </w:p>
          <w:p w14:paraId="5287DFCF">
            <w:pPr>
              <w:pStyle w:val="44"/>
              <w:ind w:firstLine="480"/>
              <w:jc w:val="right"/>
              <w:rPr>
                <w:rFonts w:cs="Times New Roman"/>
                <w:color w:val="000000" w:themeColor="text1"/>
                <w14:textFill>
                  <w14:solidFill>
                    <w14:schemeClr w14:val="tx1"/>
                  </w14:solidFill>
                </w14:textFill>
              </w:rPr>
            </w:pPr>
          </w:p>
          <w:p w14:paraId="0D6DAFAC">
            <w:pPr>
              <w:pStyle w:val="44"/>
              <w:ind w:firstLine="480"/>
              <w:jc w:val="right"/>
              <w:rPr>
                <w:rFonts w:cs="Times New Roman"/>
                <w:color w:val="000000" w:themeColor="text1"/>
                <w14:textFill>
                  <w14:solidFill>
                    <w14:schemeClr w14:val="tx1"/>
                  </w14:solidFill>
                </w14:textFill>
              </w:rPr>
            </w:pPr>
          </w:p>
          <w:p w14:paraId="7AD079F9">
            <w:pPr>
              <w:pStyle w:val="44"/>
              <w:ind w:firstLine="480"/>
              <w:jc w:val="right"/>
              <w:rPr>
                <w:rFonts w:cs="Times New Roman"/>
                <w:color w:val="000000" w:themeColor="text1"/>
                <w14:textFill>
                  <w14:solidFill>
                    <w14:schemeClr w14:val="tx1"/>
                  </w14:solidFill>
                </w14:textFill>
              </w:rPr>
            </w:pPr>
          </w:p>
          <w:p w14:paraId="0F7B4A07">
            <w:pPr>
              <w:wordWrap w:val="0"/>
              <w:ind w:firstLine="480"/>
              <w:jc w:val="right"/>
              <w:rPr>
                <w:rFonts w:cs="Times New Roman"/>
                <w:color w:val="000000" w:themeColor="text1"/>
                <w14:textFill>
                  <w14:solidFill>
                    <w14:schemeClr w14:val="tx1"/>
                  </w14:solidFill>
                </w14:textFill>
              </w:rPr>
            </w:pPr>
          </w:p>
        </w:tc>
      </w:tr>
    </w:tbl>
    <w:p w14:paraId="29D1375C">
      <w:pPr>
        <w:pStyle w:val="3"/>
        <w:keepNext w:val="0"/>
        <w:keepLines w:val="0"/>
        <w:widowControl w:val="0"/>
        <w:numPr>
          <w:ilvl w:val="0"/>
          <w:numId w:val="0"/>
        </w:numPr>
        <w:rPr>
          <w:rFonts w:cs="Times New Roman"/>
          <w:color w:val="000000" w:themeColor="text1"/>
          <w14:textFill>
            <w14:solidFill>
              <w14:schemeClr w14:val="tx1"/>
            </w14:solidFill>
          </w14:textFill>
        </w:rPr>
      </w:pPr>
      <w:bookmarkStart w:id="183" w:name="_Toc60595359"/>
      <w:bookmarkStart w:id="184" w:name="_Toc32388"/>
      <w:bookmarkStart w:id="185" w:name="_Toc92811641"/>
      <w:bookmarkStart w:id="186" w:name="_Toc93304161"/>
      <w:r>
        <w:rPr>
          <w:rFonts w:cs="Times New Roman"/>
          <w:color w:val="000000" w:themeColor="text1"/>
          <w14:textFill>
            <w14:solidFill>
              <w14:schemeClr w14:val="tx1"/>
            </w14:solidFill>
          </w14:textFill>
        </w:rPr>
        <w:br w:type="page"/>
      </w:r>
    </w:p>
    <w:p w14:paraId="07218F3F">
      <w:pPr>
        <w:ind w:firstLine="0" w:firstLineChars="0"/>
        <w:jc w:val="center"/>
        <w:rPr>
          <w:rFonts w:cs="Times New Roman"/>
          <w:b/>
          <w:color w:val="000000" w:themeColor="text1"/>
          <w:sz w:val="32"/>
          <w:szCs w:val="32"/>
          <w14:textFill>
            <w14:solidFill>
              <w14:schemeClr w14:val="tx1"/>
            </w14:solidFill>
          </w14:textFill>
        </w:rPr>
      </w:pPr>
      <w:r>
        <w:rPr>
          <w:rFonts w:hint="eastAsia" w:eastAsia="仿宋_GB2312" w:cs="Times New Roman"/>
          <w:color w:val="000000" w:themeColor="text1"/>
          <w:sz w:val="28"/>
          <w:szCs w:val="32"/>
          <w14:textFill>
            <w14:solidFill>
              <w14:schemeClr w14:val="tx1"/>
            </w14:solidFill>
          </w14:textFill>
        </w:rPr>
        <w:drawing>
          <wp:anchor distT="0" distB="0" distL="114300" distR="114300" simplePos="0" relativeHeight="251667456" behindDoc="0" locked="0" layoutInCell="1" allowOverlap="1">
            <wp:simplePos x="0" y="0"/>
            <wp:positionH relativeFrom="column">
              <wp:posOffset>-951865</wp:posOffset>
            </wp:positionH>
            <wp:positionV relativeFrom="paragraph">
              <wp:posOffset>-1043305</wp:posOffset>
            </wp:positionV>
            <wp:extent cx="7507605" cy="10614660"/>
            <wp:effectExtent l="0" t="0" r="17145" b="15240"/>
            <wp:wrapNone/>
            <wp:docPr id="2" name="图片 2" descr="内页盖章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内页盖章_2"/>
                    <pic:cNvPicPr>
                      <a:picLocks noChangeAspect="1"/>
                    </pic:cNvPicPr>
                  </pic:nvPicPr>
                  <pic:blipFill>
                    <a:blip r:embed="rId55"/>
                    <a:stretch>
                      <a:fillRect/>
                    </a:stretch>
                  </pic:blipFill>
                  <pic:spPr>
                    <a:xfrm>
                      <a:off x="0" y="0"/>
                      <a:ext cx="7507605" cy="10614660"/>
                    </a:xfrm>
                    <a:prstGeom prst="rect">
                      <a:avLst/>
                    </a:prstGeom>
                  </pic:spPr>
                </pic:pic>
              </a:graphicData>
            </a:graphic>
          </wp:anchor>
        </w:drawing>
      </w:r>
    </w:p>
    <w:p w14:paraId="55F19145">
      <w:pPr>
        <w:ind w:firstLine="0" w:firstLineChars="0"/>
        <w:jc w:val="center"/>
        <w:rPr>
          <w:rFonts w:cs="Times New Roman"/>
          <w:b/>
          <w:color w:val="000000" w:themeColor="text1"/>
          <w:sz w:val="32"/>
          <w:szCs w:val="32"/>
          <w14:textFill>
            <w14:solidFill>
              <w14:schemeClr w14:val="tx1"/>
            </w14:solidFill>
          </w14:textFill>
        </w:rPr>
      </w:pPr>
    </w:p>
    <w:p w14:paraId="177DA7D7">
      <w:pPr>
        <w:ind w:firstLine="0" w:firstLineChars="0"/>
        <w:jc w:val="center"/>
        <w:rPr>
          <w:rFonts w:cs="Times New Roman"/>
          <w:b/>
          <w:color w:val="000000" w:themeColor="text1"/>
          <w:sz w:val="32"/>
          <w:szCs w:val="32"/>
          <w14:textFill>
            <w14:solidFill>
              <w14:schemeClr w14:val="tx1"/>
            </w14:solidFill>
          </w14:textFill>
        </w:rPr>
      </w:pPr>
      <w:r>
        <w:rPr>
          <w:rFonts w:cs="Times New Roman"/>
          <w:b/>
          <w:color w:val="000000" w:themeColor="text1"/>
          <w:sz w:val="32"/>
          <w:szCs w:val="32"/>
          <w14:textFill>
            <w14:solidFill>
              <w14:schemeClr w14:val="tx1"/>
            </w14:solidFill>
          </w14:textFill>
        </w:rPr>
        <w:t>关于</w:t>
      </w:r>
      <w:r>
        <w:rPr>
          <w:rFonts w:hint="eastAsia" w:cs="Times New Roman"/>
          <w:b/>
          <w:color w:val="000000" w:themeColor="text1"/>
          <w:sz w:val="32"/>
          <w:szCs w:val="32"/>
          <w14:textFill>
            <w14:solidFill>
              <w14:schemeClr w14:val="tx1"/>
            </w14:solidFill>
          </w14:textFill>
        </w:rPr>
        <w:t>删除项目环评公开文本中涉及个人隐私、商业秘密</w:t>
      </w:r>
    </w:p>
    <w:p w14:paraId="35C1CEF4">
      <w:pPr>
        <w:ind w:firstLine="0" w:firstLineChars="0"/>
        <w:jc w:val="center"/>
        <w:rPr>
          <w:rFonts w:cs="Times New Roman"/>
          <w:b/>
          <w:color w:val="000000" w:themeColor="text1"/>
          <w:sz w:val="32"/>
          <w:szCs w:val="32"/>
          <w14:textFill>
            <w14:solidFill>
              <w14:schemeClr w14:val="tx1"/>
            </w14:solidFill>
          </w14:textFill>
        </w:rPr>
      </w:pPr>
      <w:r>
        <w:rPr>
          <w:rFonts w:hint="eastAsia" w:cs="Times New Roman"/>
          <w:b/>
          <w:color w:val="000000" w:themeColor="text1"/>
          <w:sz w:val="32"/>
          <w:szCs w:val="32"/>
          <w14:textFill>
            <w14:solidFill>
              <w14:schemeClr w14:val="tx1"/>
            </w14:solidFill>
          </w14:textFill>
        </w:rPr>
        <w:t>等内容的说明</w:t>
      </w:r>
    </w:p>
    <w:p w14:paraId="4A070635">
      <w:pPr>
        <w:pStyle w:val="22"/>
        <w:snapToGrid w:val="0"/>
        <w:spacing w:line="440" w:lineRule="atLeast"/>
        <w:rPr>
          <w:rFonts w:ascii="Times New Roman" w:hAnsi="Times New Roman" w:eastAsia="仿宋_GB2312" w:cs="Times New Roman"/>
          <w:color w:val="000000" w:themeColor="text1"/>
          <w:sz w:val="32"/>
          <w:szCs w:val="32"/>
          <w14:textFill>
            <w14:solidFill>
              <w14:schemeClr w14:val="tx1"/>
            </w14:solidFill>
          </w14:textFill>
        </w:rPr>
      </w:pPr>
    </w:p>
    <w:p w14:paraId="567B90D3">
      <w:pPr>
        <w:pStyle w:val="22"/>
        <w:snapToGrid w:val="0"/>
        <w:spacing w:line="360" w:lineRule="auto"/>
        <w:rPr>
          <w:rFonts w:ascii="Times New Roman" w:hAnsi="Times New Roman" w:eastAsia="仿宋_GB2312" w:cs="Times New Roman"/>
          <w:color w:val="000000" w:themeColor="text1"/>
          <w:sz w:val="28"/>
          <w:szCs w:val="32"/>
          <w14:textFill>
            <w14:solidFill>
              <w14:schemeClr w14:val="tx1"/>
            </w14:solidFill>
          </w14:textFill>
        </w:rPr>
      </w:pPr>
      <w:r>
        <w:rPr>
          <w:rFonts w:ascii="Times New Roman" w:hAnsi="Times New Roman" w:eastAsia="仿宋_GB2312" w:cs="Times New Roman"/>
          <w:color w:val="000000" w:themeColor="text1"/>
          <w:sz w:val="28"/>
          <w:szCs w:val="32"/>
          <w14:textFill>
            <w14:solidFill>
              <w14:schemeClr w14:val="tx1"/>
            </w14:solidFill>
          </w14:textFill>
        </w:rPr>
        <w:t>福州市罗源生态环境局：</w:t>
      </w:r>
    </w:p>
    <w:p w14:paraId="5B72CC6E">
      <w:pPr>
        <w:pStyle w:val="22"/>
        <w:snapToGrid w:val="0"/>
        <w:spacing w:line="360" w:lineRule="auto"/>
        <w:ind w:firstLine="560" w:firstLineChars="200"/>
        <w:rPr>
          <w:rFonts w:ascii="Times New Roman" w:hAnsi="Times New Roman" w:eastAsia="仿宋_GB2312" w:cs="Times New Roman"/>
          <w:color w:val="000000" w:themeColor="text1"/>
          <w:sz w:val="28"/>
          <w:szCs w:val="32"/>
          <w14:textFill>
            <w14:solidFill>
              <w14:schemeClr w14:val="tx1"/>
            </w14:solidFill>
          </w14:textFill>
        </w:rPr>
      </w:pPr>
      <w:r>
        <w:rPr>
          <w:rFonts w:ascii="Times New Roman" w:hAnsi="Times New Roman" w:eastAsia="仿宋_GB2312" w:cs="Times New Roman"/>
          <w:color w:val="000000" w:themeColor="text1"/>
          <w:sz w:val="28"/>
          <w:szCs w:val="32"/>
          <w14:textFill>
            <w14:solidFill>
              <w14:schemeClr w14:val="tx1"/>
            </w14:solidFill>
          </w14:textFill>
        </w:rPr>
        <w:t>我司《宝钢德盛50MW余气及25MW余热发电项目环境影响评价报告表》经我司审核，</w:t>
      </w:r>
      <w:r>
        <w:rPr>
          <w:rFonts w:hint="eastAsia" w:ascii="Times New Roman" w:hAnsi="Times New Roman" w:eastAsia="仿宋_GB2312" w:cs="Times New Roman"/>
          <w:color w:val="000000" w:themeColor="text1"/>
          <w:sz w:val="28"/>
          <w:szCs w:val="32"/>
          <w14:textFill>
            <w14:solidFill>
              <w14:schemeClr w14:val="tx1"/>
            </w14:solidFill>
          </w14:textFill>
        </w:rPr>
        <w:t>部分内容涉及</w:t>
      </w:r>
      <w:r>
        <w:rPr>
          <w:rFonts w:ascii="Times New Roman" w:hAnsi="Times New Roman" w:eastAsia="仿宋_GB2312" w:cs="Times New Roman"/>
          <w:color w:val="000000" w:themeColor="text1"/>
          <w:sz w:val="28"/>
          <w:szCs w:val="32"/>
          <w14:textFill>
            <w14:solidFill>
              <w14:schemeClr w14:val="tx1"/>
            </w14:solidFill>
          </w14:textFill>
        </w:rPr>
        <w:t>国家秘密、商业秘密等内容</w:t>
      </w:r>
      <w:r>
        <w:rPr>
          <w:rFonts w:hint="eastAsia" w:ascii="Times New Roman" w:hAnsi="Times New Roman" w:eastAsia="仿宋_GB2312" w:cs="Times New Roman"/>
          <w:color w:val="000000" w:themeColor="text1"/>
          <w:sz w:val="28"/>
          <w:szCs w:val="32"/>
          <w14:textFill>
            <w14:solidFill>
              <w14:schemeClr w14:val="tx1"/>
            </w14:solidFill>
          </w14:textFill>
        </w:rPr>
        <w:t>（具体删除内容、删除依据详见附件）。</w:t>
      </w:r>
      <w:r>
        <w:rPr>
          <w:rFonts w:ascii="Times New Roman" w:hAnsi="Times New Roman" w:eastAsia="仿宋_GB2312" w:cs="Times New Roman"/>
          <w:color w:val="000000" w:themeColor="text1"/>
          <w:sz w:val="28"/>
          <w:szCs w:val="32"/>
          <w14:textFill>
            <w14:solidFill>
              <w14:schemeClr w14:val="tx1"/>
            </w14:solidFill>
          </w14:textFill>
        </w:rPr>
        <w:t>现报送贵局的环境影响评价报告表</w:t>
      </w:r>
      <w:r>
        <w:rPr>
          <w:rFonts w:hint="eastAsia" w:ascii="Times New Roman" w:hAnsi="Times New Roman" w:eastAsia="仿宋_GB2312" w:cs="Times New Roman"/>
          <w:color w:val="000000" w:themeColor="text1"/>
          <w:sz w:val="28"/>
          <w:szCs w:val="32"/>
          <w14:textFill>
            <w14:solidFill>
              <w14:schemeClr w14:val="tx1"/>
            </w14:solidFill>
          </w14:textFill>
        </w:rPr>
        <w:t>（公开版）</w:t>
      </w:r>
      <w:r>
        <w:rPr>
          <w:rFonts w:ascii="Times New Roman" w:hAnsi="Times New Roman" w:eastAsia="仿宋_GB2312" w:cs="Times New Roman"/>
          <w:color w:val="000000" w:themeColor="text1"/>
          <w:sz w:val="28"/>
          <w:szCs w:val="32"/>
          <w14:textFill>
            <w14:solidFill>
              <w14:schemeClr w14:val="tx1"/>
            </w14:solidFill>
          </w14:textFill>
        </w:rPr>
        <w:t>已未涉及国家秘密、商业秘密等内容。我司同意对</w:t>
      </w:r>
      <w:r>
        <w:rPr>
          <w:rFonts w:hint="eastAsia" w:ascii="Times New Roman" w:hAnsi="Times New Roman" w:eastAsia="仿宋_GB2312" w:cs="Times New Roman"/>
          <w:color w:val="000000" w:themeColor="text1"/>
          <w:sz w:val="28"/>
          <w:szCs w:val="32"/>
          <w14:textFill>
            <w14:solidFill>
              <w14:schemeClr w14:val="tx1"/>
            </w14:solidFill>
          </w14:textFill>
        </w:rPr>
        <w:t>《</w:t>
      </w:r>
      <w:r>
        <w:rPr>
          <w:rFonts w:ascii="Times New Roman" w:hAnsi="Times New Roman" w:eastAsia="仿宋_GB2312" w:cs="Times New Roman"/>
          <w:color w:val="000000" w:themeColor="text1"/>
          <w:sz w:val="28"/>
          <w:szCs w:val="32"/>
          <w14:textFill>
            <w14:solidFill>
              <w14:schemeClr w14:val="tx1"/>
            </w14:solidFill>
          </w14:textFill>
        </w:rPr>
        <w:t>宝钢德盛50MW余气及25MW余热发电项目环境影响评价报告表</w:t>
      </w:r>
      <w:r>
        <w:rPr>
          <w:rFonts w:hint="eastAsia" w:ascii="Times New Roman" w:hAnsi="Times New Roman" w:eastAsia="仿宋_GB2312" w:cs="Times New Roman"/>
          <w:color w:val="000000" w:themeColor="text1"/>
          <w:sz w:val="28"/>
          <w:szCs w:val="32"/>
          <w14:textFill>
            <w14:solidFill>
              <w14:schemeClr w14:val="tx1"/>
            </w14:solidFill>
          </w14:textFill>
        </w:rPr>
        <w:t>》</w:t>
      </w:r>
      <w:r>
        <w:rPr>
          <w:rFonts w:ascii="Times New Roman" w:hAnsi="Times New Roman" w:eastAsia="仿宋_GB2312" w:cs="Times New Roman"/>
          <w:color w:val="000000" w:themeColor="text1"/>
          <w:sz w:val="28"/>
          <w:szCs w:val="32"/>
          <w14:textFill>
            <w14:solidFill>
              <w14:schemeClr w14:val="tx1"/>
            </w14:solidFill>
          </w14:textFill>
        </w:rPr>
        <w:t>全文进行公示，特此声明。</w:t>
      </w:r>
    </w:p>
    <w:p w14:paraId="7640CB4A">
      <w:pPr>
        <w:pStyle w:val="22"/>
        <w:snapToGrid w:val="0"/>
        <w:spacing w:line="360" w:lineRule="auto"/>
        <w:ind w:firstLine="560" w:firstLineChars="200"/>
        <w:rPr>
          <w:rFonts w:ascii="Times New Roman" w:hAnsi="Times New Roman" w:eastAsia="仿宋_GB2312" w:cs="Times New Roman"/>
          <w:color w:val="000000" w:themeColor="text1"/>
          <w:sz w:val="28"/>
          <w:szCs w:val="32"/>
          <w14:textFill>
            <w14:solidFill>
              <w14:schemeClr w14:val="tx1"/>
            </w14:solidFill>
          </w14:textFill>
        </w:rPr>
      </w:pPr>
      <w:r>
        <w:rPr>
          <w:rFonts w:hint="eastAsia" w:ascii="Times New Roman" w:hAnsi="Times New Roman" w:eastAsia="仿宋_GB2312" w:cs="Times New Roman"/>
          <w:color w:val="000000" w:themeColor="text1"/>
          <w:sz w:val="28"/>
          <w:szCs w:val="32"/>
          <w14:textFill>
            <w14:solidFill>
              <w14:schemeClr w14:val="tx1"/>
            </w14:solidFill>
          </w14:textFill>
        </w:rPr>
        <w:t>附件：《宝钢德盛50MW余气及25MW余热发电项目环境影响评价报告表》公开文本删除内容、删除依据的说明。</w:t>
      </w:r>
    </w:p>
    <w:p w14:paraId="07A763E7">
      <w:pPr>
        <w:pStyle w:val="22"/>
        <w:snapToGrid w:val="0"/>
        <w:spacing w:line="360" w:lineRule="auto"/>
        <w:rPr>
          <w:rFonts w:ascii="Times New Roman" w:hAnsi="Times New Roman" w:eastAsia="仿宋_GB2312" w:cs="Times New Roman"/>
          <w:color w:val="000000" w:themeColor="text1"/>
          <w:sz w:val="32"/>
          <w:szCs w:val="32"/>
          <w14:textFill>
            <w14:solidFill>
              <w14:schemeClr w14:val="tx1"/>
            </w14:solidFill>
          </w14:textFill>
        </w:rPr>
      </w:pPr>
    </w:p>
    <w:p w14:paraId="116B3586">
      <w:pPr>
        <w:pStyle w:val="22"/>
        <w:snapToGrid w:val="0"/>
        <w:spacing w:line="360" w:lineRule="auto"/>
        <w:jc w:val="right"/>
        <w:rPr>
          <w:rFonts w:eastAsia="仿宋_GB2312" w:cs="Times New Roman"/>
          <w:color w:val="000000" w:themeColor="text1"/>
          <w:sz w:val="28"/>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w:t>
      </w:r>
      <w:r>
        <w:rPr>
          <w:rFonts w:ascii="Times New Roman" w:hAnsi="Times New Roman" w:eastAsia="仿宋_GB2312" w:cs="Times New Roman"/>
          <w:color w:val="000000" w:themeColor="text1"/>
          <w:sz w:val="28"/>
          <w:szCs w:val="32"/>
          <w14:textFill>
            <w14:solidFill>
              <w14:schemeClr w14:val="tx1"/>
            </w14:solidFill>
          </w14:textFill>
        </w:rPr>
        <w:t xml:space="preserve"> 宝钢德盛不锈钢有限公司</w:t>
      </w:r>
      <w:r>
        <w:rPr>
          <w:rFonts w:eastAsia="仿宋_GB2312" w:cs="Times New Roman"/>
          <w:color w:val="000000" w:themeColor="text1"/>
          <w:sz w:val="28"/>
          <w:szCs w:val="32"/>
          <w14:textFill>
            <w14:solidFill>
              <w14:schemeClr w14:val="tx1"/>
            </w14:solidFill>
          </w14:textFill>
        </w:rPr>
        <w:t xml:space="preserve">  2026年5月24日</w:t>
      </w:r>
    </w:p>
    <w:p w14:paraId="049EA21E">
      <w:pPr>
        <w:pStyle w:val="22"/>
        <w:snapToGrid w:val="0"/>
        <w:spacing w:line="360" w:lineRule="auto"/>
        <w:rPr>
          <w:rFonts w:ascii="Times New Roman" w:hAnsi="Times New Roman" w:eastAsia="仿宋_GB2312" w:cs="Times New Roman"/>
          <w:color w:val="000000" w:themeColor="text1"/>
          <w:sz w:val="28"/>
          <w:szCs w:val="32"/>
          <w14:textFill>
            <w14:solidFill>
              <w14:schemeClr w14:val="tx1"/>
            </w14:solidFill>
          </w14:textFill>
        </w:rPr>
      </w:pPr>
    </w:p>
    <w:p w14:paraId="4F527C93">
      <w:pPr>
        <w:pStyle w:val="22"/>
        <w:snapToGrid w:val="0"/>
        <w:spacing w:line="360" w:lineRule="auto"/>
        <w:rPr>
          <w:rFonts w:ascii="Times New Roman" w:hAnsi="Times New Roman" w:eastAsia="仿宋_GB2312" w:cs="Times New Roman"/>
          <w:color w:val="000000" w:themeColor="text1"/>
          <w:sz w:val="28"/>
          <w:szCs w:val="32"/>
          <w14:textFill>
            <w14:solidFill>
              <w14:schemeClr w14:val="tx1"/>
            </w14:solidFill>
          </w14:textFill>
        </w:rPr>
        <w:sectPr>
          <w:footerReference r:id="rId15" w:type="default"/>
          <w:pgSz w:w="11906" w:h="16838"/>
          <w:pgMar w:top="1701" w:right="1531" w:bottom="1701" w:left="1531" w:header="851" w:footer="851" w:gutter="0"/>
          <w:cols w:space="720" w:num="1"/>
          <w:docGrid w:linePitch="312" w:charSpace="0"/>
        </w:sectPr>
      </w:pPr>
    </w:p>
    <w:p w14:paraId="5FDEE954">
      <w:pPr>
        <w:tabs>
          <w:tab w:val="left" w:pos="1707"/>
        </w:tabs>
        <w:ind w:firstLine="0" w:firstLineChars="0"/>
        <w:rPr>
          <w:rFonts w:eastAsia="仿宋_GB2312" w:cs="Times New Roman"/>
          <w:color w:val="000000" w:themeColor="text1"/>
          <w:sz w:val="28"/>
          <w:szCs w:val="32"/>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drawing>
          <wp:anchor distT="0" distB="0" distL="114300" distR="114300" simplePos="0" relativeHeight="251668480" behindDoc="0" locked="0" layoutInCell="1" allowOverlap="1">
            <wp:simplePos x="0" y="0"/>
            <wp:positionH relativeFrom="column">
              <wp:posOffset>-942975</wp:posOffset>
            </wp:positionH>
            <wp:positionV relativeFrom="paragraph">
              <wp:posOffset>-1054100</wp:posOffset>
            </wp:positionV>
            <wp:extent cx="7498715" cy="10601960"/>
            <wp:effectExtent l="0" t="0" r="6985" b="8890"/>
            <wp:wrapNone/>
            <wp:docPr id="3" name="图片 3" descr="内页盖章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内页盖章_3"/>
                    <pic:cNvPicPr>
                      <a:picLocks noChangeAspect="1"/>
                    </pic:cNvPicPr>
                  </pic:nvPicPr>
                  <pic:blipFill>
                    <a:blip r:embed="rId56"/>
                    <a:stretch>
                      <a:fillRect/>
                    </a:stretch>
                  </pic:blipFill>
                  <pic:spPr>
                    <a:xfrm>
                      <a:off x="0" y="0"/>
                      <a:ext cx="7498715" cy="10601960"/>
                    </a:xfrm>
                    <a:prstGeom prst="rect">
                      <a:avLst/>
                    </a:prstGeom>
                  </pic:spPr>
                </pic:pic>
              </a:graphicData>
            </a:graphic>
          </wp:anchor>
        </w:drawing>
      </w:r>
      <w:r>
        <w:rPr>
          <w:rFonts w:hint="eastAsia" w:eastAsia="仿宋_GB2312" w:cs="Times New Roman"/>
          <w:color w:val="000000" w:themeColor="text1"/>
          <w:sz w:val="28"/>
          <w:szCs w:val="32"/>
          <w14:textFill>
            <w14:solidFill>
              <w14:schemeClr w14:val="tx1"/>
            </w14:solidFill>
          </w14:textFill>
        </w:rPr>
        <w:t>附件：《</w:t>
      </w:r>
      <w:r>
        <w:rPr>
          <w:rFonts w:eastAsia="仿宋_GB2312" w:cs="Times New Roman"/>
          <w:color w:val="000000" w:themeColor="text1"/>
          <w:sz w:val="28"/>
          <w:szCs w:val="32"/>
          <w14:textFill>
            <w14:solidFill>
              <w14:schemeClr w14:val="tx1"/>
            </w14:solidFill>
          </w14:textFill>
        </w:rPr>
        <w:t>宝钢德盛50MW余气及25MW余热发电项目环境影响评价报告表</w:t>
      </w:r>
      <w:r>
        <w:rPr>
          <w:rFonts w:hint="eastAsia" w:eastAsia="仿宋_GB2312" w:cs="Times New Roman"/>
          <w:color w:val="000000" w:themeColor="text1"/>
          <w:sz w:val="28"/>
          <w:szCs w:val="32"/>
          <w14:textFill>
            <w14:solidFill>
              <w14:schemeClr w14:val="tx1"/>
            </w14:solidFill>
          </w14:textFill>
        </w:rPr>
        <w:t>》公开文本删除内容，删除依据的说明</w:t>
      </w:r>
    </w:p>
    <w:p w14:paraId="25E07F14">
      <w:pPr>
        <w:tabs>
          <w:tab w:val="left" w:pos="1707"/>
        </w:tabs>
        <w:ind w:firstLine="0" w:firstLineChars="0"/>
        <w:rPr>
          <w:rFonts w:eastAsia="仿宋_GB2312" w:cs="Times New Roman"/>
          <w:color w:val="000000" w:themeColor="text1"/>
          <w:sz w:val="28"/>
          <w:szCs w:val="32"/>
          <w14:textFill>
            <w14:solidFill>
              <w14:schemeClr w14:val="tx1"/>
            </w14:solidFill>
          </w14:textFill>
        </w:rPr>
      </w:pPr>
    </w:p>
    <w:p w14:paraId="5100C940">
      <w:pPr>
        <w:tabs>
          <w:tab w:val="left" w:pos="1707"/>
        </w:tabs>
        <w:ind w:firstLine="560"/>
        <w:rPr>
          <w:rFonts w:eastAsia="仿宋_GB2312" w:cs="Times New Roman"/>
          <w:color w:val="000000" w:themeColor="text1"/>
          <w:sz w:val="28"/>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t>我司</w:t>
      </w:r>
      <w:r>
        <w:rPr>
          <w:rFonts w:eastAsia="仿宋_GB2312" w:cs="Times New Roman"/>
          <w:color w:val="000000" w:themeColor="text1"/>
          <w:sz w:val="28"/>
          <w14:textFill>
            <w14:solidFill>
              <w14:schemeClr w14:val="tx1"/>
            </w14:solidFill>
          </w14:textFill>
        </w:rPr>
        <w:t>宝钢德盛不锈钢有限公司</w:t>
      </w:r>
      <w:r>
        <w:rPr>
          <w:rFonts w:hint="eastAsia" w:eastAsia="仿宋_GB2312" w:cs="Times New Roman"/>
          <w:color w:val="000000" w:themeColor="text1"/>
          <w:sz w:val="28"/>
          <w14:textFill>
            <w14:solidFill>
              <w14:schemeClr w14:val="tx1"/>
            </w14:solidFill>
          </w14:textFill>
        </w:rPr>
        <w:t>的环境影响报告表文本已按照《指南》要求，将全文中涉及国家秘密和商业秘密等内容进行了删减，形成了报告表(公示版)。公示版报告表不含涉及国家秘密，商业秘密，个人隐私以及涉及国家安全，公共安全，经济安全和社会稳定的内容。现将所删除内容及理由说明如下：</w:t>
      </w:r>
    </w:p>
    <w:p w14:paraId="2686B071">
      <w:pPr>
        <w:tabs>
          <w:tab w:val="left" w:pos="1707"/>
        </w:tabs>
        <w:ind w:firstLine="560"/>
        <w:rPr>
          <w:rFonts w:eastAsia="仿宋_GB2312" w:cs="Times New Roman"/>
          <w:color w:val="000000" w:themeColor="text1"/>
          <w:sz w:val="28"/>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t>1，编制工程师资质证书，编制人员社保缴纳证明涉及个人隐私，予以删除；</w:t>
      </w:r>
    </w:p>
    <w:p w14:paraId="7C5602CA">
      <w:pPr>
        <w:tabs>
          <w:tab w:val="left" w:pos="1707"/>
        </w:tabs>
        <w:ind w:firstLine="560"/>
        <w:rPr>
          <w:rFonts w:eastAsia="仿宋_GB2312" w:cs="Times New Roman"/>
          <w:color w:val="000000" w:themeColor="text1"/>
          <w:sz w:val="28"/>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t>2，联系人联系方式涉及个人隐私，予以删除；</w:t>
      </w:r>
    </w:p>
    <w:p w14:paraId="4FA5FE5F">
      <w:pPr>
        <w:tabs>
          <w:tab w:val="left" w:pos="1707"/>
        </w:tabs>
        <w:ind w:firstLine="560"/>
        <w:rPr>
          <w:rFonts w:eastAsia="仿宋_GB2312" w:cs="Times New Roman"/>
          <w:color w:val="000000" w:themeColor="text1"/>
          <w:sz w:val="28"/>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t>3，项目总投资，环保投资涉及商业机密，予以删除；</w:t>
      </w:r>
    </w:p>
    <w:p w14:paraId="7FC84B5E">
      <w:pPr>
        <w:tabs>
          <w:tab w:val="left" w:pos="1707"/>
        </w:tabs>
        <w:ind w:firstLine="560"/>
        <w:rPr>
          <w:rFonts w:eastAsia="仿宋_GB2312" w:cs="Times New Roman"/>
          <w:color w:val="000000" w:themeColor="text1"/>
          <w:sz w:val="28"/>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t>4，项目生产工艺流程图，具体工艺描述，项目设备信息，项目原辅材料信息涉及商业机密，予以删除；</w:t>
      </w:r>
    </w:p>
    <w:p w14:paraId="454408B5">
      <w:pPr>
        <w:tabs>
          <w:tab w:val="left" w:pos="1707"/>
        </w:tabs>
        <w:ind w:firstLine="560"/>
        <w:rPr>
          <w:rFonts w:eastAsia="仿宋_GB2312" w:cs="Times New Roman"/>
          <w:color w:val="000000" w:themeColor="text1"/>
          <w:sz w:val="28"/>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t>5，项目原辅材料信息涉及商业机密，予以删除；</w:t>
      </w:r>
    </w:p>
    <w:p w14:paraId="0E8120FE">
      <w:pPr>
        <w:tabs>
          <w:tab w:val="left" w:pos="1707"/>
        </w:tabs>
        <w:ind w:firstLine="560"/>
        <w:rPr>
          <w:rFonts w:eastAsia="仿宋_GB2312" w:cs="Times New Roman"/>
          <w:color w:val="000000" w:themeColor="text1"/>
          <w:sz w:val="28"/>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t>6，环境质量现状具体调查数据涉及知识产权保护及国家秘密，予以删除；</w:t>
      </w:r>
    </w:p>
    <w:p w14:paraId="5678284D">
      <w:pPr>
        <w:tabs>
          <w:tab w:val="left" w:pos="1707"/>
        </w:tabs>
        <w:ind w:firstLine="560"/>
        <w:rPr>
          <w:rFonts w:eastAsia="仿宋_GB2312" w:cs="Times New Roman"/>
          <w:color w:val="000000" w:themeColor="text1"/>
          <w:sz w:val="28"/>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t>7，项目总平面布置图，环境保护目标分布图等图件涉及商业机密，予以删除；</w:t>
      </w:r>
    </w:p>
    <w:p w14:paraId="565630E2">
      <w:pPr>
        <w:tabs>
          <w:tab w:val="left" w:pos="1707"/>
        </w:tabs>
        <w:ind w:firstLine="560"/>
        <w:rPr>
          <w:rFonts w:eastAsia="仿宋_GB2312" w:cs="Times New Roman"/>
          <w:color w:val="000000" w:themeColor="text1"/>
          <w:sz w:val="28"/>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t>8，附件营业执照，法人身份证等材料涉及商业机密，予以删除。</w:t>
      </w:r>
    </w:p>
    <w:p w14:paraId="507ED18B">
      <w:pPr>
        <w:tabs>
          <w:tab w:val="left" w:pos="1707"/>
        </w:tabs>
        <w:ind w:firstLine="560"/>
        <w:rPr>
          <w:rFonts w:eastAsia="仿宋_GB2312" w:cs="Times New Roman"/>
          <w:color w:val="000000" w:themeColor="text1"/>
          <w:sz w:val="28"/>
          <w14:textFill>
            <w14:solidFill>
              <w14:schemeClr w14:val="tx1"/>
            </w14:solidFill>
          </w14:textFill>
        </w:rPr>
      </w:pPr>
      <w:r>
        <w:rPr>
          <w:rFonts w:hint="eastAsia" w:eastAsia="仿宋_GB2312" w:cs="Times New Roman"/>
          <w:color w:val="000000" w:themeColor="text1"/>
          <w:sz w:val="28"/>
          <w14:textFill>
            <w14:solidFill>
              <w14:schemeClr w14:val="tx1"/>
            </w14:solidFill>
          </w14:textFill>
        </w:rPr>
        <w:t>9，其他涉及商业机密的信息予以删除。</w:t>
      </w:r>
      <w:r>
        <w:rPr>
          <w:rFonts w:eastAsia="仿宋_GB2312" w:cs="Times New Roman"/>
          <w:color w:val="000000" w:themeColor="text1"/>
          <w:sz w:val="28"/>
          <w14:textFill>
            <w14:solidFill>
              <w14:schemeClr w14:val="tx1"/>
            </w14:solidFill>
          </w14:textFill>
        </w:rPr>
        <w:tab/>
      </w:r>
      <w:r>
        <w:rPr>
          <w:rFonts w:eastAsia="仿宋_GB2312" w:cs="Times New Roman"/>
          <w:color w:val="000000" w:themeColor="text1"/>
          <w:sz w:val="28"/>
          <w14:textFill>
            <w14:solidFill>
              <w14:schemeClr w14:val="tx1"/>
            </w14:solidFill>
          </w14:textFill>
        </w:rPr>
        <w:t xml:space="preserve">     </w:t>
      </w:r>
    </w:p>
    <w:bookmarkEnd w:id="183"/>
    <w:bookmarkEnd w:id="184"/>
    <w:bookmarkEnd w:id="185"/>
    <w:bookmarkEnd w:id="186"/>
    <w:p w14:paraId="6C50E09B">
      <w:pPr>
        <w:pStyle w:val="22"/>
        <w:snapToGrid w:val="0"/>
        <w:spacing w:line="360" w:lineRule="auto"/>
        <w:jc w:val="right"/>
        <w:rPr>
          <w:rFonts w:ascii="Times New Roman" w:hAnsi="Times New Roman" w:eastAsia="仿宋_GB2312" w:cs="Times New Roman"/>
          <w:color w:val="000000" w:themeColor="text1"/>
          <w:sz w:val="28"/>
          <w:szCs w:val="24"/>
          <w14:textFill>
            <w14:solidFill>
              <w14:schemeClr w14:val="tx1"/>
            </w14:solidFill>
          </w14:textFill>
        </w:rPr>
      </w:pPr>
    </w:p>
    <w:p w14:paraId="645FF7B0">
      <w:pPr>
        <w:pStyle w:val="22"/>
        <w:snapToGrid w:val="0"/>
        <w:spacing w:line="360" w:lineRule="auto"/>
        <w:jc w:val="right"/>
        <w:rPr>
          <w:rFonts w:ascii="Times New Roman" w:hAnsi="Times New Roman" w:eastAsia="仿宋_GB2312" w:cs="Times New Roman"/>
          <w:color w:val="000000" w:themeColor="text1"/>
          <w:sz w:val="28"/>
          <w:szCs w:val="24"/>
          <w14:textFill>
            <w14:solidFill>
              <w14:schemeClr w14:val="tx1"/>
            </w14:solidFill>
          </w14:textFill>
        </w:rPr>
      </w:pPr>
      <w:r>
        <w:rPr>
          <w:rFonts w:ascii="Times New Roman" w:hAnsi="Times New Roman" w:eastAsia="仿宋_GB2312" w:cs="Times New Roman"/>
          <w:color w:val="000000" w:themeColor="text1"/>
          <w:sz w:val="28"/>
          <w:szCs w:val="24"/>
          <w14:textFill>
            <w14:solidFill>
              <w14:schemeClr w14:val="tx1"/>
            </w14:solidFill>
          </w14:textFill>
        </w:rPr>
        <w:t>宝钢德盛不锈钢有限公司</w:t>
      </w:r>
    </w:p>
    <w:p w14:paraId="43415786">
      <w:pPr>
        <w:pStyle w:val="138"/>
        <w:jc w:val="right"/>
        <w:rPr>
          <w:rFonts w:cs="Times New Roman"/>
          <w:color w:val="000000" w:themeColor="text1"/>
          <w:sz w:val="28"/>
          <w14:textFill>
            <w14:solidFill>
              <w14:schemeClr w14:val="tx1"/>
            </w14:solidFill>
          </w14:textFill>
        </w:rPr>
      </w:pPr>
      <w:r>
        <w:rPr>
          <w:rFonts w:eastAsia="仿宋_GB2312" w:cs="Times New Roman"/>
          <w:color w:val="000000" w:themeColor="text1"/>
          <w:sz w:val="28"/>
          <w14:textFill>
            <w14:solidFill>
              <w14:schemeClr w14:val="tx1"/>
            </w14:solidFill>
          </w14:textFill>
        </w:rPr>
        <w:t xml:space="preserve">                              2026年5月24日</w:t>
      </w:r>
    </w:p>
    <w:sectPr>
      <w:pgSz w:w="11906" w:h="16838"/>
      <w:pgMar w:top="1701" w:right="1531" w:bottom="1701" w:left="153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20B0604020202020204"/>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MT">
    <w:altName w:val="Times New Roman"/>
    <w:panose1 w:val="020B0604020202020204"/>
    <w:charset w:val="86"/>
    <w:family w:val="auto"/>
    <w:pitch w:val="default"/>
    <w:sig w:usb0="00000000" w:usb1="00000000" w:usb2="00000010" w:usb3="00000000" w:csb0="00040000" w:csb1="00000000"/>
  </w:font>
  <w:font w:name="DengXian">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PMingLiU">
    <w:panose1 w:val="02020500000000000000"/>
    <w:charset w:val="88"/>
    <w:family w:val="roman"/>
    <w:pitch w:val="default"/>
    <w:sig w:usb0="A00002FF" w:usb1="28CFFCFA" w:usb2="00000016" w:usb3="00000000" w:csb0="00100001" w:csb1="00000000"/>
  </w:font>
  <w:font w:name="Arial Unicode MS">
    <w:panose1 w:val="020B0604020202020204"/>
    <w:charset w:val="80"/>
    <w:family w:val="swiss"/>
    <w:pitch w:val="default"/>
    <w:sig w:usb0="FFFFFFFF" w:usb1="E9FFFFFF" w:usb2="0000003F" w:usb3="00000000" w:csb0="603F01FF" w:csb1="FFFF0000"/>
  </w:font>
  <w:font w:name="华文楷体">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楷体_GB2312">
    <w:altName w:val="楷体"/>
    <w:panose1 w:val="020B0604020202020204"/>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crosoft YaHei UI">
    <w:altName w:val="宋体"/>
    <w:panose1 w:val="020B0604020202020204"/>
    <w:charset w:val="86"/>
    <w:family w:val="swiss"/>
    <w:pitch w:val="default"/>
    <w:sig w:usb0="00000000" w:usb1="00000000" w:usb2="00000016" w:usb3="00000000" w:csb0="0004001F" w:csb1="00000000"/>
  </w:font>
  <w:font w:name="方正小标宋_GBK">
    <w:altName w:val="Arial Unicode MS"/>
    <w:panose1 w:val="020B0604020202020204"/>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CIDFont+F5">
    <w:altName w:val="宋体"/>
    <w:panose1 w:val="020B0604020202020204"/>
    <w:charset w:val="86"/>
    <w:family w:val="auto"/>
    <w:pitch w:val="default"/>
    <w:sig w:usb0="00000000" w:usb1="00000000" w:usb2="00000000" w:usb3="00000000" w:csb0="00040000" w:csb1="00000000"/>
  </w:font>
  <w:font w:name="TimesNewRomanPSMT">
    <w:altName w:val="Times New Roman"/>
    <w:panose1 w:val="02020603050405020304"/>
    <w:charset w:val="00"/>
    <w:family w:val="auto"/>
    <w:pitch w:val="default"/>
    <w:sig w:usb0="00000000" w:usb1="00000000" w:usb2="00000000" w:usb3="00000000" w:csb0="0004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2412E">
    <w:pPr>
      <w:tabs>
        <w:tab w:val="center" w:pos="4153"/>
        <w:tab w:val="right" w:pos="8306"/>
      </w:tabs>
      <w:ind w:right="360" w:firstLine="48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A18E9">
                          <w:pPr>
                            <w:pStyle w:val="28"/>
                            <w:ind w:firstLine="40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52CA18E9">
                    <w:pPr>
                      <w:pStyle w:val="28"/>
                      <w:ind w:firstLine="40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4174B">
    <w:pPr>
      <w:framePr w:wrap="around" w:vAnchor="text" w:hAnchor="margin" w:xAlign="center" w:y="1"/>
      <w:tabs>
        <w:tab w:val="center" w:pos="4153"/>
        <w:tab w:val="right" w:pos="8306"/>
      </w:tabs>
      <w:ind w:firstLine="480"/>
      <w:rPr>
        <w:rStyle w:val="52"/>
      </w:rPr>
    </w:pPr>
    <w:r>
      <w:fldChar w:fldCharType="begin"/>
    </w:r>
    <w:r>
      <w:rPr>
        <w:rStyle w:val="52"/>
      </w:rPr>
      <w:instrText xml:space="preserve">PAGE  </w:instrText>
    </w:r>
    <w:r>
      <w:fldChar w:fldCharType="end"/>
    </w:r>
  </w:p>
  <w:p w14:paraId="1F87C591">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08D5">
    <w:pPr>
      <w:pStyle w:val="28"/>
      <w:ind w:firstLine="4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F76B0">
    <w:pPr>
      <w:pStyle w:val="28"/>
      <w:ind w:firstLine="40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3DA93">
                          <w:pPr>
                            <w:pStyle w:val="28"/>
                            <w:ind w:firstLine="400"/>
                            <w:jc w:val="center"/>
                          </w:pPr>
                          <w:r>
                            <w:fldChar w:fldCharType="begin"/>
                          </w:r>
                          <w:r>
                            <w:instrText xml:space="preserve">PAGE   \* MERGEFORMAT</w:instrText>
                          </w:r>
                          <w:r>
                            <w:fldChar w:fldCharType="separate"/>
                          </w:r>
                          <w:r>
                            <w:rPr>
                              <w:lang w:val="zh-CN"/>
                            </w:rPr>
                            <w:t>121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4C03DA93">
                    <w:pPr>
                      <w:pStyle w:val="28"/>
                      <w:ind w:firstLine="400"/>
                      <w:jc w:val="center"/>
                    </w:pPr>
                    <w:r>
                      <w:fldChar w:fldCharType="begin"/>
                    </w:r>
                    <w:r>
                      <w:instrText xml:space="preserve">PAGE   \* MERGEFORMAT</w:instrText>
                    </w:r>
                    <w:r>
                      <w:fldChar w:fldCharType="separate"/>
                    </w:r>
                    <w:r>
                      <w:rPr>
                        <w:lang w:val="zh-CN"/>
                      </w:rPr>
                      <w:t>121</w:t>
                    </w:r>
                    <w:r>
                      <w:fldChar w:fldCharType="end"/>
                    </w:r>
                  </w:p>
                </w:txbxContent>
              </v:textbox>
            </v:shape>
          </w:pict>
        </mc:Fallback>
      </mc:AlternateContent>
    </w:r>
  </w:p>
  <w:p w14:paraId="68E416C5">
    <w:pPr>
      <w:pStyle w:val="28"/>
      <w:ind w:firstLine="4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A331">
    <w:pPr>
      <w:pStyle w:val="28"/>
      <w:ind w:firstLine="40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EE75B">
                          <w:pPr>
                            <w:pStyle w:val="28"/>
                            <w:ind w:firstLine="400"/>
                            <w:jc w:val="center"/>
                          </w:pPr>
                          <w:r>
                            <w:fldChar w:fldCharType="begin"/>
                          </w:r>
                          <w:r>
                            <w:instrText xml:space="preserve">PAGE   \* MERGEFORMAT</w:instrText>
                          </w:r>
                          <w:r>
                            <w:fldChar w:fldCharType="separate"/>
                          </w:r>
                          <w:r>
                            <w:rPr>
                              <w:lang w:val="zh-CN"/>
                            </w:rPr>
                            <w:t>121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787EE75B">
                    <w:pPr>
                      <w:pStyle w:val="28"/>
                      <w:ind w:firstLine="400"/>
                      <w:jc w:val="center"/>
                    </w:pPr>
                    <w:r>
                      <w:fldChar w:fldCharType="begin"/>
                    </w:r>
                    <w:r>
                      <w:instrText xml:space="preserve">PAGE   \* MERGEFORMAT</w:instrText>
                    </w:r>
                    <w:r>
                      <w:fldChar w:fldCharType="separate"/>
                    </w:r>
                    <w:r>
                      <w:rPr>
                        <w:lang w:val="zh-CN"/>
                      </w:rPr>
                      <w:t>121</w:t>
                    </w:r>
                    <w:r>
                      <w:fldChar w:fldCharType="end"/>
                    </w:r>
                  </w:p>
                </w:txbxContent>
              </v:textbox>
            </v:shape>
          </w:pict>
        </mc:Fallback>
      </mc:AlternateContent>
    </w:r>
  </w:p>
  <w:p w14:paraId="5C245F52">
    <w:pPr>
      <w:pStyle w:val="28"/>
      <w:ind w:firstLine="40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059D6">
    <w:pPr>
      <w:pStyle w:val="28"/>
      <w:ind w:firstLine="40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DEE413">
                          <w:pPr>
                            <w:pStyle w:val="28"/>
                            <w:ind w:firstLine="400"/>
                            <w:jc w:val="center"/>
                          </w:pPr>
                          <w:r>
                            <w:fldChar w:fldCharType="begin"/>
                          </w:r>
                          <w:r>
                            <w:instrText xml:space="preserve">PAGE   \* MERGEFORMAT</w:instrText>
                          </w:r>
                          <w:r>
                            <w:fldChar w:fldCharType="separate"/>
                          </w:r>
                          <w:r>
                            <w:rPr>
                              <w:lang w:val="zh-CN"/>
                            </w:rPr>
                            <w:t>121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7DEE413">
                    <w:pPr>
                      <w:pStyle w:val="28"/>
                      <w:ind w:firstLine="400"/>
                      <w:jc w:val="center"/>
                    </w:pPr>
                    <w:r>
                      <w:fldChar w:fldCharType="begin"/>
                    </w:r>
                    <w:r>
                      <w:instrText xml:space="preserve">PAGE   \* MERGEFORMAT</w:instrText>
                    </w:r>
                    <w:r>
                      <w:fldChar w:fldCharType="separate"/>
                    </w:r>
                    <w:r>
                      <w:rPr>
                        <w:lang w:val="zh-CN"/>
                      </w:rPr>
                      <w:t>121</w:t>
                    </w:r>
                    <w:r>
                      <w:fldChar w:fldCharType="end"/>
                    </w:r>
                  </w:p>
                </w:txbxContent>
              </v:textbox>
            </v:shape>
          </w:pict>
        </mc:Fallback>
      </mc:AlternateContent>
    </w:r>
  </w:p>
  <w:p w14:paraId="4CFF97D4">
    <w:pPr>
      <w:pStyle w:val="28"/>
      <w:ind w:firstLine="4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B9731">
    <w:pPr>
      <w:pStyle w:val="28"/>
      <w:tabs>
        <w:tab w:val="center" w:pos="4622"/>
        <w:tab w:val="left" w:pos="5739"/>
      </w:tabs>
      <w:ind w:firstLine="400"/>
    </w:pPr>
    <w:r>
      <w:tab/>
    </w:r>
    <w:r>
      <w:tab/>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32BD4">
                          <w:pPr>
                            <w:pStyle w:val="28"/>
                            <w:ind w:firstLine="400"/>
                            <w:jc w:val="center"/>
                          </w:pPr>
                          <w:r>
                            <w:fldChar w:fldCharType="begin"/>
                          </w:r>
                          <w:r>
                            <w:instrText xml:space="preserve">PAGE   \* MERGEFORMAT</w:instrText>
                          </w:r>
                          <w:r>
                            <w:fldChar w:fldCharType="separate"/>
                          </w:r>
                          <w:r>
                            <w:rPr>
                              <w:lang w:val="zh-CN"/>
                            </w:rPr>
                            <w:t>121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63C32BD4">
                    <w:pPr>
                      <w:pStyle w:val="28"/>
                      <w:ind w:firstLine="400"/>
                      <w:jc w:val="center"/>
                    </w:pPr>
                    <w:r>
                      <w:fldChar w:fldCharType="begin"/>
                    </w:r>
                    <w:r>
                      <w:instrText xml:space="preserve">PAGE   \* MERGEFORMAT</w:instrText>
                    </w:r>
                    <w:r>
                      <w:fldChar w:fldCharType="separate"/>
                    </w:r>
                    <w:r>
                      <w:rPr>
                        <w:lang w:val="zh-CN"/>
                      </w:rPr>
                      <w:t>121</w:t>
                    </w:r>
                    <w:r>
                      <w:fldChar w:fldCharType="end"/>
                    </w:r>
                  </w:p>
                </w:txbxContent>
              </v:textbox>
            </v:shape>
          </w:pict>
        </mc:Fallback>
      </mc:AlternateContent>
    </w:r>
    <w:r>
      <w:tab/>
    </w:r>
  </w:p>
  <w:p w14:paraId="56AF4463">
    <w:pPr>
      <w:pStyle w:val="28"/>
      <w:ind w:firstLine="40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2AB5B">
    <w:pPr>
      <w:tabs>
        <w:tab w:val="center" w:pos="4153"/>
        <w:tab w:val="right" w:pos="8306"/>
      </w:tabs>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57835" cy="262890"/>
              <wp:effectExtent l="0" t="0" r="0" b="0"/>
              <wp:wrapNone/>
              <wp:docPr id="4096" name="文本框 1035"/>
              <wp:cNvGraphicFramePr/>
              <a:graphic xmlns:a="http://schemas.openxmlformats.org/drawingml/2006/main">
                <a:graphicData uri="http://schemas.microsoft.com/office/word/2010/wordprocessingShape">
                  <wps:wsp>
                    <wps:cNvSpPr txBox="1"/>
                    <wps:spPr bwMode="auto">
                      <a:xfrm>
                        <a:off x="0" y="0"/>
                        <a:ext cx="457835" cy="262890"/>
                      </a:xfrm>
                      <a:prstGeom prst="rect">
                        <a:avLst/>
                      </a:prstGeom>
                      <a:noFill/>
                      <a:ln>
                        <a:noFill/>
                      </a:ln>
                    </wps:spPr>
                    <wps:txbx>
                      <w:txbxContent>
                        <w:p w14:paraId="5C453EC3">
                          <w:pPr>
                            <w:ind w:firstLine="480"/>
                          </w:pPr>
                          <w:r>
                            <w:fldChar w:fldCharType="begin"/>
                          </w:r>
                          <w:r>
                            <w:instrText xml:space="preserve"> PAGE  \* MERGEFORMAT </w:instrText>
                          </w:r>
                          <w:r>
                            <w:fldChar w:fldCharType="separate"/>
                          </w:r>
                          <w:r>
                            <w:t>162</w:t>
                          </w:r>
                          <w:r>
                            <w:fldChar w:fldCharType="end"/>
                          </w:r>
                        </w:p>
                      </w:txbxContent>
                    </wps:txbx>
                    <wps:bodyPr rot="0" vert="horz" wrap="none" lIns="0" tIns="0" rIns="0" bIns="0" anchor="t" anchorCtr="0" upright="1">
                      <a:spAutoFit/>
                    </wps:bodyPr>
                  </wps:wsp>
                </a:graphicData>
              </a:graphic>
            </wp:anchor>
          </w:drawing>
        </mc:Choice>
        <mc:Fallback>
          <w:pict>
            <v:shape id="文本框 1035" o:spid="_x0000_s1026" o:spt="202" type="#_x0000_t202" style="position:absolute;left:0pt;margin-top:0pt;height:20.7pt;width:36.05pt;mso-position-horizontal:center;mso-position-horizontal-relative:margin;mso-wrap-style:none;z-index:251659264;mso-width-relative:page;mso-height-relative:page;" filled="f" stroked="f" coordsize="21600,21600" o:gfxdata="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Z/X5tEAAAADAQAADwAAAAAAAAABACAAAAAiAAAAZHJzL2Rvd25yZXYueG1sUEsBAhQAFAAA&#10;AAgAh07iQLilnqz2AQAA2AMAAA4AAAAAAAAAAQAgAAAAIAEAAGRycy9lMm9Eb2MueG1sUEsFBgAA&#10;AAAGAAYAWQEAAIgFAAAAAA==&#10;">
              <v:fill on="f" focussize="0,0"/>
              <v:stroke on="f"/>
              <v:imagedata o:title=""/>
              <o:lock v:ext="edit" aspectratio="f"/>
              <v:textbox inset="0mm,0mm,0mm,0mm" style="mso-fit-shape-to-text:t;">
                <w:txbxContent>
                  <w:p w14:paraId="5C453EC3">
                    <w:pPr>
                      <w:ind w:firstLine="480"/>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F3401">
    <w:pPr>
      <w:pStyle w:val="2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1CC00">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B5F3F">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BD1BF8"/>
    <w:multiLevelType w:val="singleLevel"/>
    <w:tmpl w:val="C2BD1BF8"/>
    <w:lvl w:ilvl="0" w:tentative="0">
      <w:start w:val="1"/>
      <w:numFmt w:val="decimal"/>
      <w:suff w:val="nothing"/>
      <w:lvlText w:val="（%1）"/>
      <w:lvlJc w:val="left"/>
    </w:lvl>
  </w:abstractNum>
  <w:abstractNum w:abstractNumId="1">
    <w:nsid w:val="1B51276B"/>
    <w:multiLevelType w:val="multilevel"/>
    <w:tmpl w:val="1B51276B"/>
    <w:lvl w:ilvl="0" w:tentative="0">
      <w:start w:val="1"/>
      <w:numFmt w:val="chineseCounting"/>
      <w:pStyle w:val="87"/>
      <w:lvlText w:val="%1、"/>
      <w:lvlJc w:val="left"/>
      <w:pPr>
        <w:ind w:left="1568" w:hanging="440"/>
      </w:pPr>
      <w:rPr>
        <w:rFonts w:hint="eastAsia"/>
      </w:rPr>
    </w:lvl>
    <w:lvl w:ilvl="1" w:tentative="0">
      <w:start w:val="1"/>
      <w:numFmt w:val="lowerLetter"/>
      <w:lvlText w:val="%2)"/>
      <w:lvlJc w:val="left"/>
      <w:pPr>
        <w:ind w:left="2008" w:hanging="440"/>
      </w:pPr>
    </w:lvl>
    <w:lvl w:ilvl="2" w:tentative="0">
      <w:start w:val="1"/>
      <w:numFmt w:val="lowerRoman"/>
      <w:pStyle w:val="129"/>
      <w:lvlText w:val="%3."/>
      <w:lvlJc w:val="right"/>
      <w:pPr>
        <w:ind w:left="2448" w:hanging="440"/>
      </w:pPr>
    </w:lvl>
    <w:lvl w:ilvl="3" w:tentative="0">
      <w:start w:val="1"/>
      <w:numFmt w:val="decimal"/>
      <w:lvlText w:val="%4."/>
      <w:lvlJc w:val="left"/>
      <w:pPr>
        <w:ind w:left="2888" w:hanging="440"/>
      </w:pPr>
    </w:lvl>
    <w:lvl w:ilvl="4" w:tentative="0">
      <w:start w:val="1"/>
      <w:numFmt w:val="lowerLetter"/>
      <w:lvlText w:val="%5)"/>
      <w:lvlJc w:val="left"/>
      <w:pPr>
        <w:ind w:left="3328" w:hanging="440"/>
      </w:pPr>
    </w:lvl>
    <w:lvl w:ilvl="5" w:tentative="0">
      <w:start w:val="1"/>
      <w:numFmt w:val="lowerRoman"/>
      <w:lvlText w:val="%6."/>
      <w:lvlJc w:val="right"/>
      <w:pPr>
        <w:ind w:left="3768" w:hanging="440"/>
      </w:pPr>
    </w:lvl>
    <w:lvl w:ilvl="6" w:tentative="0">
      <w:start w:val="1"/>
      <w:numFmt w:val="decimal"/>
      <w:lvlText w:val="%7."/>
      <w:lvlJc w:val="left"/>
      <w:pPr>
        <w:ind w:left="4208" w:hanging="440"/>
      </w:pPr>
    </w:lvl>
    <w:lvl w:ilvl="7" w:tentative="0">
      <w:start w:val="1"/>
      <w:numFmt w:val="lowerLetter"/>
      <w:lvlText w:val="%8)"/>
      <w:lvlJc w:val="left"/>
      <w:pPr>
        <w:ind w:left="4648" w:hanging="440"/>
      </w:pPr>
    </w:lvl>
    <w:lvl w:ilvl="8" w:tentative="0">
      <w:start w:val="1"/>
      <w:numFmt w:val="lowerRoman"/>
      <w:lvlText w:val="%9."/>
      <w:lvlJc w:val="right"/>
      <w:pPr>
        <w:ind w:left="5088" w:hanging="440"/>
      </w:pPr>
    </w:lvl>
  </w:abstractNum>
  <w:abstractNum w:abstractNumId="2">
    <w:nsid w:val="21894F79"/>
    <w:multiLevelType w:val="multilevel"/>
    <w:tmpl w:val="21894F79"/>
    <w:lvl w:ilvl="0" w:tentative="0">
      <w:start w:val="1"/>
      <w:numFmt w:val="decimal"/>
      <w:lvlText w:val="（%1）"/>
      <w:lvlJc w:val="left"/>
      <w:pPr>
        <w:ind w:left="1140" w:hanging="720"/>
      </w:pPr>
      <w:rPr>
        <w:rFonts w:hint="default"/>
      </w:rPr>
    </w:lvl>
    <w:lvl w:ilvl="1" w:tentative="0">
      <w:start w:val="1"/>
      <w:numFmt w:val="decimalEnclosedParen"/>
      <w:lvlText w:val="%2"/>
      <w:lvlJc w:val="left"/>
      <w:pPr>
        <w:ind w:left="1220" w:hanging="360"/>
      </w:pPr>
      <w:rPr>
        <w:rFonts w:hint="default" w:ascii="宋体" w:hAnsi="宋体" w:cs="宋体"/>
      </w:rPr>
    </w:lvl>
    <w:lvl w:ilvl="2" w:tentative="0">
      <w:start w:val="2"/>
      <w:numFmt w:val="decimalEnclosedCircle"/>
      <w:lvlText w:val="%3"/>
      <w:lvlJc w:val="left"/>
      <w:pPr>
        <w:ind w:left="1660" w:hanging="360"/>
      </w:pPr>
      <w:rPr>
        <w:rFonts w:hint="default"/>
      </w:r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
    <w:nsid w:val="23924F9D"/>
    <w:multiLevelType w:val="singleLevel"/>
    <w:tmpl w:val="23924F9D"/>
    <w:lvl w:ilvl="0" w:tentative="0">
      <w:start w:val="1"/>
      <w:numFmt w:val="decimal"/>
      <w:suff w:val="nothing"/>
      <w:lvlText w:val="（%1）"/>
      <w:lvlJc w:val="left"/>
      <w:pPr>
        <w:ind w:left="300"/>
      </w:pPr>
    </w:lvl>
  </w:abstractNum>
  <w:abstractNum w:abstractNumId="4">
    <w:nsid w:val="330A4218"/>
    <w:multiLevelType w:val="multilevel"/>
    <w:tmpl w:val="330A4218"/>
    <w:lvl w:ilvl="0" w:tentative="0">
      <w:start w:val="1"/>
      <w:numFmt w:val="decimal"/>
      <w:pStyle w:val="2"/>
      <w:suff w:val="space"/>
      <w:lvlText w:val="%1."/>
      <w:lvlJc w:val="left"/>
      <w:pPr>
        <w:ind w:left="0" w:firstLine="0"/>
      </w:pPr>
      <w:rPr>
        <w:rFonts w:hint="default"/>
        <w:color w:val="FFFFFF" w:themeColor="background1"/>
        <w14:textFill>
          <w14:solidFill>
            <w14:schemeClr w14:val="bg1"/>
          </w14:solidFill>
        </w14:textFill>
      </w:rPr>
    </w:lvl>
    <w:lvl w:ilvl="1" w:tentative="0">
      <w:start w:val="1"/>
      <w:numFmt w:val="decimal"/>
      <w:pStyle w:val="3"/>
      <w:suff w:val="space"/>
      <w:lvlText w:val="%1.%2."/>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4"/>
      <w:suff w:val="space"/>
      <w:lvlText w:val="%1.%2.%3."/>
      <w:lvlJc w:val="left"/>
      <w:pPr>
        <w:ind w:left="85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3A43F365"/>
    <w:multiLevelType w:val="singleLevel"/>
    <w:tmpl w:val="3A43F365"/>
    <w:lvl w:ilvl="0" w:tentative="0">
      <w:start w:val="1"/>
      <w:numFmt w:val="decimal"/>
      <w:suff w:val="nothing"/>
      <w:lvlText w:val="（%1）"/>
      <w:lvlJc w:val="left"/>
    </w:lvl>
  </w:abstractNum>
  <w:abstractNum w:abstractNumId="6">
    <w:nsid w:val="4B537F7B"/>
    <w:multiLevelType w:val="multilevel"/>
    <w:tmpl w:val="4B537F7B"/>
    <w:lvl w:ilvl="0" w:tentative="0">
      <w:start w:val="1"/>
      <w:numFmt w:val="decimal"/>
      <w:lvlText w:val="（%1）"/>
      <w:lvlJc w:val="left"/>
      <w:pPr>
        <w:ind w:left="1140" w:hanging="720"/>
      </w:pPr>
      <w:rPr>
        <w:rFonts w:hint="default"/>
      </w:rPr>
    </w:lvl>
    <w:lvl w:ilvl="1" w:tentative="0">
      <w:start w:val="1"/>
      <w:numFmt w:val="decimalEnclosedCircle"/>
      <w:lvlText w:val="%2"/>
      <w:lvlJc w:val="left"/>
      <w:pPr>
        <w:ind w:left="1220" w:hanging="360"/>
      </w:pPr>
      <w:rPr>
        <w:rFonts w:hint="default"/>
      </w:r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7">
    <w:nsid w:val="7F8C6AF1"/>
    <w:multiLevelType w:val="multilevel"/>
    <w:tmpl w:val="7F8C6AF1"/>
    <w:lvl w:ilvl="0" w:tentative="0">
      <w:start w:val="1"/>
      <w:numFmt w:val="decimal"/>
      <w:pStyle w:val="296"/>
      <w:lvlText w:val="%1、"/>
      <w:lvlJc w:val="left"/>
      <w:pPr>
        <w:ind w:left="860" w:hanging="440"/>
      </w:pPr>
    </w:lvl>
    <w:lvl w:ilvl="1" w:tentative="0">
      <w:start w:val="1"/>
      <w:numFmt w:val="lowerLetter"/>
      <w:lvlText w:val="%2)"/>
      <w:lvlJc w:val="left"/>
      <w:pPr>
        <w:ind w:left="1300" w:hanging="440"/>
      </w:pPr>
      <w:rPr>
        <w:rFonts w:hint="eastAsia"/>
      </w:rPr>
    </w:lvl>
    <w:lvl w:ilvl="2" w:tentative="0">
      <w:start w:val="1"/>
      <w:numFmt w:val="lowerRoman"/>
      <w:lvlText w:val="%3."/>
      <w:lvlJc w:val="right"/>
      <w:pPr>
        <w:ind w:left="1740" w:hanging="440"/>
      </w:pPr>
      <w:rPr>
        <w:rFonts w:hint="eastAsia"/>
      </w:rPr>
    </w:lvl>
    <w:lvl w:ilvl="3" w:tentative="0">
      <w:start w:val="1"/>
      <w:numFmt w:val="decimal"/>
      <w:pStyle w:val="278"/>
      <w:lvlText w:val="%4."/>
      <w:lvlJc w:val="left"/>
      <w:pPr>
        <w:ind w:left="2180" w:hanging="440"/>
      </w:pPr>
      <w:rPr>
        <w:rFonts w:hint="eastAsia"/>
      </w:rPr>
    </w:lvl>
    <w:lvl w:ilvl="4" w:tentative="0">
      <w:start w:val="1"/>
      <w:numFmt w:val="lowerLetter"/>
      <w:lvlText w:val="%5)"/>
      <w:lvlJc w:val="left"/>
      <w:pPr>
        <w:ind w:left="2620" w:hanging="440"/>
      </w:pPr>
      <w:rPr>
        <w:rFonts w:hint="eastAsia"/>
      </w:rPr>
    </w:lvl>
    <w:lvl w:ilvl="5" w:tentative="0">
      <w:start w:val="1"/>
      <w:numFmt w:val="lowerRoman"/>
      <w:lvlText w:val="%6."/>
      <w:lvlJc w:val="right"/>
      <w:pPr>
        <w:ind w:left="3060" w:hanging="440"/>
      </w:pPr>
      <w:rPr>
        <w:rFonts w:hint="eastAsia"/>
      </w:rPr>
    </w:lvl>
    <w:lvl w:ilvl="6" w:tentative="0">
      <w:start w:val="1"/>
      <w:numFmt w:val="decimal"/>
      <w:lvlText w:val="%7."/>
      <w:lvlJc w:val="left"/>
      <w:pPr>
        <w:ind w:left="3500" w:hanging="440"/>
      </w:pPr>
      <w:rPr>
        <w:rFonts w:hint="eastAsia"/>
      </w:rPr>
    </w:lvl>
    <w:lvl w:ilvl="7" w:tentative="0">
      <w:start w:val="1"/>
      <w:numFmt w:val="lowerLetter"/>
      <w:lvlText w:val="%8)"/>
      <w:lvlJc w:val="left"/>
      <w:pPr>
        <w:ind w:left="3940" w:hanging="440"/>
      </w:pPr>
      <w:rPr>
        <w:rFonts w:hint="eastAsia"/>
      </w:rPr>
    </w:lvl>
    <w:lvl w:ilvl="8" w:tentative="0">
      <w:start w:val="1"/>
      <w:numFmt w:val="lowerRoman"/>
      <w:lvlText w:val="%9."/>
      <w:lvlJc w:val="right"/>
      <w:pPr>
        <w:ind w:left="4380" w:hanging="440"/>
      </w:pPr>
      <w:rPr>
        <w:rFonts w:hint="eastAsia"/>
      </w:rPr>
    </w:lvl>
  </w:abstractNum>
  <w:num w:numId="1">
    <w:abstractNumId w:val="4"/>
  </w:num>
  <w:num w:numId="2">
    <w:abstractNumId w:val="1"/>
  </w:num>
  <w:num w:numId="3">
    <w:abstractNumId w:val="7"/>
  </w:num>
  <w:num w:numId="4">
    <w:abstractNumId w:val="6"/>
  </w:num>
  <w:num w:numId="5">
    <w:abstractNumId w:val="0"/>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VkYTk4ZGZlZjkxZGViMjAyZDI0MDdkYTFkNWRkMzEifQ=="/>
  </w:docVars>
  <w:rsids>
    <w:rsidRoot w:val="00172A27"/>
    <w:rsid w:val="000012D7"/>
    <w:rsid w:val="00002869"/>
    <w:rsid w:val="00003172"/>
    <w:rsid w:val="00003559"/>
    <w:rsid w:val="000047C3"/>
    <w:rsid w:val="00005D01"/>
    <w:rsid w:val="000060B3"/>
    <w:rsid w:val="000073B8"/>
    <w:rsid w:val="00012FB2"/>
    <w:rsid w:val="00015E65"/>
    <w:rsid w:val="00020118"/>
    <w:rsid w:val="00021E91"/>
    <w:rsid w:val="000228EA"/>
    <w:rsid w:val="00023FC2"/>
    <w:rsid w:val="00025967"/>
    <w:rsid w:val="00027E14"/>
    <w:rsid w:val="000333D3"/>
    <w:rsid w:val="00033E60"/>
    <w:rsid w:val="00035054"/>
    <w:rsid w:val="00040A54"/>
    <w:rsid w:val="000418F5"/>
    <w:rsid w:val="00041A2B"/>
    <w:rsid w:val="0004364B"/>
    <w:rsid w:val="00043EEC"/>
    <w:rsid w:val="0004779F"/>
    <w:rsid w:val="00050049"/>
    <w:rsid w:val="00050E57"/>
    <w:rsid w:val="000543AF"/>
    <w:rsid w:val="00054B6C"/>
    <w:rsid w:val="0005604C"/>
    <w:rsid w:val="00057A8C"/>
    <w:rsid w:val="00061B1F"/>
    <w:rsid w:val="00063825"/>
    <w:rsid w:val="00065954"/>
    <w:rsid w:val="0007176E"/>
    <w:rsid w:val="000733C4"/>
    <w:rsid w:val="00074783"/>
    <w:rsid w:val="00076791"/>
    <w:rsid w:val="0008070B"/>
    <w:rsid w:val="00080B27"/>
    <w:rsid w:val="000810AC"/>
    <w:rsid w:val="00081A02"/>
    <w:rsid w:val="00082231"/>
    <w:rsid w:val="00082905"/>
    <w:rsid w:val="00083F68"/>
    <w:rsid w:val="00085B7F"/>
    <w:rsid w:val="00086690"/>
    <w:rsid w:val="00087DFB"/>
    <w:rsid w:val="000912FB"/>
    <w:rsid w:val="00092D38"/>
    <w:rsid w:val="0009377B"/>
    <w:rsid w:val="00095E95"/>
    <w:rsid w:val="00096565"/>
    <w:rsid w:val="00097D75"/>
    <w:rsid w:val="000A0B68"/>
    <w:rsid w:val="000A0F2B"/>
    <w:rsid w:val="000A20C9"/>
    <w:rsid w:val="000A3C34"/>
    <w:rsid w:val="000A4325"/>
    <w:rsid w:val="000B058F"/>
    <w:rsid w:val="000B08C0"/>
    <w:rsid w:val="000B4467"/>
    <w:rsid w:val="000B4C5C"/>
    <w:rsid w:val="000B4DB9"/>
    <w:rsid w:val="000B6281"/>
    <w:rsid w:val="000C09AC"/>
    <w:rsid w:val="000C10FC"/>
    <w:rsid w:val="000C767F"/>
    <w:rsid w:val="000D0AE9"/>
    <w:rsid w:val="000D4025"/>
    <w:rsid w:val="000D510C"/>
    <w:rsid w:val="000D5A44"/>
    <w:rsid w:val="000D7823"/>
    <w:rsid w:val="000E0A62"/>
    <w:rsid w:val="000E27C9"/>
    <w:rsid w:val="000E3ED2"/>
    <w:rsid w:val="000E41A7"/>
    <w:rsid w:val="000E5974"/>
    <w:rsid w:val="000E5BD0"/>
    <w:rsid w:val="000F7F8C"/>
    <w:rsid w:val="00100E35"/>
    <w:rsid w:val="00103E12"/>
    <w:rsid w:val="00117B44"/>
    <w:rsid w:val="00122384"/>
    <w:rsid w:val="001271C0"/>
    <w:rsid w:val="00127D99"/>
    <w:rsid w:val="00130332"/>
    <w:rsid w:val="00130680"/>
    <w:rsid w:val="00131F42"/>
    <w:rsid w:val="00133F31"/>
    <w:rsid w:val="001357F1"/>
    <w:rsid w:val="001366E5"/>
    <w:rsid w:val="001367F0"/>
    <w:rsid w:val="00140EA6"/>
    <w:rsid w:val="00140FA8"/>
    <w:rsid w:val="00142565"/>
    <w:rsid w:val="00142FEB"/>
    <w:rsid w:val="00143A2D"/>
    <w:rsid w:val="00143CF4"/>
    <w:rsid w:val="001448B9"/>
    <w:rsid w:val="00145A41"/>
    <w:rsid w:val="00146D65"/>
    <w:rsid w:val="00151675"/>
    <w:rsid w:val="00151FBD"/>
    <w:rsid w:val="001528CC"/>
    <w:rsid w:val="00153798"/>
    <w:rsid w:val="00153913"/>
    <w:rsid w:val="00153E86"/>
    <w:rsid w:val="001547F3"/>
    <w:rsid w:val="00155424"/>
    <w:rsid w:val="00157435"/>
    <w:rsid w:val="00160416"/>
    <w:rsid w:val="00167CF5"/>
    <w:rsid w:val="001706CA"/>
    <w:rsid w:val="001707D8"/>
    <w:rsid w:val="00170963"/>
    <w:rsid w:val="0017207D"/>
    <w:rsid w:val="00172A27"/>
    <w:rsid w:val="00173873"/>
    <w:rsid w:val="0017504D"/>
    <w:rsid w:val="00175F5C"/>
    <w:rsid w:val="0017671A"/>
    <w:rsid w:val="00177422"/>
    <w:rsid w:val="00180719"/>
    <w:rsid w:val="001813F4"/>
    <w:rsid w:val="001827B8"/>
    <w:rsid w:val="00183F94"/>
    <w:rsid w:val="00184590"/>
    <w:rsid w:val="00184BA7"/>
    <w:rsid w:val="001870D1"/>
    <w:rsid w:val="0018781E"/>
    <w:rsid w:val="00191F1D"/>
    <w:rsid w:val="001920EC"/>
    <w:rsid w:val="001924EC"/>
    <w:rsid w:val="0019262D"/>
    <w:rsid w:val="00196CBB"/>
    <w:rsid w:val="001A03BC"/>
    <w:rsid w:val="001A1B35"/>
    <w:rsid w:val="001A2F25"/>
    <w:rsid w:val="001A44FD"/>
    <w:rsid w:val="001A48A2"/>
    <w:rsid w:val="001A4BED"/>
    <w:rsid w:val="001A56CC"/>
    <w:rsid w:val="001A6F61"/>
    <w:rsid w:val="001A7A28"/>
    <w:rsid w:val="001B0AC8"/>
    <w:rsid w:val="001B1FF9"/>
    <w:rsid w:val="001B41BE"/>
    <w:rsid w:val="001B72B8"/>
    <w:rsid w:val="001C1624"/>
    <w:rsid w:val="001C6224"/>
    <w:rsid w:val="001C69B3"/>
    <w:rsid w:val="001C7E19"/>
    <w:rsid w:val="001D0184"/>
    <w:rsid w:val="001D1B0D"/>
    <w:rsid w:val="001D543D"/>
    <w:rsid w:val="001D5595"/>
    <w:rsid w:val="001D7874"/>
    <w:rsid w:val="001D7F22"/>
    <w:rsid w:val="001F0F17"/>
    <w:rsid w:val="001F10C5"/>
    <w:rsid w:val="001F3347"/>
    <w:rsid w:val="001F355A"/>
    <w:rsid w:val="001F4971"/>
    <w:rsid w:val="001F69E4"/>
    <w:rsid w:val="001F7C33"/>
    <w:rsid w:val="002008E7"/>
    <w:rsid w:val="00201C5C"/>
    <w:rsid w:val="00201D49"/>
    <w:rsid w:val="00202CBA"/>
    <w:rsid w:val="00202F81"/>
    <w:rsid w:val="002034B7"/>
    <w:rsid w:val="00207071"/>
    <w:rsid w:val="002102C0"/>
    <w:rsid w:val="00210C82"/>
    <w:rsid w:val="002125B4"/>
    <w:rsid w:val="00213FCD"/>
    <w:rsid w:val="002154A2"/>
    <w:rsid w:val="002155B8"/>
    <w:rsid w:val="00215959"/>
    <w:rsid w:val="00216E4A"/>
    <w:rsid w:val="0022042F"/>
    <w:rsid w:val="00220516"/>
    <w:rsid w:val="00220616"/>
    <w:rsid w:val="00221351"/>
    <w:rsid w:val="002216B3"/>
    <w:rsid w:val="0022344A"/>
    <w:rsid w:val="00224839"/>
    <w:rsid w:val="002249B2"/>
    <w:rsid w:val="00224E8D"/>
    <w:rsid w:val="00226574"/>
    <w:rsid w:val="002278EC"/>
    <w:rsid w:val="00227C7C"/>
    <w:rsid w:val="00227E76"/>
    <w:rsid w:val="002302BB"/>
    <w:rsid w:val="00231BC8"/>
    <w:rsid w:val="002323E2"/>
    <w:rsid w:val="0023280E"/>
    <w:rsid w:val="0023396E"/>
    <w:rsid w:val="00234FE2"/>
    <w:rsid w:val="00235BE6"/>
    <w:rsid w:val="00236E06"/>
    <w:rsid w:val="002377D1"/>
    <w:rsid w:val="00237DC4"/>
    <w:rsid w:val="002446F5"/>
    <w:rsid w:val="002470EF"/>
    <w:rsid w:val="002506BC"/>
    <w:rsid w:val="00250DD5"/>
    <w:rsid w:val="00252A4E"/>
    <w:rsid w:val="00254345"/>
    <w:rsid w:val="0025476E"/>
    <w:rsid w:val="00255079"/>
    <w:rsid w:val="00262858"/>
    <w:rsid w:val="00262B27"/>
    <w:rsid w:val="00264557"/>
    <w:rsid w:val="00265571"/>
    <w:rsid w:val="00270C46"/>
    <w:rsid w:val="00273BD2"/>
    <w:rsid w:val="002756DD"/>
    <w:rsid w:val="00276847"/>
    <w:rsid w:val="00277CDF"/>
    <w:rsid w:val="002805AB"/>
    <w:rsid w:val="00284204"/>
    <w:rsid w:val="00287430"/>
    <w:rsid w:val="00291773"/>
    <w:rsid w:val="0029378F"/>
    <w:rsid w:val="00293ABB"/>
    <w:rsid w:val="00293FEB"/>
    <w:rsid w:val="002A005F"/>
    <w:rsid w:val="002A168C"/>
    <w:rsid w:val="002A3D0F"/>
    <w:rsid w:val="002A3DC7"/>
    <w:rsid w:val="002A4517"/>
    <w:rsid w:val="002A4F64"/>
    <w:rsid w:val="002A7CF1"/>
    <w:rsid w:val="002B026C"/>
    <w:rsid w:val="002B425F"/>
    <w:rsid w:val="002B49E2"/>
    <w:rsid w:val="002B5B21"/>
    <w:rsid w:val="002B7B00"/>
    <w:rsid w:val="002B7C44"/>
    <w:rsid w:val="002C02B3"/>
    <w:rsid w:val="002C1A8C"/>
    <w:rsid w:val="002C2B17"/>
    <w:rsid w:val="002C39B4"/>
    <w:rsid w:val="002C4687"/>
    <w:rsid w:val="002C484A"/>
    <w:rsid w:val="002C48D2"/>
    <w:rsid w:val="002C53F3"/>
    <w:rsid w:val="002C6340"/>
    <w:rsid w:val="002D1F8C"/>
    <w:rsid w:val="002D2201"/>
    <w:rsid w:val="002D28EB"/>
    <w:rsid w:val="002D3DD0"/>
    <w:rsid w:val="002D454F"/>
    <w:rsid w:val="002D5D15"/>
    <w:rsid w:val="002D74AC"/>
    <w:rsid w:val="002D7A20"/>
    <w:rsid w:val="002D7B4B"/>
    <w:rsid w:val="002E1F3A"/>
    <w:rsid w:val="002E298A"/>
    <w:rsid w:val="002E36E5"/>
    <w:rsid w:val="002F14CB"/>
    <w:rsid w:val="002F2CDE"/>
    <w:rsid w:val="002F2E8E"/>
    <w:rsid w:val="00301978"/>
    <w:rsid w:val="00301F5B"/>
    <w:rsid w:val="00302533"/>
    <w:rsid w:val="0030332C"/>
    <w:rsid w:val="003051C2"/>
    <w:rsid w:val="00306A24"/>
    <w:rsid w:val="00310060"/>
    <w:rsid w:val="00310DD5"/>
    <w:rsid w:val="0031101B"/>
    <w:rsid w:val="003110B0"/>
    <w:rsid w:val="00312296"/>
    <w:rsid w:val="0031260F"/>
    <w:rsid w:val="00314ECC"/>
    <w:rsid w:val="00314F0E"/>
    <w:rsid w:val="00321D8E"/>
    <w:rsid w:val="00324A8B"/>
    <w:rsid w:val="00325928"/>
    <w:rsid w:val="00332863"/>
    <w:rsid w:val="00333661"/>
    <w:rsid w:val="00333D08"/>
    <w:rsid w:val="00334EA2"/>
    <w:rsid w:val="0033661E"/>
    <w:rsid w:val="0033684D"/>
    <w:rsid w:val="003371CA"/>
    <w:rsid w:val="0033768B"/>
    <w:rsid w:val="00337B42"/>
    <w:rsid w:val="00341B42"/>
    <w:rsid w:val="00342BAC"/>
    <w:rsid w:val="0034348F"/>
    <w:rsid w:val="0034642F"/>
    <w:rsid w:val="00347A65"/>
    <w:rsid w:val="00350596"/>
    <w:rsid w:val="003535C5"/>
    <w:rsid w:val="00354222"/>
    <w:rsid w:val="00356653"/>
    <w:rsid w:val="0035743F"/>
    <w:rsid w:val="00357BE2"/>
    <w:rsid w:val="0036170C"/>
    <w:rsid w:val="00366E0F"/>
    <w:rsid w:val="003673EA"/>
    <w:rsid w:val="00367AB2"/>
    <w:rsid w:val="003723B3"/>
    <w:rsid w:val="003747A7"/>
    <w:rsid w:val="00377B5A"/>
    <w:rsid w:val="00381A72"/>
    <w:rsid w:val="00382060"/>
    <w:rsid w:val="003829FC"/>
    <w:rsid w:val="00384676"/>
    <w:rsid w:val="00385888"/>
    <w:rsid w:val="00386BA9"/>
    <w:rsid w:val="00386EBB"/>
    <w:rsid w:val="00390857"/>
    <w:rsid w:val="00390906"/>
    <w:rsid w:val="0039297B"/>
    <w:rsid w:val="003A105D"/>
    <w:rsid w:val="003A4BF3"/>
    <w:rsid w:val="003B046A"/>
    <w:rsid w:val="003B0C6B"/>
    <w:rsid w:val="003B420D"/>
    <w:rsid w:val="003C100A"/>
    <w:rsid w:val="003C3AE9"/>
    <w:rsid w:val="003C6C16"/>
    <w:rsid w:val="003D1048"/>
    <w:rsid w:val="003D1103"/>
    <w:rsid w:val="003D2DA4"/>
    <w:rsid w:val="003D3E87"/>
    <w:rsid w:val="003D5EF2"/>
    <w:rsid w:val="003D794D"/>
    <w:rsid w:val="003E0FC4"/>
    <w:rsid w:val="003E219B"/>
    <w:rsid w:val="003E3058"/>
    <w:rsid w:val="003E4775"/>
    <w:rsid w:val="003E4FE1"/>
    <w:rsid w:val="003E526F"/>
    <w:rsid w:val="003E60DC"/>
    <w:rsid w:val="003E76A9"/>
    <w:rsid w:val="003F0809"/>
    <w:rsid w:val="003F6A8C"/>
    <w:rsid w:val="003F755C"/>
    <w:rsid w:val="00402FC5"/>
    <w:rsid w:val="00403FBD"/>
    <w:rsid w:val="00406F01"/>
    <w:rsid w:val="0041249D"/>
    <w:rsid w:val="00416643"/>
    <w:rsid w:val="004167C7"/>
    <w:rsid w:val="00416D50"/>
    <w:rsid w:val="00416FD5"/>
    <w:rsid w:val="00417772"/>
    <w:rsid w:val="00420E6A"/>
    <w:rsid w:val="0042397E"/>
    <w:rsid w:val="00424FBE"/>
    <w:rsid w:val="00425A9E"/>
    <w:rsid w:val="00426D6B"/>
    <w:rsid w:val="0043038C"/>
    <w:rsid w:val="00431E6C"/>
    <w:rsid w:val="004323D3"/>
    <w:rsid w:val="004332BC"/>
    <w:rsid w:val="00433CE7"/>
    <w:rsid w:val="00434800"/>
    <w:rsid w:val="00435195"/>
    <w:rsid w:val="00435AE9"/>
    <w:rsid w:val="00435C6E"/>
    <w:rsid w:val="004370F5"/>
    <w:rsid w:val="00441276"/>
    <w:rsid w:val="004423F5"/>
    <w:rsid w:val="00446129"/>
    <w:rsid w:val="00446576"/>
    <w:rsid w:val="00447150"/>
    <w:rsid w:val="00452329"/>
    <w:rsid w:val="00452738"/>
    <w:rsid w:val="00453C4A"/>
    <w:rsid w:val="00456091"/>
    <w:rsid w:val="00466321"/>
    <w:rsid w:val="00466AB9"/>
    <w:rsid w:val="004672C9"/>
    <w:rsid w:val="004718FB"/>
    <w:rsid w:val="00472D88"/>
    <w:rsid w:val="00481257"/>
    <w:rsid w:val="00482AB0"/>
    <w:rsid w:val="00482F44"/>
    <w:rsid w:val="00484B0F"/>
    <w:rsid w:val="00484B9B"/>
    <w:rsid w:val="00485000"/>
    <w:rsid w:val="004855F6"/>
    <w:rsid w:val="004859B7"/>
    <w:rsid w:val="0048661E"/>
    <w:rsid w:val="00491E3B"/>
    <w:rsid w:val="00493A7F"/>
    <w:rsid w:val="00494670"/>
    <w:rsid w:val="004A3823"/>
    <w:rsid w:val="004A3C23"/>
    <w:rsid w:val="004A4B52"/>
    <w:rsid w:val="004A5658"/>
    <w:rsid w:val="004A64CB"/>
    <w:rsid w:val="004B0211"/>
    <w:rsid w:val="004B14D5"/>
    <w:rsid w:val="004B2E3C"/>
    <w:rsid w:val="004C0082"/>
    <w:rsid w:val="004C2BF2"/>
    <w:rsid w:val="004C32B4"/>
    <w:rsid w:val="004C39D0"/>
    <w:rsid w:val="004C44D5"/>
    <w:rsid w:val="004C51BF"/>
    <w:rsid w:val="004C7058"/>
    <w:rsid w:val="004D0E74"/>
    <w:rsid w:val="004D7044"/>
    <w:rsid w:val="004D7554"/>
    <w:rsid w:val="004D7819"/>
    <w:rsid w:val="004E1977"/>
    <w:rsid w:val="004E2188"/>
    <w:rsid w:val="004E3B84"/>
    <w:rsid w:val="004E43E4"/>
    <w:rsid w:val="004E6946"/>
    <w:rsid w:val="004E698B"/>
    <w:rsid w:val="004E69B5"/>
    <w:rsid w:val="004F017E"/>
    <w:rsid w:val="004F1444"/>
    <w:rsid w:val="004F1AD8"/>
    <w:rsid w:val="004F4359"/>
    <w:rsid w:val="004F43A5"/>
    <w:rsid w:val="004F4C10"/>
    <w:rsid w:val="00502789"/>
    <w:rsid w:val="00503235"/>
    <w:rsid w:val="005039CB"/>
    <w:rsid w:val="00504D52"/>
    <w:rsid w:val="0050558F"/>
    <w:rsid w:val="00506286"/>
    <w:rsid w:val="00510813"/>
    <w:rsid w:val="00510BD3"/>
    <w:rsid w:val="00511990"/>
    <w:rsid w:val="00511DE0"/>
    <w:rsid w:val="0051406B"/>
    <w:rsid w:val="00514870"/>
    <w:rsid w:val="00514B9B"/>
    <w:rsid w:val="005151C2"/>
    <w:rsid w:val="005152C1"/>
    <w:rsid w:val="00517F02"/>
    <w:rsid w:val="00521541"/>
    <w:rsid w:val="00522024"/>
    <w:rsid w:val="0052224F"/>
    <w:rsid w:val="00522F24"/>
    <w:rsid w:val="00524303"/>
    <w:rsid w:val="005258A2"/>
    <w:rsid w:val="00527A77"/>
    <w:rsid w:val="00530E47"/>
    <w:rsid w:val="00532E6D"/>
    <w:rsid w:val="00533D14"/>
    <w:rsid w:val="00533F6E"/>
    <w:rsid w:val="005344C9"/>
    <w:rsid w:val="0053521F"/>
    <w:rsid w:val="005353DB"/>
    <w:rsid w:val="00536108"/>
    <w:rsid w:val="005401AE"/>
    <w:rsid w:val="00542E07"/>
    <w:rsid w:val="0054405D"/>
    <w:rsid w:val="005451B1"/>
    <w:rsid w:val="00545424"/>
    <w:rsid w:val="005476ED"/>
    <w:rsid w:val="00554A7B"/>
    <w:rsid w:val="0055572C"/>
    <w:rsid w:val="00555782"/>
    <w:rsid w:val="00555B5B"/>
    <w:rsid w:val="0055704B"/>
    <w:rsid w:val="0056106A"/>
    <w:rsid w:val="00570CFD"/>
    <w:rsid w:val="005720AE"/>
    <w:rsid w:val="005725C5"/>
    <w:rsid w:val="0057580D"/>
    <w:rsid w:val="00577696"/>
    <w:rsid w:val="00580B64"/>
    <w:rsid w:val="00582B27"/>
    <w:rsid w:val="00585675"/>
    <w:rsid w:val="0058728B"/>
    <w:rsid w:val="00591F6A"/>
    <w:rsid w:val="00594D77"/>
    <w:rsid w:val="005969E4"/>
    <w:rsid w:val="00596BC3"/>
    <w:rsid w:val="005A00A9"/>
    <w:rsid w:val="005A06B7"/>
    <w:rsid w:val="005A1759"/>
    <w:rsid w:val="005A18B5"/>
    <w:rsid w:val="005A364C"/>
    <w:rsid w:val="005A68A7"/>
    <w:rsid w:val="005B035E"/>
    <w:rsid w:val="005B2323"/>
    <w:rsid w:val="005B34DD"/>
    <w:rsid w:val="005B58B0"/>
    <w:rsid w:val="005C1658"/>
    <w:rsid w:val="005C45D1"/>
    <w:rsid w:val="005D032C"/>
    <w:rsid w:val="005D36AB"/>
    <w:rsid w:val="005D4B76"/>
    <w:rsid w:val="005E08A8"/>
    <w:rsid w:val="005E1D63"/>
    <w:rsid w:val="005E6A42"/>
    <w:rsid w:val="005E7ECF"/>
    <w:rsid w:val="005F4266"/>
    <w:rsid w:val="006005CD"/>
    <w:rsid w:val="00604535"/>
    <w:rsid w:val="00605D01"/>
    <w:rsid w:val="006070BF"/>
    <w:rsid w:val="00610563"/>
    <w:rsid w:val="00617A40"/>
    <w:rsid w:val="00617CC3"/>
    <w:rsid w:val="00621E39"/>
    <w:rsid w:val="0062260C"/>
    <w:rsid w:val="006233E4"/>
    <w:rsid w:val="00631BFE"/>
    <w:rsid w:val="00633E18"/>
    <w:rsid w:val="006377A6"/>
    <w:rsid w:val="00637840"/>
    <w:rsid w:val="00637A3D"/>
    <w:rsid w:val="006411EF"/>
    <w:rsid w:val="00644EE5"/>
    <w:rsid w:val="00646D00"/>
    <w:rsid w:val="0065027B"/>
    <w:rsid w:val="00651140"/>
    <w:rsid w:val="00653E8A"/>
    <w:rsid w:val="00656AE8"/>
    <w:rsid w:val="00657CE7"/>
    <w:rsid w:val="00662CE3"/>
    <w:rsid w:val="0066445D"/>
    <w:rsid w:val="00665E37"/>
    <w:rsid w:val="006664D6"/>
    <w:rsid w:val="00667F73"/>
    <w:rsid w:val="006748B8"/>
    <w:rsid w:val="0067634B"/>
    <w:rsid w:val="006775C3"/>
    <w:rsid w:val="00677E05"/>
    <w:rsid w:val="006810FC"/>
    <w:rsid w:val="0068124C"/>
    <w:rsid w:val="00682203"/>
    <w:rsid w:val="0068427C"/>
    <w:rsid w:val="0068430F"/>
    <w:rsid w:val="00684B36"/>
    <w:rsid w:val="00685494"/>
    <w:rsid w:val="006854E2"/>
    <w:rsid w:val="006862F2"/>
    <w:rsid w:val="00686444"/>
    <w:rsid w:val="0069290A"/>
    <w:rsid w:val="00693261"/>
    <w:rsid w:val="00694080"/>
    <w:rsid w:val="006950F4"/>
    <w:rsid w:val="006958D5"/>
    <w:rsid w:val="00695E48"/>
    <w:rsid w:val="0069775A"/>
    <w:rsid w:val="00697813"/>
    <w:rsid w:val="006A0A38"/>
    <w:rsid w:val="006A256D"/>
    <w:rsid w:val="006A2EE9"/>
    <w:rsid w:val="006A3EE8"/>
    <w:rsid w:val="006A5CD9"/>
    <w:rsid w:val="006A72BF"/>
    <w:rsid w:val="006B03F2"/>
    <w:rsid w:val="006B37DC"/>
    <w:rsid w:val="006B4F68"/>
    <w:rsid w:val="006B5003"/>
    <w:rsid w:val="006B622C"/>
    <w:rsid w:val="006B63F2"/>
    <w:rsid w:val="006B6AA2"/>
    <w:rsid w:val="006C0592"/>
    <w:rsid w:val="006C0A7F"/>
    <w:rsid w:val="006C272E"/>
    <w:rsid w:val="006C45FA"/>
    <w:rsid w:val="006C5479"/>
    <w:rsid w:val="006C6CEF"/>
    <w:rsid w:val="006C7453"/>
    <w:rsid w:val="006D13B5"/>
    <w:rsid w:val="006D3C19"/>
    <w:rsid w:val="006D4FB7"/>
    <w:rsid w:val="006D587C"/>
    <w:rsid w:val="006E1181"/>
    <w:rsid w:val="006E12FF"/>
    <w:rsid w:val="006E20CE"/>
    <w:rsid w:val="006E26ED"/>
    <w:rsid w:val="006E4BC6"/>
    <w:rsid w:val="006E607E"/>
    <w:rsid w:val="006E61B1"/>
    <w:rsid w:val="006E7CE9"/>
    <w:rsid w:val="006F08A4"/>
    <w:rsid w:val="006F1AC2"/>
    <w:rsid w:val="006F21BA"/>
    <w:rsid w:val="006F252B"/>
    <w:rsid w:val="006F47E1"/>
    <w:rsid w:val="006F6815"/>
    <w:rsid w:val="0070009B"/>
    <w:rsid w:val="00702771"/>
    <w:rsid w:val="007044EF"/>
    <w:rsid w:val="007054EB"/>
    <w:rsid w:val="007062E2"/>
    <w:rsid w:val="00706793"/>
    <w:rsid w:val="00706C5D"/>
    <w:rsid w:val="00711F07"/>
    <w:rsid w:val="00712C6A"/>
    <w:rsid w:val="00713413"/>
    <w:rsid w:val="00713532"/>
    <w:rsid w:val="0071773F"/>
    <w:rsid w:val="00717A4D"/>
    <w:rsid w:val="00720438"/>
    <w:rsid w:val="0072158B"/>
    <w:rsid w:val="007239D4"/>
    <w:rsid w:val="00726A72"/>
    <w:rsid w:val="00726C61"/>
    <w:rsid w:val="0073060D"/>
    <w:rsid w:val="0073171A"/>
    <w:rsid w:val="00732922"/>
    <w:rsid w:val="00733519"/>
    <w:rsid w:val="00736788"/>
    <w:rsid w:val="00736926"/>
    <w:rsid w:val="0074089E"/>
    <w:rsid w:val="00742556"/>
    <w:rsid w:val="00744233"/>
    <w:rsid w:val="00744421"/>
    <w:rsid w:val="007447EE"/>
    <w:rsid w:val="007450B9"/>
    <w:rsid w:val="00746076"/>
    <w:rsid w:val="00747687"/>
    <w:rsid w:val="0075162E"/>
    <w:rsid w:val="00754034"/>
    <w:rsid w:val="007557F5"/>
    <w:rsid w:val="00756556"/>
    <w:rsid w:val="007618C4"/>
    <w:rsid w:val="007621F2"/>
    <w:rsid w:val="007624C4"/>
    <w:rsid w:val="007647CF"/>
    <w:rsid w:val="0076498A"/>
    <w:rsid w:val="007666C1"/>
    <w:rsid w:val="00766A0C"/>
    <w:rsid w:val="0076766A"/>
    <w:rsid w:val="00767980"/>
    <w:rsid w:val="00770B19"/>
    <w:rsid w:val="00772770"/>
    <w:rsid w:val="0077463F"/>
    <w:rsid w:val="00775254"/>
    <w:rsid w:val="00780F7C"/>
    <w:rsid w:val="007836EA"/>
    <w:rsid w:val="00784CDA"/>
    <w:rsid w:val="007906C4"/>
    <w:rsid w:val="00790D84"/>
    <w:rsid w:val="00791FB7"/>
    <w:rsid w:val="007940EA"/>
    <w:rsid w:val="007949AA"/>
    <w:rsid w:val="007967E8"/>
    <w:rsid w:val="007A0BEC"/>
    <w:rsid w:val="007A1C96"/>
    <w:rsid w:val="007A2170"/>
    <w:rsid w:val="007A22BF"/>
    <w:rsid w:val="007A3323"/>
    <w:rsid w:val="007A4F27"/>
    <w:rsid w:val="007A6971"/>
    <w:rsid w:val="007A7C58"/>
    <w:rsid w:val="007B13AA"/>
    <w:rsid w:val="007B167A"/>
    <w:rsid w:val="007B1FB9"/>
    <w:rsid w:val="007B2EC5"/>
    <w:rsid w:val="007B4418"/>
    <w:rsid w:val="007B640B"/>
    <w:rsid w:val="007B67A3"/>
    <w:rsid w:val="007B72B8"/>
    <w:rsid w:val="007B7A58"/>
    <w:rsid w:val="007C1608"/>
    <w:rsid w:val="007C21B5"/>
    <w:rsid w:val="007C3658"/>
    <w:rsid w:val="007C467B"/>
    <w:rsid w:val="007D532D"/>
    <w:rsid w:val="007D6BE5"/>
    <w:rsid w:val="007D701F"/>
    <w:rsid w:val="007D763D"/>
    <w:rsid w:val="007E1D12"/>
    <w:rsid w:val="007E24D0"/>
    <w:rsid w:val="007E3553"/>
    <w:rsid w:val="007E36A5"/>
    <w:rsid w:val="007E36BF"/>
    <w:rsid w:val="007E4BD2"/>
    <w:rsid w:val="007F5E5D"/>
    <w:rsid w:val="00801393"/>
    <w:rsid w:val="00801844"/>
    <w:rsid w:val="00802F88"/>
    <w:rsid w:val="00806C60"/>
    <w:rsid w:val="00807E1E"/>
    <w:rsid w:val="00810DB8"/>
    <w:rsid w:val="0081293E"/>
    <w:rsid w:val="0081454E"/>
    <w:rsid w:val="00815465"/>
    <w:rsid w:val="00817E9A"/>
    <w:rsid w:val="00825C57"/>
    <w:rsid w:val="00827170"/>
    <w:rsid w:val="008278CB"/>
    <w:rsid w:val="008306BD"/>
    <w:rsid w:val="00831A80"/>
    <w:rsid w:val="00832895"/>
    <w:rsid w:val="00833743"/>
    <w:rsid w:val="008340A4"/>
    <w:rsid w:val="00843876"/>
    <w:rsid w:val="00844954"/>
    <w:rsid w:val="008457A3"/>
    <w:rsid w:val="00846D40"/>
    <w:rsid w:val="00847367"/>
    <w:rsid w:val="008504B8"/>
    <w:rsid w:val="008627D6"/>
    <w:rsid w:val="00867095"/>
    <w:rsid w:val="00867A42"/>
    <w:rsid w:val="0087135F"/>
    <w:rsid w:val="00871892"/>
    <w:rsid w:val="00872D94"/>
    <w:rsid w:val="00880364"/>
    <w:rsid w:val="00880B88"/>
    <w:rsid w:val="00880DEF"/>
    <w:rsid w:val="00884405"/>
    <w:rsid w:val="008847D7"/>
    <w:rsid w:val="00886132"/>
    <w:rsid w:val="0088651F"/>
    <w:rsid w:val="00886553"/>
    <w:rsid w:val="00890C10"/>
    <w:rsid w:val="008912E3"/>
    <w:rsid w:val="00891592"/>
    <w:rsid w:val="00891E9E"/>
    <w:rsid w:val="00893BA7"/>
    <w:rsid w:val="00895E4F"/>
    <w:rsid w:val="008A2F68"/>
    <w:rsid w:val="008A3BE8"/>
    <w:rsid w:val="008A3E44"/>
    <w:rsid w:val="008A4C17"/>
    <w:rsid w:val="008A625E"/>
    <w:rsid w:val="008B479F"/>
    <w:rsid w:val="008B4FA6"/>
    <w:rsid w:val="008B5282"/>
    <w:rsid w:val="008B7801"/>
    <w:rsid w:val="008B7C17"/>
    <w:rsid w:val="008C02C2"/>
    <w:rsid w:val="008C2D01"/>
    <w:rsid w:val="008C40E6"/>
    <w:rsid w:val="008C6218"/>
    <w:rsid w:val="008C68CB"/>
    <w:rsid w:val="008D0F7A"/>
    <w:rsid w:val="008D2E92"/>
    <w:rsid w:val="008D4082"/>
    <w:rsid w:val="008D4239"/>
    <w:rsid w:val="008D4391"/>
    <w:rsid w:val="008D54E4"/>
    <w:rsid w:val="008D68E4"/>
    <w:rsid w:val="008E0506"/>
    <w:rsid w:val="008E0CFF"/>
    <w:rsid w:val="008E115D"/>
    <w:rsid w:val="008E4210"/>
    <w:rsid w:val="008E5D6B"/>
    <w:rsid w:val="008E6DFF"/>
    <w:rsid w:val="008E76F0"/>
    <w:rsid w:val="008E7DCC"/>
    <w:rsid w:val="008F15FE"/>
    <w:rsid w:val="008F2D29"/>
    <w:rsid w:val="008F4BE4"/>
    <w:rsid w:val="008F4EDA"/>
    <w:rsid w:val="008F5187"/>
    <w:rsid w:val="008F5369"/>
    <w:rsid w:val="008F565D"/>
    <w:rsid w:val="008F60D8"/>
    <w:rsid w:val="008F6C98"/>
    <w:rsid w:val="00902727"/>
    <w:rsid w:val="0090312B"/>
    <w:rsid w:val="00904771"/>
    <w:rsid w:val="009122A2"/>
    <w:rsid w:val="00913A74"/>
    <w:rsid w:val="00913B54"/>
    <w:rsid w:val="00916FAF"/>
    <w:rsid w:val="0091736D"/>
    <w:rsid w:val="009179BE"/>
    <w:rsid w:val="00917EDA"/>
    <w:rsid w:val="009201A1"/>
    <w:rsid w:val="009226AC"/>
    <w:rsid w:val="009257B5"/>
    <w:rsid w:val="0092790B"/>
    <w:rsid w:val="00930024"/>
    <w:rsid w:val="0093037A"/>
    <w:rsid w:val="00930BB5"/>
    <w:rsid w:val="00932305"/>
    <w:rsid w:val="009325E4"/>
    <w:rsid w:val="0094154D"/>
    <w:rsid w:val="00941A9B"/>
    <w:rsid w:val="00945A81"/>
    <w:rsid w:val="0095155F"/>
    <w:rsid w:val="00953421"/>
    <w:rsid w:val="009537D4"/>
    <w:rsid w:val="00954429"/>
    <w:rsid w:val="00955425"/>
    <w:rsid w:val="009563CE"/>
    <w:rsid w:val="00961161"/>
    <w:rsid w:val="00964009"/>
    <w:rsid w:val="009644EA"/>
    <w:rsid w:val="00964EAD"/>
    <w:rsid w:val="009654FD"/>
    <w:rsid w:val="0096752E"/>
    <w:rsid w:val="009722A2"/>
    <w:rsid w:val="00972B1A"/>
    <w:rsid w:val="00976328"/>
    <w:rsid w:val="009765CE"/>
    <w:rsid w:val="0097680D"/>
    <w:rsid w:val="009771EE"/>
    <w:rsid w:val="0098069F"/>
    <w:rsid w:val="00981BEC"/>
    <w:rsid w:val="00982438"/>
    <w:rsid w:val="00983C1C"/>
    <w:rsid w:val="0098404C"/>
    <w:rsid w:val="00985283"/>
    <w:rsid w:val="009855BF"/>
    <w:rsid w:val="00992815"/>
    <w:rsid w:val="00995992"/>
    <w:rsid w:val="009A03E5"/>
    <w:rsid w:val="009A0F3B"/>
    <w:rsid w:val="009A1974"/>
    <w:rsid w:val="009A1BB4"/>
    <w:rsid w:val="009A2628"/>
    <w:rsid w:val="009A3200"/>
    <w:rsid w:val="009A3ABF"/>
    <w:rsid w:val="009A537F"/>
    <w:rsid w:val="009B0897"/>
    <w:rsid w:val="009B1404"/>
    <w:rsid w:val="009B6698"/>
    <w:rsid w:val="009B75D4"/>
    <w:rsid w:val="009B7BD9"/>
    <w:rsid w:val="009C1FED"/>
    <w:rsid w:val="009C5246"/>
    <w:rsid w:val="009C5247"/>
    <w:rsid w:val="009C6F73"/>
    <w:rsid w:val="009C7DD5"/>
    <w:rsid w:val="009D0AF6"/>
    <w:rsid w:val="009D3415"/>
    <w:rsid w:val="009D3A29"/>
    <w:rsid w:val="009D56B1"/>
    <w:rsid w:val="009E227D"/>
    <w:rsid w:val="009E279C"/>
    <w:rsid w:val="009E5019"/>
    <w:rsid w:val="009E57E6"/>
    <w:rsid w:val="009F09A2"/>
    <w:rsid w:val="009F1160"/>
    <w:rsid w:val="009F28C4"/>
    <w:rsid w:val="009F3617"/>
    <w:rsid w:val="009F5E6E"/>
    <w:rsid w:val="009F72D9"/>
    <w:rsid w:val="00A00A95"/>
    <w:rsid w:val="00A01DDC"/>
    <w:rsid w:val="00A02459"/>
    <w:rsid w:val="00A02AB1"/>
    <w:rsid w:val="00A04F1B"/>
    <w:rsid w:val="00A0501B"/>
    <w:rsid w:val="00A11654"/>
    <w:rsid w:val="00A11984"/>
    <w:rsid w:val="00A12E22"/>
    <w:rsid w:val="00A14947"/>
    <w:rsid w:val="00A15564"/>
    <w:rsid w:val="00A16847"/>
    <w:rsid w:val="00A1696E"/>
    <w:rsid w:val="00A228B3"/>
    <w:rsid w:val="00A23150"/>
    <w:rsid w:val="00A2381B"/>
    <w:rsid w:val="00A2438B"/>
    <w:rsid w:val="00A270E2"/>
    <w:rsid w:val="00A31825"/>
    <w:rsid w:val="00A31E89"/>
    <w:rsid w:val="00A32A83"/>
    <w:rsid w:val="00A345C0"/>
    <w:rsid w:val="00A368DB"/>
    <w:rsid w:val="00A372B0"/>
    <w:rsid w:val="00A378D8"/>
    <w:rsid w:val="00A423AA"/>
    <w:rsid w:val="00A42A16"/>
    <w:rsid w:val="00A42D90"/>
    <w:rsid w:val="00A43108"/>
    <w:rsid w:val="00A47087"/>
    <w:rsid w:val="00A47BCA"/>
    <w:rsid w:val="00A507CA"/>
    <w:rsid w:val="00A53AE3"/>
    <w:rsid w:val="00A53EC6"/>
    <w:rsid w:val="00A54F59"/>
    <w:rsid w:val="00A55637"/>
    <w:rsid w:val="00A55C0F"/>
    <w:rsid w:val="00A6654A"/>
    <w:rsid w:val="00A67C8D"/>
    <w:rsid w:val="00A67D30"/>
    <w:rsid w:val="00A71C3A"/>
    <w:rsid w:val="00A74DA8"/>
    <w:rsid w:val="00A75866"/>
    <w:rsid w:val="00A75BB5"/>
    <w:rsid w:val="00A75DC2"/>
    <w:rsid w:val="00A76AD4"/>
    <w:rsid w:val="00A77B0F"/>
    <w:rsid w:val="00A8334D"/>
    <w:rsid w:val="00A84681"/>
    <w:rsid w:val="00A86400"/>
    <w:rsid w:val="00A8668B"/>
    <w:rsid w:val="00A8713F"/>
    <w:rsid w:val="00A87F03"/>
    <w:rsid w:val="00A90BA1"/>
    <w:rsid w:val="00A91951"/>
    <w:rsid w:val="00A93874"/>
    <w:rsid w:val="00A95C69"/>
    <w:rsid w:val="00A965F4"/>
    <w:rsid w:val="00A97A9A"/>
    <w:rsid w:val="00AA0671"/>
    <w:rsid w:val="00AA2531"/>
    <w:rsid w:val="00AA2725"/>
    <w:rsid w:val="00AA2B3A"/>
    <w:rsid w:val="00AA2FCD"/>
    <w:rsid w:val="00AA3CCB"/>
    <w:rsid w:val="00AA452B"/>
    <w:rsid w:val="00AA5BE4"/>
    <w:rsid w:val="00AB1AEA"/>
    <w:rsid w:val="00AB1E09"/>
    <w:rsid w:val="00AB5330"/>
    <w:rsid w:val="00AB6304"/>
    <w:rsid w:val="00AB7747"/>
    <w:rsid w:val="00AC02A4"/>
    <w:rsid w:val="00AC125D"/>
    <w:rsid w:val="00AC14CE"/>
    <w:rsid w:val="00AC2A56"/>
    <w:rsid w:val="00AC39DD"/>
    <w:rsid w:val="00AC53E5"/>
    <w:rsid w:val="00AC560B"/>
    <w:rsid w:val="00AC6B16"/>
    <w:rsid w:val="00AC7A3B"/>
    <w:rsid w:val="00AD055E"/>
    <w:rsid w:val="00AD2765"/>
    <w:rsid w:val="00AD47A7"/>
    <w:rsid w:val="00AD6BE9"/>
    <w:rsid w:val="00AE33CC"/>
    <w:rsid w:val="00AE5B55"/>
    <w:rsid w:val="00AE639E"/>
    <w:rsid w:val="00AF0CBF"/>
    <w:rsid w:val="00AF1C28"/>
    <w:rsid w:val="00AF257F"/>
    <w:rsid w:val="00AF2A2A"/>
    <w:rsid w:val="00AF33CF"/>
    <w:rsid w:val="00AF4D50"/>
    <w:rsid w:val="00AF6179"/>
    <w:rsid w:val="00B04D0D"/>
    <w:rsid w:val="00B05142"/>
    <w:rsid w:val="00B1295A"/>
    <w:rsid w:val="00B13A7F"/>
    <w:rsid w:val="00B1494B"/>
    <w:rsid w:val="00B20872"/>
    <w:rsid w:val="00B20A45"/>
    <w:rsid w:val="00B21056"/>
    <w:rsid w:val="00B2127C"/>
    <w:rsid w:val="00B22A6F"/>
    <w:rsid w:val="00B22C5C"/>
    <w:rsid w:val="00B24F30"/>
    <w:rsid w:val="00B31955"/>
    <w:rsid w:val="00B31ABF"/>
    <w:rsid w:val="00B32AED"/>
    <w:rsid w:val="00B33777"/>
    <w:rsid w:val="00B33B54"/>
    <w:rsid w:val="00B33BE3"/>
    <w:rsid w:val="00B408FC"/>
    <w:rsid w:val="00B44993"/>
    <w:rsid w:val="00B451B8"/>
    <w:rsid w:val="00B479B0"/>
    <w:rsid w:val="00B50420"/>
    <w:rsid w:val="00B517B0"/>
    <w:rsid w:val="00B5284F"/>
    <w:rsid w:val="00B53B5D"/>
    <w:rsid w:val="00B543E2"/>
    <w:rsid w:val="00B6055E"/>
    <w:rsid w:val="00B614B8"/>
    <w:rsid w:val="00B6317D"/>
    <w:rsid w:val="00B63B07"/>
    <w:rsid w:val="00B63CA8"/>
    <w:rsid w:val="00B65901"/>
    <w:rsid w:val="00B72AB5"/>
    <w:rsid w:val="00B74C4F"/>
    <w:rsid w:val="00B76F05"/>
    <w:rsid w:val="00B7723F"/>
    <w:rsid w:val="00B80534"/>
    <w:rsid w:val="00B8158F"/>
    <w:rsid w:val="00B81CF2"/>
    <w:rsid w:val="00B83BC1"/>
    <w:rsid w:val="00B8433C"/>
    <w:rsid w:val="00B86704"/>
    <w:rsid w:val="00B86FAF"/>
    <w:rsid w:val="00B87491"/>
    <w:rsid w:val="00B92555"/>
    <w:rsid w:val="00B936E3"/>
    <w:rsid w:val="00B94DBB"/>
    <w:rsid w:val="00B96B29"/>
    <w:rsid w:val="00BA29E9"/>
    <w:rsid w:val="00BA38F8"/>
    <w:rsid w:val="00BA46D3"/>
    <w:rsid w:val="00BA7142"/>
    <w:rsid w:val="00BB1A66"/>
    <w:rsid w:val="00BB237C"/>
    <w:rsid w:val="00BB35C3"/>
    <w:rsid w:val="00BB3AC6"/>
    <w:rsid w:val="00BB41A3"/>
    <w:rsid w:val="00BB4F77"/>
    <w:rsid w:val="00BB647A"/>
    <w:rsid w:val="00BC06E9"/>
    <w:rsid w:val="00BC2DE7"/>
    <w:rsid w:val="00BC32DC"/>
    <w:rsid w:val="00BC35B6"/>
    <w:rsid w:val="00BC36BF"/>
    <w:rsid w:val="00BC5755"/>
    <w:rsid w:val="00BC5E3D"/>
    <w:rsid w:val="00BC66A0"/>
    <w:rsid w:val="00BC75AE"/>
    <w:rsid w:val="00BC7939"/>
    <w:rsid w:val="00BD1B51"/>
    <w:rsid w:val="00BD29F5"/>
    <w:rsid w:val="00BD4044"/>
    <w:rsid w:val="00BD4596"/>
    <w:rsid w:val="00BD45AF"/>
    <w:rsid w:val="00BD79E8"/>
    <w:rsid w:val="00BD7ABF"/>
    <w:rsid w:val="00BE1405"/>
    <w:rsid w:val="00BE1961"/>
    <w:rsid w:val="00BE312D"/>
    <w:rsid w:val="00BE4735"/>
    <w:rsid w:val="00BE5B64"/>
    <w:rsid w:val="00BE6B7A"/>
    <w:rsid w:val="00BF0AC4"/>
    <w:rsid w:val="00BF1C20"/>
    <w:rsid w:val="00BF234A"/>
    <w:rsid w:val="00BF283F"/>
    <w:rsid w:val="00BF31FB"/>
    <w:rsid w:val="00BF4C2D"/>
    <w:rsid w:val="00BF5CBB"/>
    <w:rsid w:val="00BF723E"/>
    <w:rsid w:val="00C01613"/>
    <w:rsid w:val="00C02CEA"/>
    <w:rsid w:val="00C045AF"/>
    <w:rsid w:val="00C10578"/>
    <w:rsid w:val="00C135BC"/>
    <w:rsid w:val="00C15C95"/>
    <w:rsid w:val="00C173AB"/>
    <w:rsid w:val="00C17564"/>
    <w:rsid w:val="00C23117"/>
    <w:rsid w:val="00C236EE"/>
    <w:rsid w:val="00C23E2D"/>
    <w:rsid w:val="00C253FB"/>
    <w:rsid w:val="00C257DA"/>
    <w:rsid w:val="00C2596A"/>
    <w:rsid w:val="00C27537"/>
    <w:rsid w:val="00C27AD5"/>
    <w:rsid w:val="00C328FE"/>
    <w:rsid w:val="00C33507"/>
    <w:rsid w:val="00C34598"/>
    <w:rsid w:val="00C40DA6"/>
    <w:rsid w:val="00C428FD"/>
    <w:rsid w:val="00C4409D"/>
    <w:rsid w:val="00C44417"/>
    <w:rsid w:val="00C44C39"/>
    <w:rsid w:val="00C44E72"/>
    <w:rsid w:val="00C45A06"/>
    <w:rsid w:val="00C46E4B"/>
    <w:rsid w:val="00C47E5B"/>
    <w:rsid w:val="00C50869"/>
    <w:rsid w:val="00C520F6"/>
    <w:rsid w:val="00C54064"/>
    <w:rsid w:val="00C54DA9"/>
    <w:rsid w:val="00C567B0"/>
    <w:rsid w:val="00C5695B"/>
    <w:rsid w:val="00C57B92"/>
    <w:rsid w:val="00C61001"/>
    <w:rsid w:val="00C61E4B"/>
    <w:rsid w:val="00C6209A"/>
    <w:rsid w:val="00C6272B"/>
    <w:rsid w:val="00C64BFF"/>
    <w:rsid w:val="00C704E9"/>
    <w:rsid w:val="00C70F3D"/>
    <w:rsid w:val="00C72271"/>
    <w:rsid w:val="00C7474E"/>
    <w:rsid w:val="00C763C9"/>
    <w:rsid w:val="00C76B4C"/>
    <w:rsid w:val="00C80057"/>
    <w:rsid w:val="00C81A31"/>
    <w:rsid w:val="00C82232"/>
    <w:rsid w:val="00C82913"/>
    <w:rsid w:val="00C84B7B"/>
    <w:rsid w:val="00C84D9B"/>
    <w:rsid w:val="00C85D39"/>
    <w:rsid w:val="00C86430"/>
    <w:rsid w:val="00C86791"/>
    <w:rsid w:val="00C92319"/>
    <w:rsid w:val="00C93A35"/>
    <w:rsid w:val="00C94468"/>
    <w:rsid w:val="00C96868"/>
    <w:rsid w:val="00C972B1"/>
    <w:rsid w:val="00CA0AF0"/>
    <w:rsid w:val="00CA2CCE"/>
    <w:rsid w:val="00CA43FD"/>
    <w:rsid w:val="00CA66B0"/>
    <w:rsid w:val="00CA7EF8"/>
    <w:rsid w:val="00CB0ED8"/>
    <w:rsid w:val="00CB2AB8"/>
    <w:rsid w:val="00CB4D84"/>
    <w:rsid w:val="00CC17DA"/>
    <w:rsid w:val="00CC1EF8"/>
    <w:rsid w:val="00CC2D10"/>
    <w:rsid w:val="00CC467C"/>
    <w:rsid w:val="00CC489B"/>
    <w:rsid w:val="00CD2BCD"/>
    <w:rsid w:val="00CD3A4C"/>
    <w:rsid w:val="00CD5296"/>
    <w:rsid w:val="00CD5E13"/>
    <w:rsid w:val="00CD6251"/>
    <w:rsid w:val="00CD78C4"/>
    <w:rsid w:val="00CE10E9"/>
    <w:rsid w:val="00CE2910"/>
    <w:rsid w:val="00CE3FD2"/>
    <w:rsid w:val="00CE5393"/>
    <w:rsid w:val="00CF0237"/>
    <w:rsid w:val="00CF05C5"/>
    <w:rsid w:val="00CF36BE"/>
    <w:rsid w:val="00CF3EB4"/>
    <w:rsid w:val="00CF6000"/>
    <w:rsid w:val="00CF6BB8"/>
    <w:rsid w:val="00CF7C6A"/>
    <w:rsid w:val="00D003F3"/>
    <w:rsid w:val="00D03244"/>
    <w:rsid w:val="00D0364F"/>
    <w:rsid w:val="00D06834"/>
    <w:rsid w:val="00D073AB"/>
    <w:rsid w:val="00D11882"/>
    <w:rsid w:val="00D12AD0"/>
    <w:rsid w:val="00D153A3"/>
    <w:rsid w:val="00D15AB1"/>
    <w:rsid w:val="00D16ADB"/>
    <w:rsid w:val="00D221D5"/>
    <w:rsid w:val="00D23DE8"/>
    <w:rsid w:val="00D2496D"/>
    <w:rsid w:val="00D25D57"/>
    <w:rsid w:val="00D308ED"/>
    <w:rsid w:val="00D31EA9"/>
    <w:rsid w:val="00D3243F"/>
    <w:rsid w:val="00D33446"/>
    <w:rsid w:val="00D346B5"/>
    <w:rsid w:val="00D346DD"/>
    <w:rsid w:val="00D34C76"/>
    <w:rsid w:val="00D35287"/>
    <w:rsid w:val="00D36D86"/>
    <w:rsid w:val="00D41030"/>
    <w:rsid w:val="00D41BE2"/>
    <w:rsid w:val="00D428AA"/>
    <w:rsid w:val="00D459B1"/>
    <w:rsid w:val="00D470E1"/>
    <w:rsid w:val="00D47301"/>
    <w:rsid w:val="00D47AF3"/>
    <w:rsid w:val="00D50A34"/>
    <w:rsid w:val="00D50CC2"/>
    <w:rsid w:val="00D53721"/>
    <w:rsid w:val="00D53804"/>
    <w:rsid w:val="00D53A6A"/>
    <w:rsid w:val="00D53EFA"/>
    <w:rsid w:val="00D8085B"/>
    <w:rsid w:val="00D81F38"/>
    <w:rsid w:val="00D82B22"/>
    <w:rsid w:val="00D850F3"/>
    <w:rsid w:val="00D859FF"/>
    <w:rsid w:val="00D90D87"/>
    <w:rsid w:val="00D915D5"/>
    <w:rsid w:val="00D93772"/>
    <w:rsid w:val="00D94A7C"/>
    <w:rsid w:val="00D955AA"/>
    <w:rsid w:val="00D95896"/>
    <w:rsid w:val="00DA179A"/>
    <w:rsid w:val="00DA2D81"/>
    <w:rsid w:val="00DA482A"/>
    <w:rsid w:val="00DA5D2C"/>
    <w:rsid w:val="00DA77BD"/>
    <w:rsid w:val="00DB1A1E"/>
    <w:rsid w:val="00DB2983"/>
    <w:rsid w:val="00DB712A"/>
    <w:rsid w:val="00DC1257"/>
    <w:rsid w:val="00DC3DC0"/>
    <w:rsid w:val="00DC4F81"/>
    <w:rsid w:val="00DC5B2B"/>
    <w:rsid w:val="00DC7837"/>
    <w:rsid w:val="00DD318D"/>
    <w:rsid w:val="00DD34A3"/>
    <w:rsid w:val="00DD748B"/>
    <w:rsid w:val="00DE29C9"/>
    <w:rsid w:val="00DE2CD8"/>
    <w:rsid w:val="00DE5A9E"/>
    <w:rsid w:val="00DE7527"/>
    <w:rsid w:val="00DF00E5"/>
    <w:rsid w:val="00DF2E12"/>
    <w:rsid w:val="00DF514A"/>
    <w:rsid w:val="00DF56F8"/>
    <w:rsid w:val="00DF6690"/>
    <w:rsid w:val="00DF6804"/>
    <w:rsid w:val="00DF684D"/>
    <w:rsid w:val="00E01A84"/>
    <w:rsid w:val="00E0358D"/>
    <w:rsid w:val="00E04323"/>
    <w:rsid w:val="00E059B7"/>
    <w:rsid w:val="00E05C60"/>
    <w:rsid w:val="00E070A2"/>
    <w:rsid w:val="00E07866"/>
    <w:rsid w:val="00E10633"/>
    <w:rsid w:val="00E10D74"/>
    <w:rsid w:val="00E13783"/>
    <w:rsid w:val="00E21560"/>
    <w:rsid w:val="00E24173"/>
    <w:rsid w:val="00E25F46"/>
    <w:rsid w:val="00E2656A"/>
    <w:rsid w:val="00E31762"/>
    <w:rsid w:val="00E320BE"/>
    <w:rsid w:val="00E32B70"/>
    <w:rsid w:val="00E35129"/>
    <w:rsid w:val="00E412D0"/>
    <w:rsid w:val="00E46E54"/>
    <w:rsid w:val="00E46F3F"/>
    <w:rsid w:val="00E475B7"/>
    <w:rsid w:val="00E47FC9"/>
    <w:rsid w:val="00E56322"/>
    <w:rsid w:val="00E569FA"/>
    <w:rsid w:val="00E60982"/>
    <w:rsid w:val="00E62C62"/>
    <w:rsid w:val="00E654C1"/>
    <w:rsid w:val="00E65853"/>
    <w:rsid w:val="00E65D97"/>
    <w:rsid w:val="00E7129B"/>
    <w:rsid w:val="00E718F3"/>
    <w:rsid w:val="00E72A5A"/>
    <w:rsid w:val="00E73354"/>
    <w:rsid w:val="00E73FC0"/>
    <w:rsid w:val="00E7583D"/>
    <w:rsid w:val="00E76792"/>
    <w:rsid w:val="00E77F61"/>
    <w:rsid w:val="00E8101E"/>
    <w:rsid w:val="00E85311"/>
    <w:rsid w:val="00E900C5"/>
    <w:rsid w:val="00E9242D"/>
    <w:rsid w:val="00E94FB9"/>
    <w:rsid w:val="00E95671"/>
    <w:rsid w:val="00E97934"/>
    <w:rsid w:val="00EA09DF"/>
    <w:rsid w:val="00EA1E22"/>
    <w:rsid w:val="00EA4AF2"/>
    <w:rsid w:val="00EA665B"/>
    <w:rsid w:val="00EA7639"/>
    <w:rsid w:val="00EB0ADD"/>
    <w:rsid w:val="00EB21DB"/>
    <w:rsid w:val="00EB5255"/>
    <w:rsid w:val="00EB5C47"/>
    <w:rsid w:val="00EB691E"/>
    <w:rsid w:val="00EB6B45"/>
    <w:rsid w:val="00EC5AF5"/>
    <w:rsid w:val="00EC788B"/>
    <w:rsid w:val="00ED0639"/>
    <w:rsid w:val="00ED427A"/>
    <w:rsid w:val="00EE0354"/>
    <w:rsid w:val="00EE0952"/>
    <w:rsid w:val="00EE180F"/>
    <w:rsid w:val="00EE5A4C"/>
    <w:rsid w:val="00EF07F0"/>
    <w:rsid w:val="00EF1D79"/>
    <w:rsid w:val="00EF232E"/>
    <w:rsid w:val="00EF4755"/>
    <w:rsid w:val="00EF7135"/>
    <w:rsid w:val="00F027DB"/>
    <w:rsid w:val="00F03487"/>
    <w:rsid w:val="00F03594"/>
    <w:rsid w:val="00F1255D"/>
    <w:rsid w:val="00F136A3"/>
    <w:rsid w:val="00F14A7A"/>
    <w:rsid w:val="00F14F51"/>
    <w:rsid w:val="00F176E4"/>
    <w:rsid w:val="00F22985"/>
    <w:rsid w:val="00F30898"/>
    <w:rsid w:val="00F3383E"/>
    <w:rsid w:val="00F33F83"/>
    <w:rsid w:val="00F34EAE"/>
    <w:rsid w:val="00F35089"/>
    <w:rsid w:val="00F35398"/>
    <w:rsid w:val="00F36288"/>
    <w:rsid w:val="00F36E52"/>
    <w:rsid w:val="00F41B43"/>
    <w:rsid w:val="00F42D9C"/>
    <w:rsid w:val="00F447D2"/>
    <w:rsid w:val="00F465A7"/>
    <w:rsid w:val="00F46728"/>
    <w:rsid w:val="00F47CD7"/>
    <w:rsid w:val="00F50B3E"/>
    <w:rsid w:val="00F50B7C"/>
    <w:rsid w:val="00F520EF"/>
    <w:rsid w:val="00F550E6"/>
    <w:rsid w:val="00F56277"/>
    <w:rsid w:val="00F57FB4"/>
    <w:rsid w:val="00F60545"/>
    <w:rsid w:val="00F60AFE"/>
    <w:rsid w:val="00F6143B"/>
    <w:rsid w:val="00F628C0"/>
    <w:rsid w:val="00F66787"/>
    <w:rsid w:val="00F67DA8"/>
    <w:rsid w:val="00F70713"/>
    <w:rsid w:val="00F70A92"/>
    <w:rsid w:val="00F72064"/>
    <w:rsid w:val="00F74345"/>
    <w:rsid w:val="00F743DB"/>
    <w:rsid w:val="00F76D81"/>
    <w:rsid w:val="00F76FEB"/>
    <w:rsid w:val="00F77663"/>
    <w:rsid w:val="00F77A6F"/>
    <w:rsid w:val="00F80A0A"/>
    <w:rsid w:val="00F81731"/>
    <w:rsid w:val="00F81A97"/>
    <w:rsid w:val="00F82B19"/>
    <w:rsid w:val="00F82D9B"/>
    <w:rsid w:val="00F83974"/>
    <w:rsid w:val="00F85D1D"/>
    <w:rsid w:val="00F86853"/>
    <w:rsid w:val="00F87275"/>
    <w:rsid w:val="00F914F5"/>
    <w:rsid w:val="00F9212D"/>
    <w:rsid w:val="00F93EC2"/>
    <w:rsid w:val="00F95CEF"/>
    <w:rsid w:val="00F965DA"/>
    <w:rsid w:val="00FA0D23"/>
    <w:rsid w:val="00FA38A7"/>
    <w:rsid w:val="00FA406A"/>
    <w:rsid w:val="00FA494A"/>
    <w:rsid w:val="00FA5843"/>
    <w:rsid w:val="00FA5EE1"/>
    <w:rsid w:val="00FA7B19"/>
    <w:rsid w:val="00FB1E46"/>
    <w:rsid w:val="00FB2CDE"/>
    <w:rsid w:val="00FB2FF8"/>
    <w:rsid w:val="00FB503A"/>
    <w:rsid w:val="00FB516C"/>
    <w:rsid w:val="00FB77B3"/>
    <w:rsid w:val="00FC0298"/>
    <w:rsid w:val="00FC0E5B"/>
    <w:rsid w:val="00FC2E99"/>
    <w:rsid w:val="00FC380B"/>
    <w:rsid w:val="00FC4B3A"/>
    <w:rsid w:val="00FC6958"/>
    <w:rsid w:val="00FC7E29"/>
    <w:rsid w:val="00FD0236"/>
    <w:rsid w:val="00FD18F4"/>
    <w:rsid w:val="00FD3154"/>
    <w:rsid w:val="00FD54DB"/>
    <w:rsid w:val="00FD619F"/>
    <w:rsid w:val="00FE048D"/>
    <w:rsid w:val="00FE0B40"/>
    <w:rsid w:val="00FE7DDA"/>
    <w:rsid w:val="00FF506D"/>
    <w:rsid w:val="00FF5FFD"/>
    <w:rsid w:val="00FF6733"/>
    <w:rsid w:val="00FF7E92"/>
    <w:rsid w:val="01115B19"/>
    <w:rsid w:val="01290F7E"/>
    <w:rsid w:val="01327869"/>
    <w:rsid w:val="01350855"/>
    <w:rsid w:val="015A40C0"/>
    <w:rsid w:val="015D1E09"/>
    <w:rsid w:val="017E2A82"/>
    <w:rsid w:val="017E518E"/>
    <w:rsid w:val="018067FB"/>
    <w:rsid w:val="019329D2"/>
    <w:rsid w:val="01967DCC"/>
    <w:rsid w:val="019A4749"/>
    <w:rsid w:val="019D55FE"/>
    <w:rsid w:val="01FF6EE2"/>
    <w:rsid w:val="02047A52"/>
    <w:rsid w:val="0224187C"/>
    <w:rsid w:val="0233386D"/>
    <w:rsid w:val="024143A5"/>
    <w:rsid w:val="02562772"/>
    <w:rsid w:val="025C64FA"/>
    <w:rsid w:val="02697903"/>
    <w:rsid w:val="028A5150"/>
    <w:rsid w:val="028B3CA0"/>
    <w:rsid w:val="02A66735"/>
    <w:rsid w:val="02E90EF4"/>
    <w:rsid w:val="02F96569"/>
    <w:rsid w:val="03060F81"/>
    <w:rsid w:val="03096330"/>
    <w:rsid w:val="034026E5"/>
    <w:rsid w:val="03455F4E"/>
    <w:rsid w:val="035166A0"/>
    <w:rsid w:val="039B4FF6"/>
    <w:rsid w:val="03C86237"/>
    <w:rsid w:val="03D251BA"/>
    <w:rsid w:val="03EA7B21"/>
    <w:rsid w:val="03F31506"/>
    <w:rsid w:val="041651F4"/>
    <w:rsid w:val="0431202E"/>
    <w:rsid w:val="04384F8F"/>
    <w:rsid w:val="047A1C27"/>
    <w:rsid w:val="049F168E"/>
    <w:rsid w:val="04AB3B8E"/>
    <w:rsid w:val="04BE2062"/>
    <w:rsid w:val="04C133B2"/>
    <w:rsid w:val="04CE0374"/>
    <w:rsid w:val="04FB76A3"/>
    <w:rsid w:val="05465FAD"/>
    <w:rsid w:val="05524952"/>
    <w:rsid w:val="056C7CA9"/>
    <w:rsid w:val="057C19CF"/>
    <w:rsid w:val="058727A8"/>
    <w:rsid w:val="05907FDD"/>
    <w:rsid w:val="05997E8B"/>
    <w:rsid w:val="05B253F0"/>
    <w:rsid w:val="05EA5F5A"/>
    <w:rsid w:val="05F83EAE"/>
    <w:rsid w:val="06173EC2"/>
    <w:rsid w:val="0627463A"/>
    <w:rsid w:val="063E7D85"/>
    <w:rsid w:val="06640E4B"/>
    <w:rsid w:val="066E7569"/>
    <w:rsid w:val="067601CC"/>
    <w:rsid w:val="06872B7E"/>
    <w:rsid w:val="06960996"/>
    <w:rsid w:val="06AB4FE9"/>
    <w:rsid w:val="07293586"/>
    <w:rsid w:val="07295285"/>
    <w:rsid w:val="0737795B"/>
    <w:rsid w:val="07630750"/>
    <w:rsid w:val="07636392"/>
    <w:rsid w:val="076D5A73"/>
    <w:rsid w:val="076E3F95"/>
    <w:rsid w:val="0775396D"/>
    <w:rsid w:val="07770C56"/>
    <w:rsid w:val="077E6E8E"/>
    <w:rsid w:val="07830DF3"/>
    <w:rsid w:val="07927288"/>
    <w:rsid w:val="07935C2F"/>
    <w:rsid w:val="07AB5EB4"/>
    <w:rsid w:val="080F2686"/>
    <w:rsid w:val="082F2519"/>
    <w:rsid w:val="08A70B11"/>
    <w:rsid w:val="08A96637"/>
    <w:rsid w:val="08B47CBA"/>
    <w:rsid w:val="08B93957"/>
    <w:rsid w:val="08D86F1C"/>
    <w:rsid w:val="09017DE3"/>
    <w:rsid w:val="09023F99"/>
    <w:rsid w:val="092217DD"/>
    <w:rsid w:val="0922463B"/>
    <w:rsid w:val="09336848"/>
    <w:rsid w:val="093A7294"/>
    <w:rsid w:val="093D1475"/>
    <w:rsid w:val="09526CCE"/>
    <w:rsid w:val="09701C9D"/>
    <w:rsid w:val="09873B66"/>
    <w:rsid w:val="09960029"/>
    <w:rsid w:val="09B039F5"/>
    <w:rsid w:val="09E24D09"/>
    <w:rsid w:val="09E902BD"/>
    <w:rsid w:val="09FF3AD4"/>
    <w:rsid w:val="0A263993"/>
    <w:rsid w:val="0A2D3AC2"/>
    <w:rsid w:val="0A2F5262"/>
    <w:rsid w:val="0A4C7BC2"/>
    <w:rsid w:val="0A786C09"/>
    <w:rsid w:val="0A866BA0"/>
    <w:rsid w:val="0A9434AF"/>
    <w:rsid w:val="0AA755DF"/>
    <w:rsid w:val="0ACC485F"/>
    <w:rsid w:val="0ACE67E0"/>
    <w:rsid w:val="0AD16319"/>
    <w:rsid w:val="0ADA2FAB"/>
    <w:rsid w:val="0ADB0F46"/>
    <w:rsid w:val="0B082F31"/>
    <w:rsid w:val="0B0B35D9"/>
    <w:rsid w:val="0B120D44"/>
    <w:rsid w:val="0B325009"/>
    <w:rsid w:val="0B5C2086"/>
    <w:rsid w:val="0B7E6FD7"/>
    <w:rsid w:val="0B941820"/>
    <w:rsid w:val="0BA80E28"/>
    <w:rsid w:val="0BB31550"/>
    <w:rsid w:val="0BC7297B"/>
    <w:rsid w:val="0BCD6AE0"/>
    <w:rsid w:val="0BD22349"/>
    <w:rsid w:val="0BD27BF6"/>
    <w:rsid w:val="0BE46D3E"/>
    <w:rsid w:val="0C0F0014"/>
    <w:rsid w:val="0C344DB1"/>
    <w:rsid w:val="0C3B3C7D"/>
    <w:rsid w:val="0C4A4FFD"/>
    <w:rsid w:val="0C4D23DA"/>
    <w:rsid w:val="0C536EF3"/>
    <w:rsid w:val="0C540FAF"/>
    <w:rsid w:val="0C686072"/>
    <w:rsid w:val="0C80094B"/>
    <w:rsid w:val="0C9358E9"/>
    <w:rsid w:val="0C9D1B39"/>
    <w:rsid w:val="0CAB2EAE"/>
    <w:rsid w:val="0CAC0DEC"/>
    <w:rsid w:val="0CBA24AA"/>
    <w:rsid w:val="0CD619C5"/>
    <w:rsid w:val="0CDD2D53"/>
    <w:rsid w:val="0D002EE5"/>
    <w:rsid w:val="0D0273AB"/>
    <w:rsid w:val="0D18022F"/>
    <w:rsid w:val="0D1F336B"/>
    <w:rsid w:val="0D41362C"/>
    <w:rsid w:val="0D621C7D"/>
    <w:rsid w:val="0D71793F"/>
    <w:rsid w:val="0D865199"/>
    <w:rsid w:val="0D8E5461"/>
    <w:rsid w:val="0D95362E"/>
    <w:rsid w:val="0DA675E9"/>
    <w:rsid w:val="0DCB13F4"/>
    <w:rsid w:val="0DE466D6"/>
    <w:rsid w:val="0DF2282E"/>
    <w:rsid w:val="0E127461"/>
    <w:rsid w:val="0E195228"/>
    <w:rsid w:val="0E1D7271"/>
    <w:rsid w:val="0E2C21E4"/>
    <w:rsid w:val="0E2D7D0A"/>
    <w:rsid w:val="0E5057A7"/>
    <w:rsid w:val="0E6354DA"/>
    <w:rsid w:val="0E6652FE"/>
    <w:rsid w:val="0E7019A5"/>
    <w:rsid w:val="0E73034D"/>
    <w:rsid w:val="0ED2FCA0"/>
    <w:rsid w:val="0EEB3FA1"/>
    <w:rsid w:val="0EFD4F0B"/>
    <w:rsid w:val="0F0F0341"/>
    <w:rsid w:val="0F13775A"/>
    <w:rsid w:val="0F19203C"/>
    <w:rsid w:val="0F1B7D90"/>
    <w:rsid w:val="0F397E75"/>
    <w:rsid w:val="0F564ED4"/>
    <w:rsid w:val="0F5F45FE"/>
    <w:rsid w:val="0F621C35"/>
    <w:rsid w:val="0F844944"/>
    <w:rsid w:val="0F8C6CB2"/>
    <w:rsid w:val="0F925E61"/>
    <w:rsid w:val="0F9A112B"/>
    <w:rsid w:val="0FA47F0D"/>
    <w:rsid w:val="0FA71D21"/>
    <w:rsid w:val="0FB13B6D"/>
    <w:rsid w:val="0FCC775D"/>
    <w:rsid w:val="0FD42B11"/>
    <w:rsid w:val="104907AA"/>
    <w:rsid w:val="10677240"/>
    <w:rsid w:val="106D2F64"/>
    <w:rsid w:val="10851CC3"/>
    <w:rsid w:val="10B63710"/>
    <w:rsid w:val="10C900AA"/>
    <w:rsid w:val="10F10820"/>
    <w:rsid w:val="10FD7E68"/>
    <w:rsid w:val="111C2F7A"/>
    <w:rsid w:val="111D5318"/>
    <w:rsid w:val="112C6057"/>
    <w:rsid w:val="114E6F18"/>
    <w:rsid w:val="11534B75"/>
    <w:rsid w:val="11640848"/>
    <w:rsid w:val="11665CA1"/>
    <w:rsid w:val="11891774"/>
    <w:rsid w:val="118B0996"/>
    <w:rsid w:val="11A264BB"/>
    <w:rsid w:val="11AA3420"/>
    <w:rsid w:val="11E21E3A"/>
    <w:rsid w:val="12071097"/>
    <w:rsid w:val="12076395"/>
    <w:rsid w:val="121C60CC"/>
    <w:rsid w:val="12282CC2"/>
    <w:rsid w:val="12425176"/>
    <w:rsid w:val="12505D75"/>
    <w:rsid w:val="12547B66"/>
    <w:rsid w:val="128B14A3"/>
    <w:rsid w:val="12954834"/>
    <w:rsid w:val="132A7F13"/>
    <w:rsid w:val="137918A1"/>
    <w:rsid w:val="139129A8"/>
    <w:rsid w:val="13951726"/>
    <w:rsid w:val="139E595F"/>
    <w:rsid w:val="13AE6A04"/>
    <w:rsid w:val="13D053C0"/>
    <w:rsid w:val="13EB6DED"/>
    <w:rsid w:val="14186369"/>
    <w:rsid w:val="14396509"/>
    <w:rsid w:val="14B4083D"/>
    <w:rsid w:val="14BFFEA4"/>
    <w:rsid w:val="14CD5DA3"/>
    <w:rsid w:val="14CF1B1B"/>
    <w:rsid w:val="14DD2C3C"/>
    <w:rsid w:val="15062716"/>
    <w:rsid w:val="150C0477"/>
    <w:rsid w:val="151C5693"/>
    <w:rsid w:val="153E50D4"/>
    <w:rsid w:val="154546D8"/>
    <w:rsid w:val="155E448E"/>
    <w:rsid w:val="15FD4466"/>
    <w:rsid w:val="16087E1D"/>
    <w:rsid w:val="16695657"/>
    <w:rsid w:val="1672275E"/>
    <w:rsid w:val="16730284"/>
    <w:rsid w:val="16797F90"/>
    <w:rsid w:val="168356FE"/>
    <w:rsid w:val="16A50D85"/>
    <w:rsid w:val="16BE3BF5"/>
    <w:rsid w:val="16DE9F9C"/>
    <w:rsid w:val="16E66022"/>
    <w:rsid w:val="16FE44FE"/>
    <w:rsid w:val="170C46D3"/>
    <w:rsid w:val="170E3AE7"/>
    <w:rsid w:val="17255A22"/>
    <w:rsid w:val="17306175"/>
    <w:rsid w:val="173C56DA"/>
    <w:rsid w:val="173E27DE"/>
    <w:rsid w:val="17464B70"/>
    <w:rsid w:val="175400B6"/>
    <w:rsid w:val="17701D14"/>
    <w:rsid w:val="17735226"/>
    <w:rsid w:val="177E548D"/>
    <w:rsid w:val="17B2302E"/>
    <w:rsid w:val="17BB1EE3"/>
    <w:rsid w:val="17BB6387"/>
    <w:rsid w:val="17C70888"/>
    <w:rsid w:val="17D86F39"/>
    <w:rsid w:val="17DB2818"/>
    <w:rsid w:val="17DD6835"/>
    <w:rsid w:val="17EA27C8"/>
    <w:rsid w:val="17EF2CFE"/>
    <w:rsid w:val="180245E6"/>
    <w:rsid w:val="181D290B"/>
    <w:rsid w:val="182E6B59"/>
    <w:rsid w:val="183140D2"/>
    <w:rsid w:val="18722EE9"/>
    <w:rsid w:val="18733C2C"/>
    <w:rsid w:val="187529D9"/>
    <w:rsid w:val="18950986"/>
    <w:rsid w:val="189F624C"/>
    <w:rsid w:val="18AB63FB"/>
    <w:rsid w:val="18BC33A1"/>
    <w:rsid w:val="18F22749"/>
    <w:rsid w:val="18F54C3F"/>
    <w:rsid w:val="19173A91"/>
    <w:rsid w:val="1938458F"/>
    <w:rsid w:val="194272E3"/>
    <w:rsid w:val="196071E6"/>
    <w:rsid w:val="19764E80"/>
    <w:rsid w:val="19A1688A"/>
    <w:rsid w:val="19B3557A"/>
    <w:rsid w:val="19C42318"/>
    <w:rsid w:val="19C534ED"/>
    <w:rsid w:val="19DB4ABE"/>
    <w:rsid w:val="19FD585E"/>
    <w:rsid w:val="1A1C66C0"/>
    <w:rsid w:val="1A2A3350"/>
    <w:rsid w:val="1A42393B"/>
    <w:rsid w:val="1A6E76E0"/>
    <w:rsid w:val="1A7239DF"/>
    <w:rsid w:val="1AAD45DE"/>
    <w:rsid w:val="1AC76DF0"/>
    <w:rsid w:val="1ADC0AEE"/>
    <w:rsid w:val="1B046F80"/>
    <w:rsid w:val="1B1069E9"/>
    <w:rsid w:val="1B3267B5"/>
    <w:rsid w:val="1B40161D"/>
    <w:rsid w:val="1B441859"/>
    <w:rsid w:val="1B6606B1"/>
    <w:rsid w:val="1B662AAD"/>
    <w:rsid w:val="1B6B1EB2"/>
    <w:rsid w:val="1B6B6D5D"/>
    <w:rsid w:val="1B6D18C5"/>
    <w:rsid w:val="1B80591D"/>
    <w:rsid w:val="1B83048A"/>
    <w:rsid w:val="1B876601"/>
    <w:rsid w:val="1B9709BC"/>
    <w:rsid w:val="1B9C0A10"/>
    <w:rsid w:val="1BA86C22"/>
    <w:rsid w:val="1BB2079C"/>
    <w:rsid w:val="1BB90E2F"/>
    <w:rsid w:val="1BBC0395"/>
    <w:rsid w:val="1BC44951"/>
    <w:rsid w:val="1BC8769B"/>
    <w:rsid w:val="1BCA4DEA"/>
    <w:rsid w:val="1BD6553D"/>
    <w:rsid w:val="1BDC3F1C"/>
    <w:rsid w:val="1BE96A15"/>
    <w:rsid w:val="1BF92B0A"/>
    <w:rsid w:val="1C073948"/>
    <w:rsid w:val="1C427076"/>
    <w:rsid w:val="1C5052AF"/>
    <w:rsid w:val="1C525167"/>
    <w:rsid w:val="1C5E7925"/>
    <w:rsid w:val="1C84143D"/>
    <w:rsid w:val="1C8A465A"/>
    <w:rsid w:val="1CB3762C"/>
    <w:rsid w:val="1CD203FA"/>
    <w:rsid w:val="1CE67A02"/>
    <w:rsid w:val="1CEB6DC6"/>
    <w:rsid w:val="1CF00D78"/>
    <w:rsid w:val="1CFA34AD"/>
    <w:rsid w:val="1CFC7225"/>
    <w:rsid w:val="1CFD070F"/>
    <w:rsid w:val="1D193CC5"/>
    <w:rsid w:val="1D3665C8"/>
    <w:rsid w:val="1D37431E"/>
    <w:rsid w:val="1D484219"/>
    <w:rsid w:val="1D5F6196"/>
    <w:rsid w:val="1D6132A5"/>
    <w:rsid w:val="1D8E56D5"/>
    <w:rsid w:val="1DA022A7"/>
    <w:rsid w:val="1DA8115B"/>
    <w:rsid w:val="1DAB6F5C"/>
    <w:rsid w:val="1DD318E8"/>
    <w:rsid w:val="1E116AEB"/>
    <w:rsid w:val="1E214A6A"/>
    <w:rsid w:val="1E487669"/>
    <w:rsid w:val="1E544E3F"/>
    <w:rsid w:val="1E7A43DA"/>
    <w:rsid w:val="1E8C282B"/>
    <w:rsid w:val="1ECC2C27"/>
    <w:rsid w:val="1EDC7F5E"/>
    <w:rsid w:val="1EFA4CD0"/>
    <w:rsid w:val="1F136AA8"/>
    <w:rsid w:val="1F2151C5"/>
    <w:rsid w:val="1F25C924"/>
    <w:rsid w:val="1F4A34C4"/>
    <w:rsid w:val="1F5F16AB"/>
    <w:rsid w:val="1F617814"/>
    <w:rsid w:val="1F625134"/>
    <w:rsid w:val="1F672950"/>
    <w:rsid w:val="1F7D0CD8"/>
    <w:rsid w:val="1F87181B"/>
    <w:rsid w:val="1FB02549"/>
    <w:rsid w:val="1FDC7BDF"/>
    <w:rsid w:val="1FE7539E"/>
    <w:rsid w:val="1FFC12EA"/>
    <w:rsid w:val="1FFE292B"/>
    <w:rsid w:val="200A1C59"/>
    <w:rsid w:val="200E0A62"/>
    <w:rsid w:val="200F101E"/>
    <w:rsid w:val="20340A84"/>
    <w:rsid w:val="203521F9"/>
    <w:rsid w:val="20671BE0"/>
    <w:rsid w:val="2076109D"/>
    <w:rsid w:val="20823EE5"/>
    <w:rsid w:val="208D608B"/>
    <w:rsid w:val="20963CB8"/>
    <w:rsid w:val="209C5D01"/>
    <w:rsid w:val="20A306C4"/>
    <w:rsid w:val="20A81A1B"/>
    <w:rsid w:val="20B07FB6"/>
    <w:rsid w:val="20B646FB"/>
    <w:rsid w:val="20BD44DA"/>
    <w:rsid w:val="20CB6FEE"/>
    <w:rsid w:val="20EA1BF7"/>
    <w:rsid w:val="20ED3674"/>
    <w:rsid w:val="211014F1"/>
    <w:rsid w:val="2117285F"/>
    <w:rsid w:val="21270FE6"/>
    <w:rsid w:val="21336F8E"/>
    <w:rsid w:val="213A5E71"/>
    <w:rsid w:val="213B74B1"/>
    <w:rsid w:val="213F5933"/>
    <w:rsid w:val="21554EC4"/>
    <w:rsid w:val="215A2310"/>
    <w:rsid w:val="21604701"/>
    <w:rsid w:val="216B6728"/>
    <w:rsid w:val="217D6443"/>
    <w:rsid w:val="2189290E"/>
    <w:rsid w:val="21904D45"/>
    <w:rsid w:val="21A21776"/>
    <w:rsid w:val="21B93937"/>
    <w:rsid w:val="21C26B15"/>
    <w:rsid w:val="21DE318A"/>
    <w:rsid w:val="21E6673E"/>
    <w:rsid w:val="21E9106C"/>
    <w:rsid w:val="21EF5B80"/>
    <w:rsid w:val="22123047"/>
    <w:rsid w:val="222B6AC1"/>
    <w:rsid w:val="22350AE4"/>
    <w:rsid w:val="224A458F"/>
    <w:rsid w:val="224F7DF7"/>
    <w:rsid w:val="22576990"/>
    <w:rsid w:val="22877591"/>
    <w:rsid w:val="22943A5C"/>
    <w:rsid w:val="22AB5A93"/>
    <w:rsid w:val="22C2681B"/>
    <w:rsid w:val="22ED0018"/>
    <w:rsid w:val="22F47480"/>
    <w:rsid w:val="22F62969"/>
    <w:rsid w:val="22F653E9"/>
    <w:rsid w:val="22FA21AD"/>
    <w:rsid w:val="232381BB"/>
    <w:rsid w:val="232623FE"/>
    <w:rsid w:val="23362D72"/>
    <w:rsid w:val="234A5951"/>
    <w:rsid w:val="234C6563"/>
    <w:rsid w:val="235B0B5A"/>
    <w:rsid w:val="235F6EB5"/>
    <w:rsid w:val="237C2E6E"/>
    <w:rsid w:val="23845C65"/>
    <w:rsid w:val="23955CDE"/>
    <w:rsid w:val="239F4031"/>
    <w:rsid w:val="239F4DAE"/>
    <w:rsid w:val="23B056B8"/>
    <w:rsid w:val="23D74548"/>
    <w:rsid w:val="23DE1C48"/>
    <w:rsid w:val="23DF164F"/>
    <w:rsid w:val="23E045EC"/>
    <w:rsid w:val="240210CD"/>
    <w:rsid w:val="24561911"/>
    <w:rsid w:val="2472601F"/>
    <w:rsid w:val="24BF09F7"/>
    <w:rsid w:val="24D46CDA"/>
    <w:rsid w:val="24DD5B8E"/>
    <w:rsid w:val="24E30CCB"/>
    <w:rsid w:val="24F628B2"/>
    <w:rsid w:val="252D53FE"/>
    <w:rsid w:val="255B4D05"/>
    <w:rsid w:val="2561056D"/>
    <w:rsid w:val="257537F7"/>
    <w:rsid w:val="25BC39F6"/>
    <w:rsid w:val="25C67170"/>
    <w:rsid w:val="25CB4B8A"/>
    <w:rsid w:val="25EC2D81"/>
    <w:rsid w:val="2607184B"/>
    <w:rsid w:val="261A071C"/>
    <w:rsid w:val="262E41C8"/>
    <w:rsid w:val="26391864"/>
    <w:rsid w:val="265B6B76"/>
    <w:rsid w:val="269E759F"/>
    <w:rsid w:val="26B57364"/>
    <w:rsid w:val="26D010FC"/>
    <w:rsid w:val="26D42FC1"/>
    <w:rsid w:val="26E055AF"/>
    <w:rsid w:val="26E62FDD"/>
    <w:rsid w:val="26EA788C"/>
    <w:rsid w:val="272F6449"/>
    <w:rsid w:val="27430C56"/>
    <w:rsid w:val="27432B88"/>
    <w:rsid w:val="27433CA3"/>
    <w:rsid w:val="274F32A2"/>
    <w:rsid w:val="27547EF1"/>
    <w:rsid w:val="275F7F2B"/>
    <w:rsid w:val="27653C19"/>
    <w:rsid w:val="277057A2"/>
    <w:rsid w:val="27716A62"/>
    <w:rsid w:val="277D71B5"/>
    <w:rsid w:val="27A02EA3"/>
    <w:rsid w:val="27A72484"/>
    <w:rsid w:val="27CC5A46"/>
    <w:rsid w:val="27D7C128"/>
    <w:rsid w:val="27EB411E"/>
    <w:rsid w:val="27F03E2A"/>
    <w:rsid w:val="27FF2604"/>
    <w:rsid w:val="280B7304"/>
    <w:rsid w:val="281966A8"/>
    <w:rsid w:val="285C6DCA"/>
    <w:rsid w:val="28652164"/>
    <w:rsid w:val="28843D57"/>
    <w:rsid w:val="28964888"/>
    <w:rsid w:val="28E026ED"/>
    <w:rsid w:val="29143B49"/>
    <w:rsid w:val="29163CD3"/>
    <w:rsid w:val="29206EB8"/>
    <w:rsid w:val="2924051E"/>
    <w:rsid w:val="292FF894"/>
    <w:rsid w:val="2936586D"/>
    <w:rsid w:val="2938592D"/>
    <w:rsid w:val="29595666"/>
    <w:rsid w:val="29695C42"/>
    <w:rsid w:val="29874881"/>
    <w:rsid w:val="298C3068"/>
    <w:rsid w:val="29E325E0"/>
    <w:rsid w:val="29ED0AC0"/>
    <w:rsid w:val="29F7669E"/>
    <w:rsid w:val="2A014ED6"/>
    <w:rsid w:val="2A1A6825"/>
    <w:rsid w:val="2A312B60"/>
    <w:rsid w:val="2A3A788C"/>
    <w:rsid w:val="2A452503"/>
    <w:rsid w:val="2A557F75"/>
    <w:rsid w:val="2A5A558B"/>
    <w:rsid w:val="2A7051A6"/>
    <w:rsid w:val="2A796FA6"/>
    <w:rsid w:val="2A88659C"/>
    <w:rsid w:val="2A8A2314"/>
    <w:rsid w:val="2A8E573C"/>
    <w:rsid w:val="2A9F7442"/>
    <w:rsid w:val="2AAB5086"/>
    <w:rsid w:val="2AB63109"/>
    <w:rsid w:val="2ABB0707"/>
    <w:rsid w:val="2AE86693"/>
    <w:rsid w:val="2AEA1089"/>
    <w:rsid w:val="2AF23A16"/>
    <w:rsid w:val="2B085B48"/>
    <w:rsid w:val="2B620B9B"/>
    <w:rsid w:val="2B69017C"/>
    <w:rsid w:val="2B6A7A50"/>
    <w:rsid w:val="2BA936A8"/>
    <w:rsid w:val="2BB223C0"/>
    <w:rsid w:val="2BB74BDB"/>
    <w:rsid w:val="2BDB25BD"/>
    <w:rsid w:val="2C041C52"/>
    <w:rsid w:val="2C15357F"/>
    <w:rsid w:val="2C1D2D14"/>
    <w:rsid w:val="2C315A5A"/>
    <w:rsid w:val="2C3B6D48"/>
    <w:rsid w:val="2C464019"/>
    <w:rsid w:val="2C4B1C25"/>
    <w:rsid w:val="2C5A1872"/>
    <w:rsid w:val="2C5A7AC4"/>
    <w:rsid w:val="2C772424"/>
    <w:rsid w:val="2C786701"/>
    <w:rsid w:val="2C7D37B3"/>
    <w:rsid w:val="2C9F346C"/>
    <w:rsid w:val="2CB5016E"/>
    <w:rsid w:val="2CB96F67"/>
    <w:rsid w:val="2CF577ED"/>
    <w:rsid w:val="2D076515"/>
    <w:rsid w:val="2D1D613B"/>
    <w:rsid w:val="2D4F514F"/>
    <w:rsid w:val="2D945258"/>
    <w:rsid w:val="2D9E56F5"/>
    <w:rsid w:val="2DC21DC5"/>
    <w:rsid w:val="2DED3C3C"/>
    <w:rsid w:val="2DF126AA"/>
    <w:rsid w:val="2DF69532"/>
    <w:rsid w:val="2E0F48DF"/>
    <w:rsid w:val="2E1C54A8"/>
    <w:rsid w:val="2E2C594D"/>
    <w:rsid w:val="2E312AA7"/>
    <w:rsid w:val="2E316BEE"/>
    <w:rsid w:val="2E525E2F"/>
    <w:rsid w:val="2E56250D"/>
    <w:rsid w:val="2E5F1792"/>
    <w:rsid w:val="2E667F96"/>
    <w:rsid w:val="2E732B82"/>
    <w:rsid w:val="2E776710"/>
    <w:rsid w:val="2E8226AB"/>
    <w:rsid w:val="2EB51A36"/>
    <w:rsid w:val="2EF84F00"/>
    <w:rsid w:val="2F0F0A9F"/>
    <w:rsid w:val="2F391C13"/>
    <w:rsid w:val="2F4F559B"/>
    <w:rsid w:val="2F570EAC"/>
    <w:rsid w:val="2F6E0744"/>
    <w:rsid w:val="2F7610B9"/>
    <w:rsid w:val="2F77273B"/>
    <w:rsid w:val="2F7D2448"/>
    <w:rsid w:val="2F882B9B"/>
    <w:rsid w:val="2F947594"/>
    <w:rsid w:val="2FB76FDC"/>
    <w:rsid w:val="2FD065E6"/>
    <w:rsid w:val="2FD96870"/>
    <w:rsid w:val="30234671"/>
    <w:rsid w:val="304860B7"/>
    <w:rsid w:val="3049232A"/>
    <w:rsid w:val="30580BC9"/>
    <w:rsid w:val="30760C45"/>
    <w:rsid w:val="3095731D"/>
    <w:rsid w:val="30B8300C"/>
    <w:rsid w:val="30CD2F5B"/>
    <w:rsid w:val="30D2231F"/>
    <w:rsid w:val="30D37E45"/>
    <w:rsid w:val="30D50061"/>
    <w:rsid w:val="30EE62A0"/>
    <w:rsid w:val="30FF50DE"/>
    <w:rsid w:val="310224D9"/>
    <w:rsid w:val="31045E00"/>
    <w:rsid w:val="31091AB9"/>
    <w:rsid w:val="311E2ED7"/>
    <w:rsid w:val="312E1520"/>
    <w:rsid w:val="315415C0"/>
    <w:rsid w:val="31556AAC"/>
    <w:rsid w:val="315619EE"/>
    <w:rsid w:val="315C449C"/>
    <w:rsid w:val="315D04A6"/>
    <w:rsid w:val="31605B7D"/>
    <w:rsid w:val="316E6BC8"/>
    <w:rsid w:val="31782BBD"/>
    <w:rsid w:val="318850D4"/>
    <w:rsid w:val="31B82709"/>
    <w:rsid w:val="31B936FA"/>
    <w:rsid w:val="31C75BFC"/>
    <w:rsid w:val="31CD5D19"/>
    <w:rsid w:val="31D05482"/>
    <w:rsid w:val="31E84A1A"/>
    <w:rsid w:val="32087FC3"/>
    <w:rsid w:val="321B7CF6"/>
    <w:rsid w:val="32400B34"/>
    <w:rsid w:val="32970613"/>
    <w:rsid w:val="329E6876"/>
    <w:rsid w:val="32A95302"/>
    <w:rsid w:val="32F114C4"/>
    <w:rsid w:val="3303324A"/>
    <w:rsid w:val="33174961"/>
    <w:rsid w:val="332134CF"/>
    <w:rsid w:val="333015F2"/>
    <w:rsid w:val="334B6320"/>
    <w:rsid w:val="33533BFF"/>
    <w:rsid w:val="336F6F2E"/>
    <w:rsid w:val="33743B62"/>
    <w:rsid w:val="3397718F"/>
    <w:rsid w:val="339943AB"/>
    <w:rsid w:val="33C06DA7"/>
    <w:rsid w:val="33D44600"/>
    <w:rsid w:val="33D934D4"/>
    <w:rsid w:val="33FD27AD"/>
    <w:rsid w:val="33FE2F6A"/>
    <w:rsid w:val="34086058"/>
    <w:rsid w:val="340E07E5"/>
    <w:rsid w:val="34100013"/>
    <w:rsid w:val="341555B4"/>
    <w:rsid w:val="34235BF7"/>
    <w:rsid w:val="3428494C"/>
    <w:rsid w:val="34403A44"/>
    <w:rsid w:val="345924E2"/>
    <w:rsid w:val="345D6188"/>
    <w:rsid w:val="346A6D13"/>
    <w:rsid w:val="346F4329"/>
    <w:rsid w:val="3478546D"/>
    <w:rsid w:val="347F40F6"/>
    <w:rsid w:val="34C33CBA"/>
    <w:rsid w:val="34EB7EA2"/>
    <w:rsid w:val="357C4FF0"/>
    <w:rsid w:val="3586192A"/>
    <w:rsid w:val="358C5FA8"/>
    <w:rsid w:val="35A95D09"/>
    <w:rsid w:val="35BA12C1"/>
    <w:rsid w:val="35C15DF1"/>
    <w:rsid w:val="35D629F5"/>
    <w:rsid w:val="35E26F28"/>
    <w:rsid w:val="36074A7F"/>
    <w:rsid w:val="361221A9"/>
    <w:rsid w:val="361E6007"/>
    <w:rsid w:val="362C6827"/>
    <w:rsid w:val="36341386"/>
    <w:rsid w:val="36371722"/>
    <w:rsid w:val="363E71B2"/>
    <w:rsid w:val="3659703F"/>
    <w:rsid w:val="36754F9C"/>
    <w:rsid w:val="36923549"/>
    <w:rsid w:val="36A20D4C"/>
    <w:rsid w:val="36B060E9"/>
    <w:rsid w:val="36B75FBF"/>
    <w:rsid w:val="36BD0C45"/>
    <w:rsid w:val="36C26992"/>
    <w:rsid w:val="36CC55B2"/>
    <w:rsid w:val="36D578D7"/>
    <w:rsid w:val="36DD1A1E"/>
    <w:rsid w:val="36E44B5A"/>
    <w:rsid w:val="36ED1CF2"/>
    <w:rsid w:val="36F154C9"/>
    <w:rsid w:val="36FA25D0"/>
    <w:rsid w:val="37070849"/>
    <w:rsid w:val="376917E5"/>
    <w:rsid w:val="3774CE40"/>
    <w:rsid w:val="378C4D7F"/>
    <w:rsid w:val="37A023AF"/>
    <w:rsid w:val="37A64595"/>
    <w:rsid w:val="37A75B88"/>
    <w:rsid w:val="37B00EE0"/>
    <w:rsid w:val="37C24C19"/>
    <w:rsid w:val="37E00298"/>
    <w:rsid w:val="37E67497"/>
    <w:rsid w:val="37F66FC7"/>
    <w:rsid w:val="37F70E4F"/>
    <w:rsid w:val="37F76A77"/>
    <w:rsid w:val="380341AD"/>
    <w:rsid w:val="380B3F3F"/>
    <w:rsid w:val="381B27FE"/>
    <w:rsid w:val="382D0783"/>
    <w:rsid w:val="38343179"/>
    <w:rsid w:val="38593326"/>
    <w:rsid w:val="38741F0E"/>
    <w:rsid w:val="38954B7C"/>
    <w:rsid w:val="38A02D03"/>
    <w:rsid w:val="38B302F9"/>
    <w:rsid w:val="38B65423"/>
    <w:rsid w:val="38D26C34"/>
    <w:rsid w:val="38DC641A"/>
    <w:rsid w:val="38E30E42"/>
    <w:rsid w:val="38F12CD3"/>
    <w:rsid w:val="38F566EC"/>
    <w:rsid w:val="38F94775"/>
    <w:rsid w:val="39290F4A"/>
    <w:rsid w:val="392971ED"/>
    <w:rsid w:val="39325651"/>
    <w:rsid w:val="393B1CEB"/>
    <w:rsid w:val="393B2A2C"/>
    <w:rsid w:val="39475874"/>
    <w:rsid w:val="394F0490"/>
    <w:rsid w:val="3971469F"/>
    <w:rsid w:val="398C14F0"/>
    <w:rsid w:val="39974106"/>
    <w:rsid w:val="39986CE0"/>
    <w:rsid w:val="39A607ED"/>
    <w:rsid w:val="39B50A30"/>
    <w:rsid w:val="39B81213"/>
    <w:rsid w:val="39DFB4D3"/>
    <w:rsid w:val="39F8699D"/>
    <w:rsid w:val="3A175247"/>
    <w:rsid w:val="3A4A2B15"/>
    <w:rsid w:val="3A872856"/>
    <w:rsid w:val="3AAA1C17"/>
    <w:rsid w:val="3AAE1BAE"/>
    <w:rsid w:val="3AAF372C"/>
    <w:rsid w:val="3AB82FCB"/>
    <w:rsid w:val="3AD13648"/>
    <w:rsid w:val="3B06740F"/>
    <w:rsid w:val="3B3763D1"/>
    <w:rsid w:val="3B3836C7"/>
    <w:rsid w:val="3B392333"/>
    <w:rsid w:val="3B5D7922"/>
    <w:rsid w:val="3B6B584A"/>
    <w:rsid w:val="3B73C09D"/>
    <w:rsid w:val="3B7B1D01"/>
    <w:rsid w:val="3B895CD0"/>
    <w:rsid w:val="3BA4134C"/>
    <w:rsid w:val="3BDB1841"/>
    <w:rsid w:val="3BEC625F"/>
    <w:rsid w:val="3BF3C452"/>
    <w:rsid w:val="3BFCC591"/>
    <w:rsid w:val="3BFF011D"/>
    <w:rsid w:val="3C2F6E1E"/>
    <w:rsid w:val="3C4F64BA"/>
    <w:rsid w:val="3C746980"/>
    <w:rsid w:val="3C8B7826"/>
    <w:rsid w:val="3CB52AF5"/>
    <w:rsid w:val="3CDA245A"/>
    <w:rsid w:val="3CF578B9"/>
    <w:rsid w:val="3D0F69E6"/>
    <w:rsid w:val="3D12042F"/>
    <w:rsid w:val="3D1E06B7"/>
    <w:rsid w:val="3D3E1BE3"/>
    <w:rsid w:val="3D5E5115"/>
    <w:rsid w:val="3D655CF2"/>
    <w:rsid w:val="3D6F7148"/>
    <w:rsid w:val="3DB57251"/>
    <w:rsid w:val="3DE25B6C"/>
    <w:rsid w:val="3DEE239C"/>
    <w:rsid w:val="3E2E6081"/>
    <w:rsid w:val="3E4B54BF"/>
    <w:rsid w:val="3E5794DB"/>
    <w:rsid w:val="3E5C147A"/>
    <w:rsid w:val="3E6F38A3"/>
    <w:rsid w:val="3E6F78DB"/>
    <w:rsid w:val="3E9A24A3"/>
    <w:rsid w:val="3EBE1F89"/>
    <w:rsid w:val="3ED91198"/>
    <w:rsid w:val="3EDA0523"/>
    <w:rsid w:val="3EE81693"/>
    <w:rsid w:val="3EFBEBB2"/>
    <w:rsid w:val="3EFFF025"/>
    <w:rsid w:val="3F10683A"/>
    <w:rsid w:val="3F424B14"/>
    <w:rsid w:val="3F478C4A"/>
    <w:rsid w:val="3F6C7DE3"/>
    <w:rsid w:val="3F7ECF62"/>
    <w:rsid w:val="3F7F1805"/>
    <w:rsid w:val="3F870779"/>
    <w:rsid w:val="3F8E5FAB"/>
    <w:rsid w:val="3FB34064"/>
    <w:rsid w:val="3FBD5AA2"/>
    <w:rsid w:val="3FC522F3"/>
    <w:rsid w:val="3FCC262F"/>
    <w:rsid w:val="3FD02685"/>
    <w:rsid w:val="3FE1257F"/>
    <w:rsid w:val="3FF550FA"/>
    <w:rsid w:val="3FF77D9C"/>
    <w:rsid w:val="3FFCAC29"/>
    <w:rsid w:val="3FFFFCD8"/>
    <w:rsid w:val="4001677D"/>
    <w:rsid w:val="40125821"/>
    <w:rsid w:val="4014239C"/>
    <w:rsid w:val="40316936"/>
    <w:rsid w:val="403A57EB"/>
    <w:rsid w:val="405F16F6"/>
    <w:rsid w:val="40630C22"/>
    <w:rsid w:val="407A6407"/>
    <w:rsid w:val="40D519B8"/>
    <w:rsid w:val="40E90FBF"/>
    <w:rsid w:val="4101455B"/>
    <w:rsid w:val="411E5285"/>
    <w:rsid w:val="41265D6F"/>
    <w:rsid w:val="412D2C8C"/>
    <w:rsid w:val="412D70FE"/>
    <w:rsid w:val="41344930"/>
    <w:rsid w:val="413C37E5"/>
    <w:rsid w:val="413F78DB"/>
    <w:rsid w:val="41401527"/>
    <w:rsid w:val="414601C0"/>
    <w:rsid w:val="414F3518"/>
    <w:rsid w:val="414F3FE4"/>
    <w:rsid w:val="4151103E"/>
    <w:rsid w:val="416269F5"/>
    <w:rsid w:val="416635F6"/>
    <w:rsid w:val="41807B75"/>
    <w:rsid w:val="41B11ADD"/>
    <w:rsid w:val="41B220EF"/>
    <w:rsid w:val="41B810BD"/>
    <w:rsid w:val="41D4523D"/>
    <w:rsid w:val="4200449D"/>
    <w:rsid w:val="420D2A9B"/>
    <w:rsid w:val="42114C71"/>
    <w:rsid w:val="42246753"/>
    <w:rsid w:val="423A3BCC"/>
    <w:rsid w:val="423F5F51"/>
    <w:rsid w:val="424E57D2"/>
    <w:rsid w:val="42665AAD"/>
    <w:rsid w:val="427174BE"/>
    <w:rsid w:val="428216CB"/>
    <w:rsid w:val="428C5620"/>
    <w:rsid w:val="429026A4"/>
    <w:rsid w:val="429733C9"/>
    <w:rsid w:val="42984A4B"/>
    <w:rsid w:val="429B1836"/>
    <w:rsid w:val="429F22FA"/>
    <w:rsid w:val="42B26C49"/>
    <w:rsid w:val="42B86E9B"/>
    <w:rsid w:val="42EB7271"/>
    <w:rsid w:val="42F02AD9"/>
    <w:rsid w:val="42FE51F6"/>
    <w:rsid w:val="43234C5C"/>
    <w:rsid w:val="433A6FE6"/>
    <w:rsid w:val="43452E25"/>
    <w:rsid w:val="43480868"/>
    <w:rsid w:val="4350713C"/>
    <w:rsid w:val="436653E0"/>
    <w:rsid w:val="43670860"/>
    <w:rsid w:val="439B56EC"/>
    <w:rsid w:val="43A51B15"/>
    <w:rsid w:val="43B27D8E"/>
    <w:rsid w:val="43B91888"/>
    <w:rsid w:val="43C4431A"/>
    <w:rsid w:val="43C875B2"/>
    <w:rsid w:val="43D23F8D"/>
    <w:rsid w:val="4403125D"/>
    <w:rsid w:val="44113A10"/>
    <w:rsid w:val="44387433"/>
    <w:rsid w:val="444E7AB7"/>
    <w:rsid w:val="445350CD"/>
    <w:rsid w:val="447D039C"/>
    <w:rsid w:val="448736B1"/>
    <w:rsid w:val="44B951CC"/>
    <w:rsid w:val="44CD14E0"/>
    <w:rsid w:val="44F20B0B"/>
    <w:rsid w:val="4504461A"/>
    <w:rsid w:val="450A167D"/>
    <w:rsid w:val="450D1720"/>
    <w:rsid w:val="452E5F4C"/>
    <w:rsid w:val="45482758"/>
    <w:rsid w:val="45561319"/>
    <w:rsid w:val="45612018"/>
    <w:rsid w:val="45616DE1"/>
    <w:rsid w:val="45630354"/>
    <w:rsid w:val="456655E3"/>
    <w:rsid w:val="45724207"/>
    <w:rsid w:val="458946E9"/>
    <w:rsid w:val="45A47C0E"/>
    <w:rsid w:val="45A608E2"/>
    <w:rsid w:val="45C53DA9"/>
    <w:rsid w:val="45CF2E79"/>
    <w:rsid w:val="45DA351F"/>
    <w:rsid w:val="45EA24AB"/>
    <w:rsid w:val="45FD5BC5"/>
    <w:rsid w:val="46000A53"/>
    <w:rsid w:val="46205483"/>
    <w:rsid w:val="46325030"/>
    <w:rsid w:val="46336C3B"/>
    <w:rsid w:val="46577FD6"/>
    <w:rsid w:val="46B43DEC"/>
    <w:rsid w:val="46B81836"/>
    <w:rsid w:val="46D955A7"/>
    <w:rsid w:val="46DE0B39"/>
    <w:rsid w:val="46E42955"/>
    <w:rsid w:val="470D7A02"/>
    <w:rsid w:val="47133957"/>
    <w:rsid w:val="47550B6D"/>
    <w:rsid w:val="47574ED5"/>
    <w:rsid w:val="475B4E56"/>
    <w:rsid w:val="475F2C45"/>
    <w:rsid w:val="47775669"/>
    <w:rsid w:val="477B7A99"/>
    <w:rsid w:val="4785663F"/>
    <w:rsid w:val="47881532"/>
    <w:rsid w:val="478B789D"/>
    <w:rsid w:val="47A07E0C"/>
    <w:rsid w:val="47A23E23"/>
    <w:rsid w:val="47AB5220"/>
    <w:rsid w:val="47C167F2"/>
    <w:rsid w:val="47D209FF"/>
    <w:rsid w:val="47EA5D49"/>
    <w:rsid w:val="47FE17F4"/>
    <w:rsid w:val="47FF2BDD"/>
    <w:rsid w:val="47FFAD80"/>
    <w:rsid w:val="481C1C7A"/>
    <w:rsid w:val="482370A3"/>
    <w:rsid w:val="48541414"/>
    <w:rsid w:val="48687DB9"/>
    <w:rsid w:val="4870272E"/>
    <w:rsid w:val="4893597E"/>
    <w:rsid w:val="48A01213"/>
    <w:rsid w:val="48AC2FFE"/>
    <w:rsid w:val="48CF1DA0"/>
    <w:rsid w:val="48F7696F"/>
    <w:rsid w:val="490E3CB9"/>
    <w:rsid w:val="492434DC"/>
    <w:rsid w:val="493C25D4"/>
    <w:rsid w:val="4944498D"/>
    <w:rsid w:val="494F2E97"/>
    <w:rsid w:val="496D6C31"/>
    <w:rsid w:val="49725FF6"/>
    <w:rsid w:val="49B26D3A"/>
    <w:rsid w:val="49B4170B"/>
    <w:rsid w:val="49B50217"/>
    <w:rsid w:val="49BE7413"/>
    <w:rsid w:val="49CC7DFC"/>
    <w:rsid w:val="49DC7715"/>
    <w:rsid w:val="49F64E79"/>
    <w:rsid w:val="49FB48A2"/>
    <w:rsid w:val="4A023139"/>
    <w:rsid w:val="4A4756D4"/>
    <w:rsid w:val="4A5D532D"/>
    <w:rsid w:val="4A6B4C9A"/>
    <w:rsid w:val="4A6F4C2B"/>
    <w:rsid w:val="4A7B576F"/>
    <w:rsid w:val="4A7F1081"/>
    <w:rsid w:val="4AAC7812"/>
    <w:rsid w:val="4AB72F16"/>
    <w:rsid w:val="4AF31118"/>
    <w:rsid w:val="4AF55130"/>
    <w:rsid w:val="4AF561A9"/>
    <w:rsid w:val="4AF84C20"/>
    <w:rsid w:val="4B101F6A"/>
    <w:rsid w:val="4B2772B4"/>
    <w:rsid w:val="4B29302C"/>
    <w:rsid w:val="4B320132"/>
    <w:rsid w:val="4B4B6AFE"/>
    <w:rsid w:val="4B92472D"/>
    <w:rsid w:val="4B981E4E"/>
    <w:rsid w:val="4BC32B39"/>
    <w:rsid w:val="4BC95CA2"/>
    <w:rsid w:val="4BCA5A3B"/>
    <w:rsid w:val="4BD84979"/>
    <w:rsid w:val="4BED22AB"/>
    <w:rsid w:val="4BF52F0E"/>
    <w:rsid w:val="4BF947AC"/>
    <w:rsid w:val="4C0D64AA"/>
    <w:rsid w:val="4C10554C"/>
    <w:rsid w:val="4C303F46"/>
    <w:rsid w:val="4C3262BB"/>
    <w:rsid w:val="4C3C28EB"/>
    <w:rsid w:val="4C480112"/>
    <w:rsid w:val="4C4A0649"/>
    <w:rsid w:val="4C563AAB"/>
    <w:rsid w:val="4C6053BE"/>
    <w:rsid w:val="4C6707F9"/>
    <w:rsid w:val="4C7402D7"/>
    <w:rsid w:val="4C7E5ECA"/>
    <w:rsid w:val="4C876AA5"/>
    <w:rsid w:val="4C8F5111"/>
    <w:rsid w:val="4C9D5A7F"/>
    <w:rsid w:val="4CDE5AEF"/>
    <w:rsid w:val="4CE27936"/>
    <w:rsid w:val="4CF04AC0"/>
    <w:rsid w:val="4D0E00FB"/>
    <w:rsid w:val="4D176606"/>
    <w:rsid w:val="4D2E027D"/>
    <w:rsid w:val="4D381304"/>
    <w:rsid w:val="4D425594"/>
    <w:rsid w:val="4D602609"/>
    <w:rsid w:val="4D6363BA"/>
    <w:rsid w:val="4D6646B1"/>
    <w:rsid w:val="4DCE3A17"/>
    <w:rsid w:val="4DD76224"/>
    <w:rsid w:val="4DE66248"/>
    <w:rsid w:val="4DEC4FB0"/>
    <w:rsid w:val="4DF71011"/>
    <w:rsid w:val="4E075D8A"/>
    <w:rsid w:val="4E222FDC"/>
    <w:rsid w:val="4E445B45"/>
    <w:rsid w:val="4E4F4B57"/>
    <w:rsid w:val="4E6A7BE3"/>
    <w:rsid w:val="4E7D369B"/>
    <w:rsid w:val="4E9971E8"/>
    <w:rsid w:val="4EAF3F8C"/>
    <w:rsid w:val="4EB7595F"/>
    <w:rsid w:val="4EB8094F"/>
    <w:rsid w:val="4EC00FAD"/>
    <w:rsid w:val="4EF6643B"/>
    <w:rsid w:val="4EFCC15E"/>
    <w:rsid w:val="4EFD0A57"/>
    <w:rsid w:val="4F111E0D"/>
    <w:rsid w:val="4F1560AE"/>
    <w:rsid w:val="4F361873"/>
    <w:rsid w:val="4F381487"/>
    <w:rsid w:val="4F3B1A22"/>
    <w:rsid w:val="4F5CE587"/>
    <w:rsid w:val="4F754A92"/>
    <w:rsid w:val="4F7753EB"/>
    <w:rsid w:val="4F980A69"/>
    <w:rsid w:val="4F9843DC"/>
    <w:rsid w:val="4FC62A8C"/>
    <w:rsid w:val="4FE20F0D"/>
    <w:rsid w:val="4FE51552"/>
    <w:rsid w:val="4FED287A"/>
    <w:rsid w:val="5012408F"/>
    <w:rsid w:val="501F0559"/>
    <w:rsid w:val="502A7E27"/>
    <w:rsid w:val="502E071A"/>
    <w:rsid w:val="504464B2"/>
    <w:rsid w:val="50504C4B"/>
    <w:rsid w:val="50591CBD"/>
    <w:rsid w:val="50593A6B"/>
    <w:rsid w:val="507408A5"/>
    <w:rsid w:val="50822DBF"/>
    <w:rsid w:val="50854E71"/>
    <w:rsid w:val="509C6E7C"/>
    <w:rsid w:val="50AB003F"/>
    <w:rsid w:val="50B703B4"/>
    <w:rsid w:val="50BB64D4"/>
    <w:rsid w:val="50C71CFC"/>
    <w:rsid w:val="50DE1214"/>
    <w:rsid w:val="50EC0D83"/>
    <w:rsid w:val="50FB2D75"/>
    <w:rsid w:val="50FE31A9"/>
    <w:rsid w:val="51085492"/>
    <w:rsid w:val="51165E00"/>
    <w:rsid w:val="51497F84"/>
    <w:rsid w:val="5162104E"/>
    <w:rsid w:val="519A448E"/>
    <w:rsid w:val="51AC406F"/>
    <w:rsid w:val="51B64EEE"/>
    <w:rsid w:val="51DD38FD"/>
    <w:rsid w:val="51E27A91"/>
    <w:rsid w:val="51EF7B88"/>
    <w:rsid w:val="51F72910"/>
    <w:rsid w:val="52035925"/>
    <w:rsid w:val="52181704"/>
    <w:rsid w:val="523072B3"/>
    <w:rsid w:val="52483D98"/>
    <w:rsid w:val="52497B10"/>
    <w:rsid w:val="52636E23"/>
    <w:rsid w:val="52B75DE8"/>
    <w:rsid w:val="52DD482F"/>
    <w:rsid w:val="52E95517"/>
    <w:rsid w:val="52F7756C"/>
    <w:rsid w:val="53021ACF"/>
    <w:rsid w:val="53226DCB"/>
    <w:rsid w:val="532A575A"/>
    <w:rsid w:val="53670B95"/>
    <w:rsid w:val="53690833"/>
    <w:rsid w:val="537FF75C"/>
    <w:rsid w:val="53972A81"/>
    <w:rsid w:val="53A039CC"/>
    <w:rsid w:val="53A1505A"/>
    <w:rsid w:val="53A21BCD"/>
    <w:rsid w:val="53B460FE"/>
    <w:rsid w:val="53C41B44"/>
    <w:rsid w:val="53C438F2"/>
    <w:rsid w:val="53C6692F"/>
    <w:rsid w:val="53D31D87"/>
    <w:rsid w:val="53DB192C"/>
    <w:rsid w:val="53F87A3F"/>
    <w:rsid w:val="54005C25"/>
    <w:rsid w:val="54063E08"/>
    <w:rsid w:val="543437E8"/>
    <w:rsid w:val="543F11CA"/>
    <w:rsid w:val="545D5AF4"/>
    <w:rsid w:val="549239F0"/>
    <w:rsid w:val="54C17E31"/>
    <w:rsid w:val="54D51B2F"/>
    <w:rsid w:val="54DC72B2"/>
    <w:rsid w:val="54F73313"/>
    <w:rsid w:val="54F80955"/>
    <w:rsid w:val="55005333"/>
    <w:rsid w:val="55050666"/>
    <w:rsid w:val="55061CE8"/>
    <w:rsid w:val="551507E3"/>
    <w:rsid w:val="55216B22"/>
    <w:rsid w:val="55256612"/>
    <w:rsid w:val="55264138"/>
    <w:rsid w:val="55484C34"/>
    <w:rsid w:val="555170A7"/>
    <w:rsid w:val="555C41C9"/>
    <w:rsid w:val="55733821"/>
    <w:rsid w:val="5587536D"/>
    <w:rsid w:val="559B174B"/>
    <w:rsid w:val="55AD03B6"/>
    <w:rsid w:val="55B66898"/>
    <w:rsid w:val="55BD5654"/>
    <w:rsid w:val="55CE0CF4"/>
    <w:rsid w:val="55E02539"/>
    <w:rsid w:val="55E738C7"/>
    <w:rsid w:val="55F14746"/>
    <w:rsid w:val="55FE6018"/>
    <w:rsid w:val="563263D1"/>
    <w:rsid w:val="56372AA1"/>
    <w:rsid w:val="564E304F"/>
    <w:rsid w:val="565D002E"/>
    <w:rsid w:val="56780F70"/>
    <w:rsid w:val="5685418E"/>
    <w:rsid w:val="568E6439"/>
    <w:rsid w:val="569E29B2"/>
    <w:rsid w:val="56B22A9C"/>
    <w:rsid w:val="56DF63E7"/>
    <w:rsid w:val="56E542AB"/>
    <w:rsid w:val="570861EB"/>
    <w:rsid w:val="570A1F63"/>
    <w:rsid w:val="570C1274"/>
    <w:rsid w:val="571F5261"/>
    <w:rsid w:val="57454278"/>
    <w:rsid w:val="57521214"/>
    <w:rsid w:val="57523381"/>
    <w:rsid w:val="57581340"/>
    <w:rsid w:val="57792C45"/>
    <w:rsid w:val="57A765DE"/>
    <w:rsid w:val="57B72A76"/>
    <w:rsid w:val="57BA21BF"/>
    <w:rsid w:val="57C3426C"/>
    <w:rsid w:val="57CE1F93"/>
    <w:rsid w:val="57DE0CFA"/>
    <w:rsid w:val="57EF8A44"/>
    <w:rsid w:val="57FE314A"/>
    <w:rsid w:val="582052DF"/>
    <w:rsid w:val="582F0470"/>
    <w:rsid w:val="583B614D"/>
    <w:rsid w:val="585711D8"/>
    <w:rsid w:val="58605301"/>
    <w:rsid w:val="58801E3E"/>
    <w:rsid w:val="588743D1"/>
    <w:rsid w:val="5887701A"/>
    <w:rsid w:val="58A14202"/>
    <w:rsid w:val="58BC103B"/>
    <w:rsid w:val="58D02D39"/>
    <w:rsid w:val="58D565A1"/>
    <w:rsid w:val="58D8399B"/>
    <w:rsid w:val="58DF1EA0"/>
    <w:rsid w:val="592129AE"/>
    <w:rsid w:val="592C4D06"/>
    <w:rsid w:val="592F5CB1"/>
    <w:rsid w:val="59442A10"/>
    <w:rsid w:val="596174A9"/>
    <w:rsid w:val="5966544B"/>
    <w:rsid w:val="59684D1F"/>
    <w:rsid w:val="59722042"/>
    <w:rsid w:val="5976568E"/>
    <w:rsid w:val="59B71030"/>
    <w:rsid w:val="59B82DE0"/>
    <w:rsid w:val="59B91A1F"/>
    <w:rsid w:val="59C0439F"/>
    <w:rsid w:val="59CF1242"/>
    <w:rsid w:val="59D538CC"/>
    <w:rsid w:val="59EFF42B"/>
    <w:rsid w:val="59F0543D"/>
    <w:rsid w:val="5A027EB7"/>
    <w:rsid w:val="5A380B96"/>
    <w:rsid w:val="5A437BF3"/>
    <w:rsid w:val="5A587D04"/>
    <w:rsid w:val="5A733B2F"/>
    <w:rsid w:val="5A746754"/>
    <w:rsid w:val="5ABC17C7"/>
    <w:rsid w:val="5ABE2233"/>
    <w:rsid w:val="5ABE34B5"/>
    <w:rsid w:val="5ABF04E5"/>
    <w:rsid w:val="5AD703AE"/>
    <w:rsid w:val="5B152C85"/>
    <w:rsid w:val="5B223D51"/>
    <w:rsid w:val="5B264E92"/>
    <w:rsid w:val="5B3C2907"/>
    <w:rsid w:val="5B3E042E"/>
    <w:rsid w:val="5B58347F"/>
    <w:rsid w:val="5B5C6B06"/>
    <w:rsid w:val="5B6F4A8B"/>
    <w:rsid w:val="5B7667EC"/>
    <w:rsid w:val="5BA81D4B"/>
    <w:rsid w:val="5BC75753"/>
    <w:rsid w:val="5BCB1B66"/>
    <w:rsid w:val="5BD13092"/>
    <w:rsid w:val="5BDF5D95"/>
    <w:rsid w:val="5BE36E08"/>
    <w:rsid w:val="5BEB0156"/>
    <w:rsid w:val="5BFE7528"/>
    <w:rsid w:val="5C4411DA"/>
    <w:rsid w:val="5C642423"/>
    <w:rsid w:val="5CBF10FA"/>
    <w:rsid w:val="5CD252D1"/>
    <w:rsid w:val="5CE77D3C"/>
    <w:rsid w:val="5CEBC8BC"/>
    <w:rsid w:val="5CFD0AFF"/>
    <w:rsid w:val="5D06275B"/>
    <w:rsid w:val="5D131446"/>
    <w:rsid w:val="5D274799"/>
    <w:rsid w:val="5D275124"/>
    <w:rsid w:val="5D7A1C8B"/>
    <w:rsid w:val="5D852344"/>
    <w:rsid w:val="5D901D26"/>
    <w:rsid w:val="5D92643E"/>
    <w:rsid w:val="5DB1033D"/>
    <w:rsid w:val="5DB20E44"/>
    <w:rsid w:val="5DB26C76"/>
    <w:rsid w:val="5DC15346"/>
    <w:rsid w:val="5DD13320"/>
    <w:rsid w:val="5DFDA1F5"/>
    <w:rsid w:val="5DFF7913"/>
    <w:rsid w:val="5E0C14B0"/>
    <w:rsid w:val="5E2467F1"/>
    <w:rsid w:val="5E3E0745"/>
    <w:rsid w:val="5E4D0988"/>
    <w:rsid w:val="5E7F49D4"/>
    <w:rsid w:val="5E923E8F"/>
    <w:rsid w:val="5E9860A7"/>
    <w:rsid w:val="5EABE8A4"/>
    <w:rsid w:val="5EC61DC6"/>
    <w:rsid w:val="5ECF3E31"/>
    <w:rsid w:val="5ED46D8B"/>
    <w:rsid w:val="5EFA1B8D"/>
    <w:rsid w:val="5EFC801E"/>
    <w:rsid w:val="5F061262"/>
    <w:rsid w:val="5F1A2B43"/>
    <w:rsid w:val="5F2142EE"/>
    <w:rsid w:val="5F2217D7"/>
    <w:rsid w:val="5F381638"/>
    <w:rsid w:val="5F5244A8"/>
    <w:rsid w:val="5F5A4218"/>
    <w:rsid w:val="5F5C5FB8"/>
    <w:rsid w:val="5F6D39AA"/>
    <w:rsid w:val="5F7764FA"/>
    <w:rsid w:val="5F795ED8"/>
    <w:rsid w:val="5F7A1C50"/>
    <w:rsid w:val="5F814D8D"/>
    <w:rsid w:val="5F9BD185"/>
    <w:rsid w:val="5FB23198"/>
    <w:rsid w:val="5FB72A79"/>
    <w:rsid w:val="5FB837BB"/>
    <w:rsid w:val="5FBA204D"/>
    <w:rsid w:val="5FDE5D05"/>
    <w:rsid w:val="5FEFDB4C"/>
    <w:rsid w:val="5FF160F1"/>
    <w:rsid w:val="5FFB2E69"/>
    <w:rsid w:val="5FFC2665"/>
    <w:rsid w:val="5FFECB60"/>
    <w:rsid w:val="5FFF044C"/>
    <w:rsid w:val="5FFF14B0"/>
    <w:rsid w:val="5FFF4FE7"/>
    <w:rsid w:val="600E311C"/>
    <w:rsid w:val="603040BD"/>
    <w:rsid w:val="60363DC9"/>
    <w:rsid w:val="603B14CB"/>
    <w:rsid w:val="60432042"/>
    <w:rsid w:val="60433DF0"/>
    <w:rsid w:val="605808A3"/>
    <w:rsid w:val="605B3830"/>
    <w:rsid w:val="60663A3F"/>
    <w:rsid w:val="606700E4"/>
    <w:rsid w:val="607466A0"/>
    <w:rsid w:val="609520D5"/>
    <w:rsid w:val="60C70EC5"/>
    <w:rsid w:val="60CC405A"/>
    <w:rsid w:val="60D338C2"/>
    <w:rsid w:val="60D86C2E"/>
    <w:rsid w:val="60E618D8"/>
    <w:rsid w:val="60FF065F"/>
    <w:rsid w:val="61232583"/>
    <w:rsid w:val="61265BEC"/>
    <w:rsid w:val="61677179"/>
    <w:rsid w:val="619743F4"/>
    <w:rsid w:val="61AE798F"/>
    <w:rsid w:val="61B96379"/>
    <w:rsid w:val="61D94A0C"/>
    <w:rsid w:val="61E215D8"/>
    <w:rsid w:val="621B3775"/>
    <w:rsid w:val="62216AA8"/>
    <w:rsid w:val="62364782"/>
    <w:rsid w:val="623D18BA"/>
    <w:rsid w:val="62436329"/>
    <w:rsid w:val="62614A02"/>
    <w:rsid w:val="6263230B"/>
    <w:rsid w:val="62662018"/>
    <w:rsid w:val="62735116"/>
    <w:rsid w:val="62764951"/>
    <w:rsid w:val="627920B2"/>
    <w:rsid w:val="62FFC6CC"/>
    <w:rsid w:val="63131A3E"/>
    <w:rsid w:val="633F2F95"/>
    <w:rsid w:val="63440380"/>
    <w:rsid w:val="634C721A"/>
    <w:rsid w:val="636522D0"/>
    <w:rsid w:val="639130C5"/>
    <w:rsid w:val="6394356A"/>
    <w:rsid w:val="639C03E7"/>
    <w:rsid w:val="63A454EE"/>
    <w:rsid w:val="63B47E90"/>
    <w:rsid w:val="63B85F8A"/>
    <w:rsid w:val="63C61B2C"/>
    <w:rsid w:val="63D40BE9"/>
    <w:rsid w:val="63EF08D9"/>
    <w:rsid w:val="63F7A4E0"/>
    <w:rsid w:val="63FE69AC"/>
    <w:rsid w:val="640D6BEF"/>
    <w:rsid w:val="64102431"/>
    <w:rsid w:val="64185851"/>
    <w:rsid w:val="64486756"/>
    <w:rsid w:val="644F0FB6"/>
    <w:rsid w:val="6455489E"/>
    <w:rsid w:val="646A2293"/>
    <w:rsid w:val="64947D16"/>
    <w:rsid w:val="64A5243A"/>
    <w:rsid w:val="64AA08E2"/>
    <w:rsid w:val="64C323E4"/>
    <w:rsid w:val="64E956A2"/>
    <w:rsid w:val="64F531DE"/>
    <w:rsid w:val="6504445F"/>
    <w:rsid w:val="65223308"/>
    <w:rsid w:val="65373578"/>
    <w:rsid w:val="65562452"/>
    <w:rsid w:val="655A374A"/>
    <w:rsid w:val="657F1D6E"/>
    <w:rsid w:val="659B206D"/>
    <w:rsid w:val="65AD2209"/>
    <w:rsid w:val="65D57BE0"/>
    <w:rsid w:val="65F04A1A"/>
    <w:rsid w:val="66292E88"/>
    <w:rsid w:val="6646463A"/>
    <w:rsid w:val="664856F2"/>
    <w:rsid w:val="667DCE8A"/>
    <w:rsid w:val="66AA4BC9"/>
    <w:rsid w:val="66AC1952"/>
    <w:rsid w:val="66B45A48"/>
    <w:rsid w:val="66C739CD"/>
    <w:rsid w:val="66DF0012"/>
    <w:rsid w:val="66E31E89"/>
    <w:rsid w:val="66E77739"/>
    <w:rsid w:val="66F83B86"/>
    <w:rsid w:val="670F0ED0"/>
    <w:rsid w:val="671C39B6"/>
    <w:rsid w:val="671F124A"/>
    <w:rsid w:val="673565FE"/>
    <w:rsid w:val="67700F1C"/>
    <w:rsid w:val="67786A75"/>
    <w:rsid w:val="6779080D"/>
    <w:rsid w:val="677A33C6"/>
    <w:rsid w:val="677FC807"/>
    <w:rsid w:val="67BCF0B1"/>
    <w:rsid w:val="67BF7595"/>
    <w:rsid w:val="67DF26E0"/>
    <w:rsid w:val="67EE0585"/>
    <w:rsid w:val="67F5160A"/>
    <w:rsid w:val="67F56318"/>
    <w:rsid w:val="67F7E0DA"/>
    <w:rsid w:val="67FFB516"/>
    <w:rsid w:val="681F6961"/>
    <w:rsid w:val="682A2E18"/>
    <w:rsid w:val="683A5F02"/>
    <w:rsid w:val="6842528B"/>
    <w:rsid w:val="685E4D54"/>
    <w:rsid w:val="68610A2F"/>
    <w:rsid w:val="686471D1"/>
    <w:rsid w:val="68774F7F"/>
    <w:rsid w:val="68805514"/>
    <w:rsid w:val="688558EE"/>
    <w:rsid w:val="688D3DB6"/>
    <w:rsid w:val="68925915"/>
    <w:rsid w:val="68BE4352"/>
    <w:rsid w:val="68FE2FAA"/>
    <w:rsid w:val="69316E2F"/>
    <w:rsid w:val="694E2071"/>
    <w:rsid w:val="69766163"/>
    <w:rsid w:val="697A3B33"/>
    <w:rsid w:val="697E62EA"/>
    <w:rsid w:val="69847953"/>
    <w:rsid w:val="6985191D"/>
    <w:rsid w:val="69CC61E8"/>
    <w:rsid w:val="69D44760"/>
    <w:rsid w:val="69F9444E"/>
    <w:rsid w:val="69FF347E"/>
    <w:rsid w:val="6A294BE3"/>
    <w:rsid w:val="6A326A99"/>
    <w:rsid w:val="6A372C18"/>
    <w:rsid w:val="6A520EC7"/>
    <w:rsid w:val="6A6B3CFB"/>
    <w:rsid w:val="6A6D03E7"/>
    <w:rsid w:val="6A7A0D56"/>
    <w:rsid w:val="6AA67D9D"/>
    <w:rsid w:val="6AB57FE0"/>
    <w:rsid w:val="6AC00E5F"/>
    <w:rsid w:val="6AF87E20"/>
    <w:rsid w:val="6B322639"/>
    <w:rsid w:val="6B4355EC"/>
    <w:rsid w:val="6B4849B1"/>
    <w:rsid w:val="6B4D2364"/>
    <w:rsid w:val="6B5CF28D"/>
    <w:rsid w:val="6B5F97E0"/>
    <w:rsid w:val="6B735ED1"/>
    <w:rsid w:val="6B893BA3"/>
    <w:rsid w:val="6B9419A4"/>
    <w:rsid w:val="6B9F313A"/>
    <w:rsid w:val="6BA81CC8"/>
    <w:rsid w:val="6BEE2322"/>
    <w:rsid w:val="6BFF2170"/>
    <w:rsid w:val="6C021003"/>
    <w:rsid w:val="6C150CE0"/>
    <w:rsid w:val="6C2D0B34"/>
    <w:rsid w:val="6C307222"/>
    <w:rsid w:val="6C553829"/>
    <w:rsid w:val="6C636C38"/>
    <w:rsid w:val="6C8B2DA7"/>
    <w:rsid w:val="6CB87914"/>
    <w:rsid w:val="6CBD7256"/>
    <w:rsid w:val="6CE233B9"/>
    <w:rsid w:val="6CF23940"/>
    <w:rsid w:val="6CF7B9D2"/>
    <w:rsid w:val="6CFF9036"/>
    <w:rsid w:val="6D0B1BA5"/>
    <w:rsid w:val="6D147240"/>
    <w:rsid w:val="6D165BE9"/>
    <w:rsid w:val="6D34343E"/>
    <w:rsid w:val="6D3A657B"/>
    <w:rsid w:val="6D4A4A10"/>
    <w:rsid w:val="6D5728A1"/>
    <w:rsid w:val="6D5B6C1D"/>
    <w:rsid w:val="6D7FC0AA"/>
    <w:rsid w:val="6DA34120"/>
    <w:rsid w:val="6DB34098"/>
    <w:rsid w:val="6DB545B6"/>
    <w:rsid w:val="6DC21DEE"/>
    <w:rsid w:val="6DC24EEE"/>
    <w:rsid w:val="6DCBFBBD"/>
    <w:rsid w:val="6DCF3167"/>
    <w:rsid w:val="6DD00DDE"/>
    <w:rsid w:val="6DD662A4"/>
    <w:rsid w:val="6DE02FB4"/>
    <w:rsid w:val="6DF7DF0C"/>
    <w:rsid w:val="6E0C5BD3"/>
    <w:rsid w:val="6E0E03F4"/>
    <w:rsid w:val="6E312A10"/>
    <w:rsid w:val="6E3B4289"/>
    <w:rsid w:val="6E3D53FE"/>
    <w:rsid w:val="6E514CED"/>
    <w:rsid w:val="6E565636"/>
    <w:rsid w:val="6E587601"/>
    <w:rsid w:val="6E733302"/>
    <w:rsid w:val="6E95544B"/>
    <w:rsid w:val="6E96010E"/>
    <w:rsid w:val="6E9D0877"/>
    <w:rsid w:val="6E9D3265"/>
    <w:rsid w:val="6EA168B2"/>
    <w:rsid w:val="6EAB3334"/>
    <w:rsid w:val="6EB563D5"/>
    <w:rsid w:val="6EC207A9"/>
    <w:rsid w:val="6ED92677"/>
    <w:rsid w:val="6EF3AA56"/>
    <w:rsid w:val="6EF81860"/>
    <w:rsid w:val="6EFEA685"/>
    <w:rsid w:val="6F225983"/>
    <w:rsid w:val="6F2B261F"/>
    <w:rsid w:val="6F381229"/>
    <w:rsid w:val="6F5B73A8"/>
    <w:rsid w:val="6F6F20E7"/>
    <w:rsid w:val="6F71097A"/>
    <w:rsid w:val="6F773AB6"/>
    <w:rsid w:val="6F7C5EAC"/>
    <w:rsid w:val="6F7D379F"/>
    <w:rsid w:val="6F7EA123"/>
    <w:rsid w:val="6F7F5EA2"/>
    <w:rsid w:val="6F80296B"/>
    <w:rsid w:val="6FB62831"/>
    <w:rsid w:val="6FBE008F"/>
    <w:rsid w:val="6FBE3B53"/>
    <w:rsid w:val="6FBF06FF"/>
    <w:rsid w:val="6FC30AAA"/>
    <w:rsid w:val="6FC6EB77"/>
    <w:rsid w:val="6FDD59D2"/>
    <w:rsid w:val="6FF450B2"/>
    <w:rsid w:val="6FFA31F0"/>
    <w:rsid w:val="6FFC5590"/>
    <w:rsid w:val="6FFE6B38"/>
    <w:rsid w:val="6FFEE66F"/>
    <w:rsid w:val="6FFF228C"/>
    <w:rsid w:val="6FFFBB4D"/>
    <w:rsid w:val="70003AAC"/>
    <w:rsid w:val="700D7F77"/>
    <w:rsid w:val="703674CE"/>
    <w:rsid w:val="705A17F8"/>
    <w:rsid w:val="706D1DD0"/>
    <w:rsid w:val="707FD0B3"/>
    <w:rsid w:val="70856B87"/>
    <w:rsid w:val="709D0801"/>
    <w:rsid w:val="70A95EF1"/>
    <w:rsid w:val="70B328CC"/>
    <w:rsid w:val="70D527EE"/>
    <w:rsid w:val="70E70970"/>
    <w:rsid w:val="713A2FED"/>
    <w:rsid w:val="71456464"/>
    <w:rsid w:val="71477CCB"/>
    <w:rsid w:val="715B5300"/>
    <w:rsid w:val="717007BD"/>
    <w:rsid w:val="71762CAF"/>
    <w:rsid w:val="717E112C"/>
    <w:rsid w:val="71871A0A"/>
    <w:rsid w:val="7199201A"/>
    <w:rsid w:val="71B0505E"/>
    <w:rsid w:val="71B05423"/>
    <w:rsid w:val="71C9610D"/>
    <w:rsid w:val="71CB239B"/>
    <w:rsid w:val="71D27F8A"/>
    <w:rsid w:val="71D84CE0"/>
    <w:rsid w:val="71E60A7F"/>
    <w:rsid w:val="721B494A"/>
    <w:rsid w:val="72216C11"/>
    <w:rsid w:val="72450E78"/>
    <w:rsid w:val="724C4D86"/>
    <w:rsid w:val="72553024"/>
    <w:rsid w:val="726E11A1"/>
    <w:rsid w:val="7272257D"/>
    <w:rsid w:val="72957FA9"/>
    <w:rsid w:val="729A0BB7"/>
    <w:rsid w:val="729D3834"/>
    <w:rsid w:val="72B86F27"/>
    <w:rsid w:val="72C15774"/>
    <w:rsid w:val="72D60AF4"/>
    <w:rsid w:val="72DB349A"/>
    <w:rsid w:val="72DFCD9F"/>
    <w:rsid w:val="72E6342D"/>
    <w:rsid w:val="72FDE031"/>
    <w:rsid w:val="730258AB"/>
    <w:rsid w:val="73117D7E"/>
    <w:rsid w:val="73122968"/>
    <w:rsid w:val="731F5D5E"/>
    <w:rsid w:val="732DAE14"/>
    <w:rsid w:val="73552361"/>
    <w:rsid w:val="73973553"/>
    <w:rsid w:val="73C51AD5"/>
    <w:rsid w:val="73C70821"/>
    <w:rsid w:val="73D72649"/>
    <w:rsid w:val="73E15A39"/>
    <w:rsid w:val="741E793C"/>
    <w:rsid w:val="74575C64"/>
    <w:rsid w:val="745E3944"/>
    <w:rsid w:val="74767EE1"/>
    <w:rsid w:val="747B5DF7"/>
    <w:rsid w:val="748377BB"/>
    <w:rsid w:val="7487479C"/>
    <w:rsid w:val="74895A9B"/>
    <w:rsid w:val="748D72A1"/>
    <w:rsid w:val="74942A15"/>
    <w:rsid w:val="74947AEC"/>
    <w:rsid w:val="74B315B6"/>
    <w:rsid w:val="74D07EF1"/>
    <w:rsid w:val="74F70BA7"/>
    <w:rsid w:val="74F75E16"/>
    <w:rsid w:val="753B22D6"/>
    <w:rsid w:val="7546457C"/>
    <w:rsid w:val="756A17A5"/>
    <w:rsid w:val="75752846"/>
    <w:rsid w:val="758229C0"/>
    <w:rsid w:val="758F3128"/>
    <w:rsid w:val="75A77847"/>
    <w:rsid w:val="75B569F2"/>
    <w:rsid w:val="75BE41ED"/>
    <w:rsid w:val="75C94940"/>
    <w:rsid w:val="75CB4B5C"/>
    <w:rsid w:val="75D21F0E"/>
    <w:rsid w:val="75DC4673"/>
    <w:rsid w:val="75DCA0C6"/>
    <w:rsid w:val="75DCAB7F"/>
    <w:rsid w:val="75F65554"/>
    <w:rsid w:val="75FF35BD"/>
    <w:rsid w:val="76051E1C"/>
    <w:rsid w:val="76083A1F"/>
    <w:rsid w:val="7635099D"/>
    <w:rsid w:val="76383A07"/>
    <w:rsid w:val="764364A0"/>
    <w:rsid w:val="766215A0"/>
    <w:rsid w:val="7669A2F2"/>
    <w:rsid w:val="766A0B10"/>
    <w:rsid w:val="76756914"/>
    <w:rsid w:val="767ED3F9"/>
    <w:rsid w:val="76946CFC"/>
    <w:rsid w:val="769E5DCD"/>
    <w:rsid w:val="76A21419"/>
    <w:rsid w:val="76B9122E"/>
    <w:rsid w:val="76C7A076"/>
    <w:rsid w:val="76E2215D"/>
    <w:rsid w:val="770F2826"/>
    <w:rsid w:val="77244524"/>
    <w:rsid w:val="774820F5"/>
    <w:rsid w:val="774B7D02"/>
    <w:rsid w:val="774D3A7A"/>
    <w:rsid w:val="776E05FE"/>
    <w:rsid w:val="776FD543"/>
    <w:rsid w:val="77762421"/>
    <w:rsid w:val="777F4A4A"/>
    <w:rsid w:val="77B56B1F"/>
    <w:rsid w:val="77BDE405"/>
    <w:rsid w:val="77D71EA8"/>
    <w:rsid w:val="77DBCE3E"/>
    <w:rsid w:val="77DFEC2E"/>
    <w:rsid w:val="77FA1B81"/>
    <w:rsid w:val="77FE4831"/>
    <w:rsid w:val="77FE898D"/>
    <w:rsid w:val="77FF2BF3"/>
    <w:rsid w:val="77FF8767"/>
    <w:rsid w:val="780D77E0"/>
    <w:rsid w:val="780F09F4"/>
    <w:rsid w:val="78210A63"/>
    <w:rsid w:val="78263802"/>
    <w:rsid w:val="78374187"/>
    <w:rsid w:val="78414C61"/>
    <w:rsid w:val="7855070D"/>
    <w:rsid w:val="786D3CA8"/>
    <w:rsid w:val="786D5A56"/>
    <w:rsid w:val="78A90480"/>
    <w:rsid w:val="78C7160B"/>
    <w:rsid w:val="78FD038A"/>
    <w:rsid w:val="791F84FA"/>
    <w:rsid w:val="79733540"/>
    <w:rsid w:val="79735F8B"/>
    <w:rsid w:val="799F60E4"/>
    <w:rsid w:val="79AF62E6"/>
    <w:rsid w:val="79CB0C87"/>
    <w:rsid w:val="79CD5E7F"/>
    <w:rsid w:val="79CE35C0"/>
    <w:rsid w:val="79D264B9"/>
    <w:rsid w:val="79DFBE98"/>
    <w:rsid w:val="79F20909"/>
    <w:rsid w:val="79FF5FC9"/>
    <w:rsid w:val="7A0128FA"/>
    <w:rsid w:val="7A212F9C"/>
    <w:rsid w:val="7A3507F6"/>
    <w:rsid w:val="7A364017"/>
    <w:rsid w:val="7A416D33"/>
    <w:rsid w:val="7A46050B"/>
    <w:rsid w:val="7A63380E"/>
    <w:rsid w:val="7A71787B"/>
    <w:rsid w:val="7A811C8D"/>
    <w:rsid w:val="7A8265E1"/>
    <w:rsid w:val="7A87C930"/>
    <w:rsid w:val="7A9279F6"/>
    <w:rsid w:val="7AD718AD"/>
    <w:rsid w:val="7AEA5A84"/>
    <w:rsid w:val="7AEE7323"/>
    <w:rsid w:val="7AEF9B8F"/>
    <w:rsid w:val="7B05466C"/>
    <w:rsid w:val="7B0A1C83"/>
    <w:rsid w:val="7B193C74"/>
    <w:rsid w:val="7B1F8767"/>
    <w:rsid w:val="7B471DEA"/>
    <w:rsid w:val="7B686D42"/>
    <w:rsid w:val="7B6FA9A1"/>
    <w:rsid w:val="7B723435"/>
    <w:rsid w:val="7B7602F7"/>
    <w:rsid w:val="7B7D88CD"/>
    <w:rsid w:val="7B7F6AA7"/>
    <w:rsid w:val="7B813A64"/>
    <w:rsid w:val="7B841746"/>
    <w:rsid w:val="7B912423"/>
    <w:rsid w:val="7B933A26"/>
    <w:rsid w:val="7BB7EC31"/>
    <w:rsid w:val="7BDF8E3E"/>
    <w:rsid w:val="7BF42030"/>
    <w:rsid w:val="7BF7A223"/>
    <w:rsid w:val="7BFA3E64"/>
    <w:rsid w:val="7BFDEA9B"/>
    <w:rsid w:val="7C0466D2"/>
    <w:rsid w:val="7C1475F3"/>
    <w:rsid w:val="7C5E5DE2"/>
    <w:rsid w:val="7C61401F"/>
    <w:rsid w:val="7C6C5AC7"/>
    <w:rsid w:val="7C884F99"/>
    <w:rsid w:val="7C9C6796"/>
    <w:rsid w:val="7C9D6F80"/>
    <w:rsid w:val="7CAF2AE1"/>
    <w:rsid w:val="7CB023B6"/>
    <w:rsid w:val="7CC6544B"/>
    <w:rsid w:val="7CD95DB0"/>
    <w:rsid w:val="7CEA7F18"/>
    <w:rsid w:val="7CF62EA3"/>
    <w:rsid w:val="7CFD1A9F"/>
    <w:rsid w:val="7D0239FF"/>
    <w:rsid w:val="7D2E159E"/>
    <w:rsid w:val="7D384885"/>
    <w:rsid w:val="7D3B4375"/>
    <w:rsid w:val="7D3B6123"/>
    <w:rsid w:val="7D3D1E9B"/>
    <w:rsid w:val="7D420743"/>
    <w:rsid w:val="7D4D381A"/>
    <w:rsid w:val="7D5E40CD"/>
    <w:rsid w:val="7D5E460C"/>
    <w:rsid w:val="7D693BAB"/>
    <w:rsid w:val="7D6E02A7"/>
    <w:rsid w:val="7D7ED7E0"/>
    <w:rsid w:val="7D93A657"/>
    <w:rsid w:val="7DA173DB"/>
    <w:rsid w:val="7DAC0DCF"/>
    <w:rsid w:val="7DCD47F5"/>
    <w:rsid w:val="7DCD56F2"/>
    <w:rsid w:val="7DCFB0A8"/>
    <w:rsid w:val="7DDF6596"/>
    <w:rsid w:val="7DE65C21"/>
    <w:rsid w:val="7DF6004B"/>
    <w:rsid w:val="7DFE1E95"/>
    <w:rsid w:val="7DFF7895"/>
    <w:rsid w:val="7DFF8843"/>
    <w:rsid w:val="7E0445A8"/>
    <w:rsid w:val="7E0E49B1"/>
    <w:rsid w:val="7E299021"/>
    <w:rsid w:val="7E2C3CBE"/>
    <w:rsid w:val="7E3FF260"/>
    <w:rsid w:val="7E595AB3"/>
    <w:rsid w:val="7E747D04"/>
    <w:rsid w:val="7E7F5DE4"/>
    <w:rsid w:val="7E9F4088"/>
    <w:rsid w:val="7EA1791C"/>
    <w:rsid w:val="7EAFB60A"/>
    <w:rsid w:val="7EB20667"/>
    <w:rsid w:val="7EB84810"/>
    <w:rsid w:val="7ECB281E"/>
    <w:rsid w:val="7EF10B64"/>
    <w:rsid w:val="7F001CE7"/>
    <w:rsid w:val="7F0D2526"/>
    <w:rsid w:val="7F0E15C3"/>
    <w:rsid w:val="7F1D28A0"/>
    <w:rsid w:val="7F1FB57D"/>
    <w:rsid w:val="7F2442D3"/>
    <w:rsid w:val="7F392B36"/>
    <w:rsid w:val="7F3B065C"/>
    <w:rsid w:val="7F47362C"/>
    <w:rsid w:val="7F475176"/>
    <w:rsid w:val="7F54171E"/>
    <w:rsid w:val="7F57DD3D"/>
    <w:rsid w:val="7F5FF233"/>
    <w:rsid w:val="7F6AB74A"/>
    <w:rsid w:val="7F760E98"/>
    <w:rsid w:val="7F7F7D50"/>
    <w:rsid w:val="7F7F7FCA"/>
    <w:rsid w:val="7F99EBD4"/>
    <w:rsid w:val="7FA45F50"/>
    <w:rsid w:val="7FA7314A"/>
    <w:rsid w:val="7FADAA7A"/>
    <w:rsid w:val="7FB7007C"/>
    <w:rsid w:val="7FBBF960"/>
    <w:rsid w:val="7FBC180D"/>
    <w:rsid w:val="7FBF903F"/>
    <w:rsid w:val="7FC7ACF4"/>
    <w:rsid w:val="7FD52A15"/>
    <w:rsid w:val="7FD7F954"/>
    <w:rsid w:val="7FDC5B2D"/>
    <w:rsid w:val="7FDD1A22"/>
    <w:rsid w:val="7FDD3C7E"/>
    <w:rsid w:val="7FDF3344"/>
    <w:rsid w:val="7FE47E50"/>
    <w:rsid w:val="7FEFB4EF"/>
    <w:rsid w:val="7FF72400"/>
    <w:rsid w:val="7FF7B40B"/>
    <w:rsid w:val="7FFBCE39"/>
    <w:rsid w:val="7FFC01CE"/>
    <w:rsid w:val="7FFD3CEA"/>
    <w:rsid w:val="7FFEE633"/>
    <w:rsid w:val="7FFF96E1"/>
    <w:rsid w:val="7FFFA712"/>
    <w:rsid w:val="7FFFB075"/>
    <w:rsid w:val="7FFFB941"/>
    <w:rsid w:val="87A775A0"/>
    <w:rsid w:val="8F5EA6A3"/>
    <w:rsid w:val="8FD182BE"/>
    <w:rsid w:val="95FF416B"/>
    <w:rsid w:val="96DE79FD"/>
    <w:rsid w:val="96FD570C"/>
    <w:rsid w:val="97DD19CA"/>
    <w:rsid w:val="987FCE5F"/>
    <w:rsid w:val="99EFA9BE"/>
    <w:rsid w:val="9FFF9200"/>
    <w:rsid w:val="A6A7F953"/>
    <w:rsid w:val="A87E98C1"/>
    <w:rsid w:val="A98F16CF"/>
    <w:rsid w:val="AACF0E65"/>
    <w:rsid w:val="ABF74149"/>
    <w:rsid w:val="AF7F4C98"/>
    <w:rsid w:val="AFDF4073"/>
    <w:rsid w:val="B3F88FA4"/>
    <w:rsid w:val="B3FBF16F"/>
    <w:rsid w:val="B5F99FBF"/>
    <w:rsid w:val="B73BBE1F"/>
    <w:rsid w:val="B7FA2107"/>
    <w:rsid w:val="B8DBB5DD"/>
    <w:rsid w:val="BB1F701D"/>
    <w:rsid w:val="BB6EA2A1"/>
    <w:rsid w:val="BB7FDB69"/>
    <w:rsid w:val="BCFB2380"/>
    <w:rsid w:val="BDA7DB58"/>
    <w:rsid w:val="BDB37274"/>
    <w:rsid w:val="BE770172"/>
    <w:rsid w:val="BF73A269"/>
    <w:rsid w:val="BF9E97E1"/>
    <w:rsid w:val="BFBF9654"/>
    <w:rsid w:val="BFDF31A3"/>
    <w:rsid w:val="BFF7678D"/>
    <w:rsid w:val="BFFF3587"/>
    <w:rsid w:val="C3FEDE41"/>
    <w:rsid w:val="C71F4CDA"/>
    <w:rsid w:val="C73EB67B"/>
    <w:rsid w:val="C759CDC9"/>
    <w:rsid w:val="C77FBFB6"/>
    <w:rsid w:val="C9FC93A9"/>
    <w:rsid w:val="CBE0BF94"/>
    <w:rsid w:val="CD2F4AF1"/>
    <w:rsid w:val="CD7FB74A"/>
    <w:rsid w:val="CEF7C170"/>
    <w:rsid w:val="CF2FD2EC"/>
    <w:rsid w:val="CFBF0476"/>
    <w:rsid w:val="CFEE8190"/>
    <w:rsid w:val="CFEEB2ED"/>
    <w:rsid w:val="CFFB7295"/>
    <w:rsid w:val="D1F2128A"/>
    <w:rsid w:val="D2E36B59"/>
    <w:rsid w:val="D5FF8309"/>
    <w:rsid w:val="D7F78B39"/>
    <w:rsid w:val="D7FE3F5F"/>
    <w:rsid w:val="D8ED3663"/>
    <w:rsid w:val="D9B5FED0"/>
    <w:rsid w:val="DAFE4A36"/>
    <w:rsid w:val="DD463E21"/>
    <w:rsid w:val="DD4DDF5E"/>
    <w:rsid w:val="DDFF4B5B"/>
    <w:rsid w:val="DE3FF082"/>
    <w:rsid w:val="DF6B74A1"/>
    <w:rsid w:val="DF8F31A4"/>
    <w:rsid w:val="DFB97BFA"/>
    <w:rsid w:val="DFBB54F1"/>
    <w:rsid w:val="DFBDC146"/>
    <w:rsid w:val="DFBFA9FD"/>
    <w:rsid w:val="DFBFBECA"/>
    <w:rsid w:val="DFC32921"/>
    <w:rsid w:val="DFCD5E51"/>
    <w:rsid w:val="DFDF090A"/>
    <w:rsid w:val="DFE69896"/>
    <w:rsid w:val="DFED5E3E"/>
    <w:rsid w:val="DFF9EEE0"/>
    <w:rsid w:val="DFFEAA9C"/>
    <w:rsid w:val="DFFF797A"/>
    <w:rsid w:val="E23BAE0D"/>
    <w:rsid w:val="E259C72F"/>
    <w:rsid w:val="E2B390D0"/>
    <w:rsid w:val="E37FEC4B"/>
    <w:rsid w:val="E53D3F28"/>
    <w:rsid w:val="E5FD1B8D"/>
    <w:rsid w:val="E63F360C"/>
    <w:rsid w:val="E7ED7556"/>
    <w:rsid w:val="E9EB9610"/>
    <w:rsid w:val="EB7F81B6"/>
    <w:rsid w:val="EBD42E1C"/>
    <w:rsid w:val="EBDDC6D2"/>
    <w:rsid w:val="EBFE64C3"/>
    <w:rsid w:val="ED7B4C2A"/>
    <w:rsid w:val="EDDF6E5E"/>
    <w:rsid w:val="EEC2210C"/>
    <w:rsid w:val="EF759AEA"/>
    <w:rsid w:val="EF7F57CD"/>
    <w:rsid w:val="EFB3D56B"/>
    <w:rsid w:val="EFD248A1"/>
    <w:rsid w:val="EFDE2974"/>
    <w:rsid w:val="EFF9CA2C"/>
    <w:rsid w:val="EFFBE8B5"/>
    <w:rsid w:val="EFFD32E5"/>
    <w:rsid w:val="EFFDF261"/>
    <w:rsid w:val="EFFECB13"/>
    <w:rsid w:val="EFFF450D"/>
    <w:rsid w:val="EFFF86F3"/>
    <w:rsid w:val="EFFFAE90"/>
    <w:rsid w:val="EFFFB7D8"/>
    <w:rsid w:val="F0BF305C"/>
    <w:rsid w:val="F1DD1241"/>
    <w:rsid w:val="F37CC996"/>
    <w:rsid w:val="F3CFFFEA"/>
    <w:rsid w:val="F49BE6AE"/>
    <w:rsid w:val="F4EFB412"/>
    <w:rsid w:val="F4FB8C55"/>
    <w:rsid w:val="F57E4850"/>
    <w:rsid w:val="F5BBBEB1"/>
    <w:rsid w:val="F75B94ED"/>
    <w:rsid w:val="F76FBEA8"/>
    <w:rsid w:val="F7B877C4"/>
    <w:rsid w:val="F7DF1204"/>
    <w:rsid w:val="F7E43542"/>
    <w:rsid w:val="F7EDF67A"/>
    <w:rsid w:val="F7EF3C10"/>
    <w:rsid w:val="F7FE9CA0"/>
    <w:rsid w:val="F7FF0CDD"/>
    <w:rsid w:val="F7FF2DBB"/>
    <w:rsid w:val="F8F42548"/>
    <w:rsid w:val="F8FB6D13"/>
    <w:rsid w:val="F93F08C0"/>
    <w:rsid w:val="F9F7EA8A"/>
    <w:rsid w:val="FB3E5749"/>
    <w:rsid w:val="FB575EEB"/>
    <w:rsid w:val="FB6D3BB0"/>
    <w:rsid w:val="FB76F2ED"/>
    <w:rsid w:val="FB7ED6EA"/>
    <w:rsid w:val="FB7FD73B"/>
    <w:rsid w:val="FBBE0D52"/>
    <w:rsid w:val="FBBF96EE"/>
    <w:rsid w:val="FBDA5E7D"/>
    <w:rsid w:val="FBEEBDB0"/>
    <w:rsid w:val="FBFA2AA6"/>
    <w:rsid w:val="FBFB9209"/>
    <w:rsid w:val="FBFF3571"/>
    <w:rsid w:val="FC6E20CA"/>
    <w:rsid w:val="FC7E77C6"/>
    <w:rsid w:val="FCD9C024"/>
    <w:rsid w:val="FCDA7712"/>
    <w:rsid w:val="FCF94197"/>
    <w:rsid w:val="FD5D52F0"/>
    <w:rsid w:val="FD774AF8"/>
    <w:rsid w:val="FD7BF7C8"/>
    <w:rsid w:val="FDBBFDDB"/>
    <w:rsid w:val="FDD2A3AB"/>
    <w:rsid w:val="FDD3EC9C"/>
    <w:rsid w:val="FDD71AB6"/>
    <w:rsid w:val="FDEF2C4A"/>
    <w:rsid w:val="FDFE8BD8"/>
    <w:rsid w:val="FDFF6CF4"/>
    <w:rsid w:val="FDFF6EA1"/>
    <w:rsid w:val="FE6E9E2E"/>
    <w:rsid w:val="FE7D8B0C"/>
    <w:rsid w:val="FEB53966"/>
    <w:rsid w:val="FECF9D8A"/>
    <w:rsid w:val="FEE9C840"/>
    <w:rsid w:val="FEF1E3AF"/>
    <w:rsid w:val="FEFE86E1"/>
    <w:rsid w:val="FF0D930A"/>
    <w:rsid w:val="FF5B8C63"/>
    <w:rsid w:val="FF6E7006"/>
    <w:rsid w:val="FF6F2E0E"/>
    <w:rsid w:val="FF6FD55E"/>
    <w:rsid w:val="FF753A21"/>
    <w:rsid w:val="FF7AE1EE"/>
    <w:rsid w:val="FF7B7748"/>
    <w:rsid w:val="FF7D75E0"/>
    <w:rsid w:val="FFAD101B"/>
    <w:rsid w:val="FFB3D455"/>
    <w:rsid w:val="FFB9579B"/>
    <w:rsid w:val="FFBD6B0C"/>
    <w:rsid w:val="FFBE2546"/>
    <w:rsid w:val="FFBE5ABD"/>
    <w:rsid w:val="FFCB174A"/>
    <w:rsid w:val="FFDD8320"/>
    <w:rsid w:val="FFDE63D3"/>
    <w:rsid w:val="FFDF2BCF"/>
    <w:rsid w:val="FFDFE6E4"/>
    <w:rsid w:val="FFE39E4E"/>
    <w:rsid w:val="FFEA93E2"/>
    <w:rsid w:val="FFEBAB9E"/>
    <w:rsid w:val="FFED61A3"/>
    <w:rsid w:val="FFEF481C"/>
    <w:rsid w:val="FFF390F6"/>
    <w:rsid w:val="FFF70D97"/>
    <w:rsid w:val="FFF7CBCC"/>
    <w:rsid w:val="FFFA85EB"/>
    <w:rsid w:val="FFFB14EC"/>
    <w:rsid w:val="FFFB2682"/>
    <w:rsid w:val="FFFB5B9A"/>
    <w:rsid w:val="FFFD4800"/>
    <w:rsid w:val="FFFF0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nhideWhenUsed="0" w:uiPriority="9" w:semiHidden="0" w:name="heading 3" w:locked="1"/>
    <w:lsdException w:qFormat="1" w:unhideWhenUsed="0" w:uiPriority="9"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nhideWhenUsed="0"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qFormat="1" w:unhideWhenUsed="0" w:uiPriority="0" w:semiHidden="0" w:name="Normal Indent" w:locked="1"/>
    <w:lsdException w:qFormat="1" w:unhideWhenUsed="0" w:uiPriority="99" w:semiHidden="0" w:name="footnote text" w:locked="1"/>
    <w:lsdException w:qFormat="1" w:unhideWhenUsed="0" w:uiPriority="99" w:semiHidden="0" w:name="annotation text"/>
    <w:lsdException w:qFormat="1" w:unhideWhenUsed="0" w:uiPriority="99" w:semiHidden="0" w:name="header"/>
    <w:lsdException w:qFormat="1"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qFormat="1" w:unhideWhenUsed="0" w:uiPriority="99" w:semiHidden="0" w:name="footnote reference" w:locked="1"/>
    <w:lsdException w:qFormat="1" w:unhideWhenUsed="0" w:uiPriority="99" w:semiHidden="0" w:name="annotation reference"/>
    <w:lsdException w:unhideWhenUsed="0" w:uiPriority="0" w:semiHidden="0" w:name="line number" w:locked="1"/>
    <w:lsdException w:qFormat="1" w:unhideWhenUsed="0" w:uiPriority="99"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99" w:semiHidden="0" w:name="List Bullet 5" w:locked="1"/>
    <w:lsdException w:unhideWhenUsed="0" w:uiPriority="0" w:semiHidden="0" w:name="List Number 2" w:locked="1"/>
    <w:lsdException w:qFormat="1" w:unhideWhenUsed="0" w:uiPriority="99"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iPriority="0" w:semiHidden="0" w:name="Body Text"/>
    <w:lsdException w:qFormat="1" w:unhideWhenUsed="0" w:uiPriority="99"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qFormat="1" w:unhideWhenUsed="0" w:uiPriority="99" w:semiHidden="0" w:name="Date"/>
    <w:lsdException w:qFormat="1" w:uiPriority="99" w:semiHidden="0" w:name="Body Text First Indent"/>
    <w:lsdException w:qFormat="1" w:uiPriority="99"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qFormat="1" w:uiPriority="99" w:semiHidden="0" w:name="Body Text Indent 2" w:locked="1"/>
    <w:lsdException w:qFormat="1" w:unhideWhenUsed="0" w:uiPriority="99"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sdException w:qFormat="1" w:unhideWhenUsed="0" w:uiPriority="22" w:semiHidden="0" w:name="Strong" w:locked="1"/>
    <w:lsdException w:qFormat="1" w:unhideWhenUsed="0" w:uiPriority="20" w:semiHidden="0" w:name="Emphasis" w:locked="1"/>
    <w:lsdException w:qFormat="1" w:unhideWhenUsed="0" w:uiPriority="99" w:semiHidden="0" w:name="Document Map" w:locked="1"/>
    <w:lsdException w:qFormat="1" w:unhideWhenUsed="0" w:uiPriority="99" w:semiHidden="0" w:name="Plain Text" w:locked="1"/>
    <w:lsdException w:unhideWhenUsed="0" w:uiPriority="0" w:semiHidden="0" w:name="E-mail Signature" w:locked="1"/>
    <w:lsdException w:qFormat="1"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qFormat="1" w:unhideWhenUsed="0" w:uiPriority="99"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qFormat="1" w:unhideWhenUsed="0" w:uiPriority="59" w:semiHidden="0" w:name="Table Grid"/>
    <w:lsdException w:qFormat="1" w:unhideWhenUsed="0" w:uiPriority="99" w:semiHidden="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Times New Roman" w:hAnsi="Times New Roman" w:eastAsia="宋体" w:cs="宋体"/>
      <w:sz w:val="24"/>
      <w:szCs w:val="24"/>
      <w:lang w:val="en-US" w:eastAsia="zh-CN" w:bidi="ar-SA"/>
    </w:rPr>
  </w:style>
  <w:style w:type="paragraph" w:styleId="2">
    <w:name w:val="heading 1"/>
    <w:basedOn w:val="1"/>
    <w:next w:val="1"/>
    <w:link w:val="59"/>
    <w:qFormat/>
    <w:locked/>
    <w:uiPriority w:val="9"/>
    <w:pPr>
      <w:keepNext/>
      <w:numPr>
        <w:ilvl w:val="0"/>
        <w:numId w:val="1"/>
      </w:numPr>
      <w:tabs>
        <w:tab w:val="left" w:pos="0"/>
      </w:tabs>
      <w:overflowPunct w:val="0"/>
      <w:adjustRightInd w:val="0"/>
      <w:snapToGrid w:val="0"/>
      <w:spacing w:before="120" w:after="160" w:line="259" w:lineRule="auto"/>
      <w:ind w:firstLineChars="0"/>
      <w:jc w:val="center"/>
      <w:outlineLvl w:val="0"/>
    </w:pPr>
    <w:rPr>
      <w:b/>
      <w:bCs/>
      <w:color w:val="000000"/>
      <w:kern w:val="44"/>
      <w:sz w:val="30"/>
      <w:szCs w:val="30"/>
    </w:rPr>
  </w:style>
  <w:style w:type="paragraph" w:styleId="3">
    <w:name w:val="heading 2"/>
    <w:basedOn w:val="1"/>
    <w:next w:val="1"/>
    <w:link w:val="60"/>
    <w:qFormat/>
    <w:locked/>
    <w:uiPriority w:val="9"/>
    <w:pPr>
      <w:keepNext/>
      <w:keepLines/>
      <w:numPr>
        <w:ilvl w:val="1"/>
        <w:numId w:val="1"/>
      </w:numPr>
      <w:spacing w:before="160"/>
      <w:ind w:firstLineChars="0"/>
      <w:outlineLvl w:val="1"/>
    </w:pPr>
    <w:rPr>
      <w:b/>
      <w:bCs/>
      <w:szCs w:val="32"/>
    </w:rPr>
  </w:style>
  <w:style w:type="paragraph" w:styleId="4">
    <w:name w:val="heading 3"/>
    <w:basedOn w:val="1"/>
    <w:next w:val="1"/>
    <w:link w:val="61"/>
    <w:qFormat/>
    <w:locked/>
    <w:uiPriority w:val="9"/>
    <w:pPr>
      <w:keepNext/>
      <w:keepLines/>
      <w:numPr>
        <w:ilvl w:val="2"/>
        <w:numId w:val="1"/>
      </w:numPr>
      <w:spacing w:before="160"/>
      <w:ind w:left="0" w:firstLineChars="0"/>
      <w:outlineLvl w:val="2"/>
    </w:pPr>
    <w:rPr>
      <w:b/>
      <w:bCs/>
      <w:szCs w:val="32"/>
    </w:rPr>
  </w:style>
  <w:style w:type="paragraph" w:styleId="5">
    <w:name w:val="heading 4"/>
    <w:basedOn w:val="1"/>
    <w:next w:val="1"/>
    <w:link w:val="62"/>
    <w:qFormat/>
    <w:locked/>
    <w:uiPriority w:val="9"/>
    <w:pPr>
      <w:keepNext/>
      <w:keepLines/>
      <w:numPr>
        <w:ilvl w:val="3"/>
        <w:numId w:val="1"/>
      </w:numPr>
      <w:spacing w:before="160" w:after="160"/>
      <w:ind w:firstLineChars="0"/>
      <w:outlineLvl w:val="3"/>
    </w:pPr>
    <w:rPr>
      <w:rFonts w:cs="Times New Roman"/>
      <w:b/>
      <w:bCs/>
      <w:szCs w:val="28"/>
    </w:rPr>
  </w:style>
  <w:style w:type="paragraph" w:styleId="6">
    <w:name w:val="heading 5"/>
    <w:basedOn w:val="1"/>
    <w:next w:val="1"/>
    <w:link w:val="63"/>
    <w:qFormat/>
    <w:locked/>
    <w:uiPriority w:val="9"/>
    <w:pPr>
      <w:keepNext/>
      <w:keepLines/>
      <w:ind w:left="200" w:firstLine="0" w:firstLineChars="0"/>
      <w:outlineLvl w:val="4"/>
    </w:pPr>
    <w:rPr>
      <w:bCs/>
      <w:szCs w:val="28"/>
    </w:rPr>
  </w:style>
  <w:style w:type="paragraph" w:styleId="7">
    <w:name w:val="heading 6"/>
    <w:basedOn w:val="1"/>
    <w:next w:val="1"/>
    <w:link w:val="64"/>
    <w:qFormat/>
    <w:locked/>
    <w:uiPriority w:val="9"/>
    <w:pPr>
      <w:keepNext/>
      <w:keepLines/>
      <w:ind w:left="760" w:firstLine="0" w:firstLineChars="0"/>
      <w:outlineLvl w:val="5"/>
    </w:pPr>
    <w:rPr>
      <w:bCs/>
    </w:rPr>
  </w:style>
  <w:style w:type="paragraph" w:styleId="8">
    <w:name w:val="heading 7"/>
    <w:basedOn w:val="1"/>
    <w:next w:val="1"/>
    <w:link w:val="65"/>
    <w:qFormat/>
    <w:locked/>
    <w:uiPriority w:val="9"/>
    <w:pPr>
      <w:keepNext/>
      <w:keepLines/>
      <w:spacing w:before="240" w:after="64" w:line="320" w:lineRule="auto"/>
      <w:outlineLvl w:val="6"/>
    </w:pPr>
    <w:rPr>
      <w:b/>
      <w:bCs/>
    </w:rPr>
  </w:style>
  <w:style w:type="paragraph" w:styleId="9">
    <w:name w:val="heading 8"/>
    <w:basedOn w:val="1"/>
    <w:next w:val="1"/>
    <w:link w:val="66"/>
    <w:qFormat/>
    <w:locked/>
    <w:uiPriority w:val="9"/>
    <w:pPr>
      <w:keepNext/>
      <w:keepLines/>
      <w:spacing w:before="240" w:after="64" w:line="320" w:lineRule="auto"/>
      <w:outlineLvl w:val="7"/>
    </w:pPr>
    <w:rPr>
      <w:rFonts w:ascii="Arial" w:hAnsi="Arial" w:eastAsia="黑体"/>
    </w:rPr>
  </w:style>
  <w:style w:type="paragraph" w:styleId="10">
    <w:name w:val="heading 9"/>
    <w:basedOn w:val="1"/>
    <w:next w:val="1"/>
    <w:link w:val="67"/>
    <w:qFormat/>
    <w:locked/>
    <w:uiPriority w:val="9"/>
    <w:pPr>
      <w:keepNext/>
      <w:keepLines/>
      <w:spacing w:before="240" w:after="64" w:line="320" w:lineRule="auto"/>
      <w:outlineLvl w:val="8"/>
    </w:pPr>
    <w:rPr>
      <w:rFonts w:ascii="Arial" w:hAnsi="Arial" w:eastAsia="黑体"/>
      <w:szCs w:val="21"/>
    </w:rPr>
  </w:style>
  <w:style w:type="character" w:default="1" w:styleId="50">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locked/>
    <w:uiPriority w:val="39"/>
    <w:pPr>
      <w:ind w:left="1440"/>
    </w:pPr>
    <w:rPr>
      <w:rFonts w:ascii="Calibri" w:hAnsi="Calibri"/>
      <w:sz w:val="18"/>
      <w:szCs w:val="18"/>
    </w:rPr>
  </w:style>
  <w:style w:type="paragraph" w:styleId="12">
    <w:name w:val="Normal Indent"/>
    <w:basedOn w:val="1"/>
    <w:link w:val="68"/>
    <w:qFormat/>
    <w:locked/>
    <w:uiPriority w:val="0"/>
    <w:pPr>
      <w:spacing w:line="240" w:lineRule="auto"/>
      <w:ind w:firstLine="420" w:firstLineChars="0"/>
    </w:pPr>
    <w:rPr>
      <w:sz w:val="20"/>
      <w:szCs w:val="20"/>
    </w:rPr>
  </w:style>
  <w:style w:type="paragraph" w:styleId="13">
    <w:name w:val="caption"/>
    <w:basedOn w:val="1"/>
    <w:next w:val="1"/>
    <w:link w:val="69"/>
    <w:qFormat/>
    <w:locked/>
    <w:uiPriority w:val="35"/>
    <w:rPr>
      <w:rFonts w:ascii="等线 Light" w:hAnsi="等线 Light" w:eastAsia="黑体" w:cs="Times New Roman"/>
      <w:sz w:val="20"/>
      <w:szCs w:val="20"/>
    </w:rPr>
  </w:style>
  <w:style w:type="paragraph" w:styleId="14">
    <w:name w:val="Document Map"/>
    <w:basedOn w:val="1"/>
    <w:link w:val="70"/>
    <w:qFormat/>
    <w:locked/>
    <w:uiPriority w:val="99"/>
    <w:pPr>
      <w:spacing w:line="240" w:lineRule="auto"/>
      <w:ind w:firstLine="0" w:firstLineChars="0"/>
    </w:pPr>
    <w:rPr>
      <w:rFonts w:ascii="宋体"/>
      <w:sz w:val="18"/>
      <w:szCs w:val="20"/>
    </w:rPr>
  </w:style>
  <w:style w:type="paragraph" w:styleId="15">
    <w:name w:val="annotation text"/>
    <w:basedOn w:val="1"/>
    <w:link w:val="71"/>
    <w:qFormat/>
    <w:uiPriority w:val="99"/>
    <w:rPr>
      <w:szCs w:val="20"/>
    </w:rPr>
  </w:style>
  <w:style w:type="paragraph" w:styleId="16">
    <w:name w:val="Body Text"/>
    <w:basedOn w:val="1"/>
    <w:next w:val="1"/>
    <w:unhideWhenUsed/>
    <w:qFormat/>
    <w:uiPriority w:val="0"/>
    <w:pPr>
      <w:spacing w:after="120" w:line="480" w:lineRule="exact"/>
    </w:pPr>
    <w:rPr>
      <w:szCs w:val="20"/>
    </w:rPr>
  </w:style>
  <w:style w:type="paragraph" w:styleId="17">
    <w:name w:val="Body Text Indent"/>
    <w:basedOn w:val="1"/>
    <w:link w:val="72"/>
    <w:qFormat/>
    <w:uiPriority w:val="99"/>
    <w:pPr>
      <w:spacing w:after="120"/>
      <w:ind w:left="420" w:leftChars="200"/>
    </w:pPr>
    <w:rPr>
      <w:szCs w:val="20"/>
    </w:rPr>
  </w:style>
  <w:style w:type="paragraph" w:styleId="18">
    <w:name w:val="List Number 3"/>
    <w:basedOn w:val="1"/>
    <w:qFormat/>
    <w:locked/>
    <w:uiPriority w:val="99"/>
    <w:pPr>
      <w:tabs>
        <w:tab w:val="left" w:pos="1200"/>
      </w:tabs>
      <w:spacing w:line="240" w:lineRule="auto"/>
      <w:ind w:left="1200" w:leftChars="400" w:hanging="360" w:hangingChars="200"/>
    </w:pPr>
    <w:rPr>
      <w:szCs w:val="20"/>
    </w:rPr>
  </w:style>
  <w:style w:type="paragraph" w:styleId="19">
    <w:name w:val="Block Text"/>
    <w:basedOn w:val="1"/>
    <w:link w:val="73"/>
    <w:qFormat/>
    <w:locked/>
    <w:uiPriority w:val="0"/>
    <w:pPr>
      <w:adjustRightInd w:val="0"/>
      <w:spacing w:line="360" w:lineRule="atLeast"/>
      <w:ind w:left="120" w:right="120" w:firstLine="480" w:firstLineChars="0"/>
    </w:pPr>
    <w:rPr>
      <w:rFonts w:ascii="宋体"/>
      <w:color w:val="000000"/>
      <w:sz w:val="20"/>
      <w:szCs w:val="20"/>
    </w:rPr>
  </w:style>
  <w:style w:type="paragraph" w:styleId="20">
    <w:name w:val="toc 5"/>
    <w:basedOn w:val="1"/>
    <w:next w:val="1"/>
    <w:unhideWhenUsed/>
    <w:qFormat/>
    <w:locked/>
    <w:uiPriority w:val="39"/>
    <w:pPr>
      <w:ind w:left="960"/>
    </w:pPr>
    <w:rPr>
      <w:rFonts w:ascii="Calibri" w:hAnsi="Calibri"/>
      <w:sz w:val="18"/>
      <w:szCs w:val="18"/>
    </w:rPr>
  </w:style>
  <w:style w:type="paragraph" w:styleId="21">
    <w:name w:val="toc 3"/>
    <w:basedOn w:val="1"/>
    <w:next w:val="1"/>
    <w:qFormat/>
    <w:locked/>
    <w:uiPriority w:val="39"/>
    <w:pPr>
      <w:spacing w:line="240" w:lineRule="auto"/>
      <w:ind w:left="170" w:firstLine="0" w:firstLineChars="0"/>
    </w:pPr>
    <w:rPr>
      <w:rFonts w:ascii="Calibri" w:hAnsi="Calibri"/>
      <w:iCs/>
      <w:sz w:val="20"/>
      <w:szCs w:val="20"/>
    </w:rPr>
  </w:style>
  <w:style w:type="paragraph" w:styleId="22">
    <w:name w:val="Plain Text"/>
    <w:basedOn w:val="1"/>
    <w:link w:val="74"/>
    <w:qFormat/>
    <w:locked/>
    <w:uiPriority w:val="99"/>
    <w:pPr>
      <w:spacing w:line="240" w:lineRule="auto"/>
      <w:ind w:firstLine="0" w:firstLineChars="0"/>
    </w:pPr>
    <w:rPr>
      <w:rFonts w:ascii="宋体" w:hAnsi="Courier New"/>
      <w:sz w:val="20"/>
      <w:szCs w:val="20"/>
    </w:rPr>
  </w:style>
  <w:style w:type="paragraph" w:styleId="23">
    <w:name w:val="List Bullet 5"/>
    <w:basedOn w:val="1"/>
    <w:qFormat/>
    <w:locked/>
    <w:uiPriority w:val="99"/>
    <w:pPr>
      <w:spacing w:line="312" w:lineRule="atLeast"/>
      <w:ind w:left="425" w:hanging="425" w:firstLineChars="0"/>
      <w:textAlignment w:val="baseline"/>
    </w:pPr>
    <w:rPr>
      <w:rFonts w:ascii="宋体"/>
      <w:sz w:val="28"/>
      <w:szCs w:val="20"/>
    </w:rPr>
  </w:style>
  <w:style w:type="paragraph" w:styleId="24">
    <w:name w:val="toc 8"/>
    <w:basedOn w:val="1"/>
    <w:next w:val="1"/>
    <w:unhideWhenUsed/>
    <w:qFormat/>
    <w:locked/>
    <w:uiPriority w:val="39"/>
    <w:pPr>
      <w:ind w:left="1680"/>
    </w:pPr>
    <w:rPr>
      <w:rFonts w:ascii="Calibri" w:hAnsi="Calibri"/>
      <w:sz w:val="18"/>
      <w:szCs w:val="18"/>
    </w:rPr>
  </w:style>
  <w:style w:type="paragraph" w:styleId="25">
    <w:name w:val="Date"/>
    <w:basedOn w:val="1"/>
    <w:next w:val="1"/>
    <w:link w:val="75"/>
    <w:qFormat/>
    <w:uiPriority w:val="99"/>
    <w:pPr>
      <w:ind w:left="100" w:leftChars="2500"/>
    </w:pPr>
    <w:rPr>
      <w:szCs w:val="20"/>
    </w:rPr>
  </w:style>
  <w:style w:type="paragraph" w:styleId="26">
    <w:name w:val="Body Text Indent 2"/>
    <w:basedOn w:val="1"/>
    <w:link w:val="76"/>
    <w:unhideWhenUsed/>
    <w:qFormat/>
    <w:locked/>
    <w:uiPriority w:val="99"/>
    <w:pPr>
      <w:spacing w:after="120" w:line="480" w:lineRule="auto"/>
      <w:ind w:left="420" w:leftChars="200"/>
    </w:pPr>
    <w:rPr>
      <w:rFonts w:ascii="Arial" w:hAnsi="Arial"/>
    </w:rPr>
  </w:style>
  <w:style w:type="paragraph" w:styleId="27">
    <w:name w:val="Balloon Text"/>
    <w:basedOn w:val="1"/>
    <w:link w:val="77"/>
    <w:qFormat/>
    <w:uiPriority w:val="99"/>
    <w:rPr>
      <w:sz w:val="18"/>
      <w:szCs w:val="20"/>
    </w:rPr>
  </w:style>
  <w:style w:type="paragraph" w:styleId="28">
    <w:name w:val="footer"/>
    <w:basedOn w:val="1"/>
    <w:link w:val="78"/>
    <w:unhideWhenUsed/>
    <w:qFormat/>
    <w:uiPriority w:val="99"/>
    <w:pPr>
      <w:tabs>
        <w:tab w:val="center" w:pos="4153"/>
        <w:tab w:val="right" w:pos="8306"/>
      </w:tabs>
      <w:snapToGrid w:val="0"/>
      <w:spacing w:line="240" w:lineRule="auto"/>
    </w:pPr>
    <w:rPr>
      <w:sz w:val="20"/>
      <w:szCs w:val="20"/>
    </w:rPr>
  </w:style>
  <w:style w:type="paragraph" w:styleId="29">
    <w:name w:val="header"/>
    <w:basedOn w:val="1"/>
    <w:link w:val="79"/>
    <w:qFormat/>
    <w:uiPriority w:val="99"/>
    <w:pPr>
      <w:pBdr>
        <w:bottom w:val="single" w:color="auto" w:sz="6" w:space="1"/>
      </w:pBdr>
      <w:tabs>
        <w:tab w:val="center" w:pos="4153"/>
        <w:tab w:val="right" w:pos="8306"/>
      </w:tabs>
      <w:snapToGrid w:val="0"/>
      <w:jc w:val="center"/>
    </w:pPr>
    <w:rPr>
      <w:sz w:val="18"/>
      <w:szCs w:val="20"/>
    </w:rPr>
  </w:style>
  <w:style w:type="paragraph" w:styleId="30">
    <w:name w:val="toc 1"/>
    <w:basedOn w:val="1"/>
    <w:next w:val="1"/>
    <w:qFormat/>
    <w:locked/>
    <w:uiPriority w:val="39"/>
    <w:pPr>
      <w:spacing w:line="240" w:lineRule="auto"/>
      <w:ind w:firstLine="0" w:firstLineChars="0"/>
    </w:pPr>
    <w:rPr>
      <w:rFonts w:ascii="Calibri" w:hAnsi="Calibri"/>
      <w:b/>
      <w:bCs/>
      <w:caps/>
      <w:szCs w:val="20"/>
    </w:rPr>
  </w:style>
  <w:style w:type="paragraph" w:styleId="31">
    <w:name w:val="toc 4"/>
    <w:basedOn w:val="1"/>
    <w:next w:val="1"/>
    <w:qFormat/>
    <w:locked/>
    <w:uiPriority w:val="39"/>
    <w:pPr>
      <w:ind w:left="720"/>
    </w:pPr>
    <w:rPr>
      <w:rFonts w:ascii="Calibri" w:hAnsi="Calibri"/>
      <w:sz w:val="18"/>
      <w:szCs w:val="18"/>
    </w:rPr>
  </w:style>
  <w:style w:type="paragraph" w:styleId="32">
    <w:name w:val="Subtitle"/>
    <w:basedOn w:val="1"/>
    <w:next w:val="1"/>
    <w:link w:val="80"/>
    <w:qFormat/>
    <w:locked/>
    <w:uiPriority w:val="11"/>
    <w:pPr>
      <w:spacing w:before="240" w:after="60" w:line="312" w:lineRule="auto"/>
      <w:jc w:val="center"/>
      <w:outlineLvl w:val="1"/>
    </w:pPr>
    <w:rPr>
      <w:rFonts w:ascii="Cambria" w:hAnsi="Cambria"/>
      <w:b/>
      <w:bCs/>
      <w:kern w:val="28"/>
      <w:sz w:val="32"/>
      <w:szCs w:val="32"/>
    </w:rPr>
  </w:style>
  <w:style w:type="paragraph" w:styleId="33">
    <w:name w:val="List"/>
    <w:basedOn w:val="1"/>
    <w:qFormat/>
    <w:locked/>
    <w:uiPriority w:val="99"/>
    <w:pPr>
      <w:spacing w:line="312" w:lineRule="atLeast"/>
      <w:ind w:left="420" w:hanging="420" w:firstLineChars="0"/>
      <w:textAlignment w:val="baseline"/>
    </w:pPr>
    <w:rPr>
      <w:rFonts w:ascii="宋体"/>
      <w:sz w:val="28"/>
      <w:szCs w:val="20"/>
    </w:rPr>
  </w:style>
  <w:style w:type="paragraph" w:styleId="34">
    <w:name w:val="footnote text"/>
    <w:basedOn w:val="1"/>
    <w:link w:val="81"/>
    <w:qFormat/>
    <w:locked/>
    <w:uiPriority w:val="99"/>
    <w:pPr>
      <w:snapToGrid w:val="0"/>
    </w:pPr>
    <w:rPr>
      <w:sz w:val="18"/>
      <w:szCs w:val="18"/>
    </w:rPr>
  </w:style>
  <w:style w:type="paragraph" w:styleId="35">
    <w:name w:val="toc 6"/>
    <w:basedOn w:val="1"/>
    <w:next w:val="1"/>
    <w:unhideWhenUsed/>
    <w:qFormat/>
    <w:locked/>
    <w:uiPriority w:val="39"/>
    <w:pPr>
      <w:ind w:left="1200"/>
    </w:pPr>
    <w:rPr>
      <w:rFonts w:ascii="Calibri" w:hAnsi="Calibri"/>
      <w:sz w:val="18"/>
      <w:szCs w:val="18"/>
    </w:rPr>
  </w:style>
  <w:style w:type="paragraph" w:styleId="36">
    <w:name w:val="Body Text Indent 3"/>
    <w:basedOn w:val="1"/>
    <w:link w:val="82"/>
    <w:qFormat/>
    <w:locked/>
    <w:uiPriority w:val="99"/>
    <w:pPr>
      <w:snapToGrid w:val="0"/>
      <w:ind w:firstLine="525" w:firstLineChars="0"/>
    </w:pPr>
    <w:rPr>
      <w:sz w:val="20"/>
      <w:szCs w:val="20"/>
    </w:rPr>
  </w:style>
  <w:style w:type="paragraph" w:styleId="37">
    <w:name w:val="toc 2"/>
    <w:basedOn w:val="1"/>
    <w:next w:val="1"/>
    <w:qFormat/>
    <w:locked/>
    <w:uiPriority w:val="39"/>
    <w:pPr>
      <w:spacing w:line="240" w:lineRule="auto"/>
      <w:ind w:left="57" w:firstLine="0" w:firstLineChars="0"/>
    </w:pPr>
    <w:rPr>
      <w:rFonts w:ascii="Calibri" w:hAnsi="Calibri"/>
      <w:smallCaps/>
      <w:sz w:val="20"/>
      <w:szCs w:val="20"/>
    </w:rPr>
  </w:style>
  <w:style w:type="paragraph" w:styleId="38">
    <w:name w:val="toc 9"/>
    <w:basedOn w:val="1"/>
    <w:next w:val="1"/>
    <w:unhideWhenUsed/>
    <w:qFormat/>
    <w:locked/>
    <w:uiPriority w:val="39"/>
    <w:pPr>
      <w:ind w:left="1920"/>
    </w:pPr>
    <w:rPr>
      <w:rFonts w:ascii="Calibri" w:hAnsi="Calibri"/>
      <w:sz w:val="18"/>
      <w:szCs w:val="18"/>
    </w:rPr>
  </w:style>
  <w:style w:type="paragraph" w:styleId="39">
    <w:name w:val="Body Text 2"/>
    <w:basedOn w:val="1"/>
    <w:link w:val="83"/>
    <w:unhideWhenUsed/>
    <w:qFormat/>
    <w:locked/>
    <w:uiPriority w:val="99"/>
    <w:pPr>
      <w:spacing w:after="120" w:line="480" w:lineRule="auto"/>
    </w:pPr>
    <w:rPr>
      <w:rFonts w:ascii="Arial" w:hAnsi="Arial"/>
    </w:rPr>
  </w:style>
  <w:style w:type="paragraph" w:styleId="40">
    <w:name w:val="Normal (Web)"/>
    <w:basedOn w:val="1"/>
    <w:unhideWhenUsed/>
    <w:qFormat/>
    <w:uiPriority w:val="99"/>
    <w:pPr>
      <w:spacing w:before="100" w:beforeAutospacing="1" w:after="100" w:afterAutospacing="1" w:line="240" w:lineRule="auto"/>
      <w:ind w:firstLine="0" w:firstLineChars="0"/>
    </w:pPr>
    <w:rPr>
      <w:rFonts w:ascii="宋体" w:hAnsi="宋体"/>
    </w:rPr>
  </w:style>
  <w:style w:type="paragraph" w:styleId="41">
    <w:name w:val="index 1"/>
    <w:basedOn w:val="1"/>
    <w:next w:val="1"/>
    <w:qFormat/>
    <w:locked/>
    <w:uiPriority w:val="99"/>
    <w:pPr>
      <w:snapToGrid w:val="0"/>
      <w:spacing w:before="60"/>
      <w:jc w:val="center"/>
    </w:pPr>
    <w:rPr>
      <w:szCs w:val="21"/>
      <w:u w:color="000000"/>
    </w:rPr>
  </w:style>
  <w:style w:type="paragraph" w:styleId="42">
    <w:name w:val="Title"/>
    <w:basedOn w:val="1"/>
    <w:next w:val="1"/>
    <w:link w:val="84"/>
    <w:qFormat/>
    <w:locked/>
    <w:uiPriority w:val="10"/>
    <w:pPr>
      <w:spacing w:before="240" w:after="60"/>
      <w:ind w:firstLine="0" w:firstLineChars="0"/>
      <w:jc w:val="center"/>
      <w:outlineLvl w:val="0"/>
    </w:pPr>
    <w:rPr>
      <w:rFonts w:ascii="Cambria" w:hAnsi="Cambria"/>
      <w:b/>
      <w:bCs/>
      <w:sz w:val="32"/>
      <w:szCs w:val="32"/>
    </w:rPr>
  </w:style>
  <w:style w:type="paragraph" w:styleId="43">
    <w:name w:val="annotation subject"/>
    <w:basedOn w:val="15"/>
    <w:next w:val="15"/>
    <w:link w:val="85"/>
    <w:semiHidden/>
    <w:qFormat/>
    <w:uiPriority w:val="99"/>
    <w:rPr>
      <w:b/>
    </w:rPr>
  </w:style>
  <w:style w:type="paragraph" w:styleId="44">
    <w:name w:val="Body Text First Indent"/>
    <w:basedOn w:val="16"/>
    <w:next w:val="1"/>
    <w:unhideWhenUsed/>
    <w:qFormat/>
    <w:uiPriority w:val="99"/>
    <w:pPr>
      <w:ind w:firstLine="720"/>
    </w:pPr>
  </w:style>
  <w:style w:type="paragraph" w:styleId="45">
    <w:name w:val="Body Text First Indent 2"/>
    <w:basedOn w:val="17"/>
    <w:link w:val="58"/>
    <w:unhideWhenUsed/>
    <w:qFormat/>
    <w:locked/>
    <w:uiPriority w:val="99"/>
    <w:pPr>
      <w:spacing w:line="240" w:lineRule="auto"/>
      <w:ind w:firstLine="420"/>
    </w:pPr>
    <w:rPr>
      <w:rFonts w:ascii="宋体"/>
      <w:kern w:val="2"/>
    </w:rPr>
  </w:style>
  <w:style w:type="table" w:styleId="47">
    <w:name w:val="Table Grid"/>
    <w:basedOn w:val="4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Theme"/>
    <w:basedOn w:val="46"/>
    <w:qFormat/>
    <w:locked/>
    <w:uiPriority w:val="99"/>
    <w:pPr>
      <w:widowControl w:val="0"/>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table" w:styleId="49">
    <w:name w:val="Table Grid 5"/>
    <w:basedOn w:val="46"/>
    <w:qFormat/>
    <w:locked/>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character" w:styleId="51">
    <w:name w:val="Strong"/>
    <w:qFormat/>
    <w:locked/>
    <w:uiPriority w:val="22"/>
    <w:rPr>
      <w:rFonts w:cs="Times New Roman"/>
      <w:b/>
      <w:bCs/>
    </w:rPr>
  </w:style>
  <w:style w:type="character" w:styleId="52">
    <w:name w:val="page number"/>
    <w:qFormat/>
    <w:locked/>
    <w:uiPriority w:val="99"/>
  </w:style>
  <w:style w:type="character" w:styleId="53">
    <w:name w:val="FollowedHyperlink"/>
    <w:basedOn w:val="50"/>
    <w:qFormat/>
    <w:uiPriority w:val="0"/>
    <w:rPr>
      <w:color w:val="954F72" w:themeColor="followedHyperlink"/>
      <w:u w:val="single"/>
      <w14:textFill>
        <w14:solidFill>
          <w14:schemeClr w14:val="folHlink"/>
        </w14:solidFill>
      </w14:textFill>
    </w:rPr>
  </w:style>
  <w:style w:type="character" w:styleId="54">
    <w:name w:val="Emphasis"/>
    <w:qFormat/>
    <w:locked/>
    <w:uiPriority w:val="20"/>
    <w:rPr>
      <w:rFonts w:cs="Times New Roman"/>
      <w:i/>
      <w:iCs/>
    </w:rPr>
  </w:style>
  <w:style w:type="character" w:styleId="55">
    <w:name w:val="Hyperlink"/>
    <w:qFormat/>
    <w:locked/>
    <w:uiPriority w:val="99"/>
    <w:rPr>
      <w:rFonts w:cs="Times New Roman"/>
      <w:color w:val="0000FF"/>
      <w:u w:val="single"/>
    </w:rPr>
  </w:style>
  <w:style w:type="character" w:styleId="56">
    <w:name w:val="annotation reference"/>
    <w:basedOn w:val="50"/>
    <w:qFormat/>
    <w:uiPriority w:val="99"/>
    <w:rPr>
      <w:sz w:val="21"/>
    </w:rPr>
  </w:style>
  <w:style w:type="character" w:styleId="57">
    <w:name w:val="footnote reference"/>
    <w:qFormat/>
    <w:locked/>
    <w:uiPriority w:val="99"/>
    <w:rPr>
      <w:rFonts w:cs="Times New Roman"/>
      <w:vertAlign w:val="superscript"/>
    </w:rPr>
  </w:style>
  <w:style w:type="character" w:customStyle="1" w:styleId="58">
    <w:name w:val="正文文本首行缩进 2 字符"/>
    <w:link w:val="45"/>
    <w:qFormat/>
    <w:locked/>
    <w:uiPriority w:val="99"/>
    <w:rPr>
      <w:rFonts w:ascii="宋体"/>
      <w:kern w:val="2"/>
      <w:sz w:val="24"/>
      <w:szCs w:val="24"/>
    </w:rPr>
  </w:style>
  <w:style w:type="character" w:customStyle="1" w:styleId="59">
    <w:name w:val="标题 1 字符"/>
    <w:link w:val="2"/>
    <w:qFormat/>
    <w:locked/>
    <w:uiPriority w:val="9"/>
    <w:rPr>
      <w:b/>
      <w:bCs/>
      <w:color w:val="000000"/>
      <w:kern w:val="44"/>
      <w:sz w:val="30"/>
      <w:szCs w:val="30"/>
    </w:rPr>
  </w:style>
  <w:style w:type="character" w:customStyle="1" w:styleId="60">
    <w:name w:val="标题 2 字符"/>
    <w:link w:val="3"/>
    <w:qFormat/>
    <w:uiPriority w:val="9"/>
    <w:rPr>
      <w:rFonts w:cs="宋体"/>
      <w:b/>
      <w:bCs/>
      <w:sz w:val="24"/>
      <w:szCs w:val="32"/>
    </w:rPr>
  </w:style>
  <w:style w:type="character" w:customStyle="1" w:styleId="61">
    <w:name w:val="标题 3 字符"/>
    <w:link w:val="4"/>
    <w:qFormat/>
    <w:uiPriority w:val="9"/>
    <w:rPr>
      <w:rFonts w:eastAsia="宋体" w:cs="宋体"/>
      <w:b/>
      <w:bCs/>
      <w:sz w:val="24"/>
      <w:szCs w:val="32"/>
    </w:rPr>
  </w:style>
  <w:style w:type="character" w:customStyle="1" w:styleId="62">
    <w:name w:val="标题 4 字符"/>
    <w:link w:val="5"/>
    <w:qFormat/>
    <w:uiPriority w:val="9"/>
    <w:rPr>
      <w:b/>
      <w:bCs/>
      <w:sz w:val="24"/>
      <w:szCs w:val="28"/>
    </w:rPr>
  </w:style>
  <w:style w:type="character" w:customStyle="1" w:styleId="63">
    <w:name w:val="标题 5 字符"/>
    <w:link w:val="6"/>
    <w:qFormat/>
    <w:uiPriority w:val="9"/>
    <w:rPr>
      <w:bCs/>
      <w:kern w:val="2"/>
      <w:sz w:val="24"/>
      <w:szCs w:val="28"/>
    </w:rPr>
  </w:style>
  <w:style w:type="character" w:customStyle="1" w:styleId="64">
    <w:name w:val="标题 6 字符"/>
    <w:link w:val="7"/>
    <w:qFormat/>
    <w:uiPriority w:val="9"/>
    <w:rPr>
      <w:bCs/>
      <w:kern w:val="2"/>
      <w:sz w:val="24"/>
      <w:szCs w:val="24"/>
    </w:rPr>
  </w:style>
  <w:style w:type="character" w:customStyle="1" w:styleId="65">
    <w:name w:val="标题 7 字符"/>
    <w:link w:val="8"/>
    <w:qFormat/>
    <w:uiPriority w:val="9"/>
    <w:rPr>
      <w:b/>
      <w:bCs/>
      <w:sz w:val="24"/>
      <w:szCs w:val="24"/>
    </w:rPr>
  </w:style>
  <w:style w:type="character" w:customStyle="1" w:styleId="66">
    <w:name w:val="标题 8 字符"/>
    <w:link w:val="9"/>
    <w:qFormat/>
    <w:uiPriority w:val="9"/>
    <w:rPr>
      <w:rFonts w:ascii="Arial" w:hAnsi="Arial" w:eastAsia="黑体"/>
      <w:sz w:val="24"/>
      <w:szCs w:val="24"/>
    </w:rPr>
  </w:style>
  <w:style w:type="character" w:customStyle="1" w:styleId="67">
    <w:name w:val="标题 9 字符"/>
    <w:link w:val="10"/>
    <w:qFormat/>
    <w:uiPriority w:val="9"/>
    <w:rPr>
      <w:rFonts w:ascii="Arial" w:hAnsi="Arial" w:eastAsia="黑体"/>
      <w:sz w:val="21"/>
      <w:szCs w:val="21"/>
    </w:rPr>
  </w:style>
  <w:style w:type="character" w:customStyle="1" w:styleId="68">
    <w:name w:val="正文缩进 字符"/>
    <w:link w:val="12"/>
    <w:qFormat/>
    <w:locked/>
    <w:uiPriority w:val="0"/>
  </w:style>
  <w:style w:type="character" w:customStyle="1" w:styleId="69">
    <w:name w:val="题注 字符"/>
    <w:link w:val="13"/>
    <w:qFormat/>
    <w:locked/>
    <w:uiPriority w:val="35"/>
    <w:rPr>
      <w:rFonts w:ascii="等线 Light" w:hAnsi="等线 Light" w:eastAsia="黑体" w:cs="Times New Roman"/>
      <w:kern w:val="2"/>
    </w:rPr>
  </w:style>
  <w:style w:type="character" w:customStyle="1" w:styleId="70">
    <w:name w:val="文档结构图 字符"/>
    <w:link w:val="14"/>
    <w:qFormat/>
    <w:locked/>
    <w:uiPriority w:val="99"/>
    <w:rPr>
      <w:rFonts w:ascii="宋体"/>
      <w:sz w:val="18"/>
    </w:rPr>
  </w:style>
  <w:style w:type="character" w:customStyle="1" w:styleId="71">
    <w:name w:val="批注文字 字符"/>
    <w:link w:val="15"/>
    <w:qFormat/>
    <w:locked/>
    <w:uiPriority w:val="99"/>
    <w:rPr>
      <w:rFonts w:ascii="Times New Roman" w:hAnsi="Times New Roman" w:eastAsia="宋体"/>
      <w:sz w:val="24"/>
    </w:rPr>
  </w:style>
  <w:style w:type="character" w:customStyle="1" w:styleId="72">
    <w:name w:val="正文文本缩进 字符"/>
    <w:link w:val="17"/>
    <w:qFormat/>
    <w:locked/>
    <w:uiPriority w:val="99"/>
    <w:rPr>
      <w:rFonts w:ascii="Times New Roman" w:hAnsi="Times New Roman" w:eastAsia="宋体"/>
      <w:sz w:val="24"/>
    </w:rPr>
  </w:style>
  <w:style w:type="character" w:customStyle="1" w:styleId="73">
    <w:name w:val="文本块 字符"/>
    <w:link w:val="19"/>
    <w:qFormat/>
    <w:locked/>
    <w:uiPriority w:val="0"/>
    <w:rPr>
      <w:rFonts w:ascii="宋体"/>
      <w:color w:val="000000"/>
    </w:rPr>
  </w:style>
  <w:style w:type="character" w:customStyle="1" w:styleId="74">
    <w:name w:val="纯文本 字符"/>
    <w:link w:val="22"/>
    <w:qFormat/>
    <w:locked/>
    <w:uiPriority w:val="99"/>
    <w:rPr>
      <w:rFonts w:ascii="宋体" w:hAnsi="Courier New"/>
    </w:rPr>
  </w:style>
  <w:style w:type="character" w:customStyle="1" w:styleId="75">
    <w:name w:val="日期 字符1"/>
    <w:link w:val="25"/>
    <w:qFormat/>
    <w:locked/>
    <w:uiPriority w:val="0"/>
    <w:rPr>
      <w:rFonts w:ascii="Times New Roman" w:hAnsi="Times New Roman" w:eastAsia="宋体"/>
      <w:sz w:val="24"/>
    </w:rPr>
  </w:style>
  <w:style w:type="character" w:customStyle="1" w:styleId="76">
    <w:name w:val="正文文本缩进 2 字符"/>
    <w:link w:val="26"/>
    <w:qFormat/>
    <w:locked/>
    <w:uiPriority w:val="99"/>
    <w:rPr>
      <w:rFonts w:ascii="Arial" w:hAnsi="Arial"/>
      <w:sz w:val="24"/>
      <w:szCs w:val="24"/>
    </w:rPr>
  </w:style>
  <w:style w:type="character" w:customStyle="1" w:styleId="77">
    <w:name w:val="批注框文本 字符"/>
    <w:link w:val="27"/>
    <w:qFormat/>
    <w:locked/>
    <w:uiPriority w:val="99"/>
    <w:rPr>
      <w:rFonts w:ascii="Times New Roman" w:hAnsi="Times New Roman" w:eastAsia="宋体"/>
      <w:sz w:val="18"/>
    </w:rPr>
  </w:style>
  <w:style w:type="character" w:customStyle="1" w:styleId="78">
    <w:name w:val="页脚 字符"/>
    <w:link w:val="28"/>
    <w:qFormat/>
    <w:uiPriority w:val="99"/>
  </w:style>
  <w:style w:type="character" w:customStyle="1" w:styleId="79">
    <w:name w:val="页眉 字符"/>
    <w:link w:val="29"/>
    <w:qFormat/>
    <w:locked/>
    <w:uiPriority w:val="99"/>
    <w:rPr>
      <w:sz w:val="18"/>
    </w:rPr>
  </w:style>
  <w:style w:type="character" w:customStyle="1" w:styleId="80">
    <w:name w:val="副标题 字符"/>
    <w:link w:val="32"/>
    <w:qFormat/>
    <w:locked/>
    <w:uiPriority w:val="11"/>
    <w:rPr>
      <w:rFonts w:ascii="Cambria" w:hAnsi="Cambria"/>
      <w:b/>
      <w:bCs/>
      <w:kern w:val="28"/>
      <w:sz w:val="32"/>
      <w:szCs w:val="32"/>
    </w:rPr>
  </w:style>
  <w:style w:type="character" w:customStyle="1" w:styleId="81">
    <w:name w:val="脚注文本 字符"/>
    <w:link w:val="34"/>
    <w:qFormat/>
    <w:locked/>
    <w:uiPriority w:val="99"/>
    <w:rPr>
      <w:sz w:val="18"/>
      <w:szCs w:val="18"/>
    </w:rPr>
  </w:style>
  <w:style w:type="character" w:customStyle="1" w:styleId="82">
    <w:name w:val="正文文本缩进 3 字符"/>
    <w:link w:val="36"/>
    <w:qFormat/>
    <w:locked/>
    <w:uiPriority w:val="99"/>
  </w:style>
  <w:style w:type="character" w:customStyle="1" w:styleId="83">
    <w:name w:val="正文文本 2 字符"/>
    <w:link w:val="39"/>
    <w:qFormat/>
    <w:locked/>
    <w:uiPriority w:val="99"/>
    <w:rPr>
      <w:rFonts w:ascii="Arial" w:hAnsi="Arial"/>
      <w:sz w:val="24"/>
      <w:szCs w:val="24"/>
    </w:rPr>
  </w:style>
  <w:style w:type="character" w:customStyle="1" w:styleId="84">
    <w:name w:val="标题 字符"/>
    <w:link w:val="42"/>
    <w:qFormat/>
    <w:locked/>
    <w:uiPriority w:val="10"/>
    <w:rPr>
      <w:rFonts w:ascii="Cambria" w:hAnsi="Cambria"/>
      <w:b/>
      <w:bCs/>
      <w:sz w:val="32"/>
      <w:szCs w:val="32"/>
    </w:rPr>
  </w:style>
  <w:style w:type="character" w:customStyle="1" w:styleId="85">
    <w:name w:val="批注主题 字符"/>
    <w:link w:val="43"/>
    <w:qFormat/>
    <w:locked/>
    <w:uiPriority w:val="99"/>
    <w:rPr>
      <w:rFonts w:ascii="Times New Roman" w:hAnsi="Times New Roman" w:eastAsia="宋体"/>
      <w:b/>
      <w:kern w:val="2"/>
      <w:sz w:val="24"/>
    </w:rPr>
  </w:style>
  <w:style w:type="paragraph" w:customStyle="1" w:styleId="86">
    <w:name w:val="Default"/>
    <w:basedOn w:val="1"/>
    <w:qFormat/>
    <w:uiPriority w:val="0"/>
    <w:pPr>
      <w:autoSpaceDE w:val="0"/>
      <w:autoSpaceDN w:val="0"/>
      <w:adjustRightInd w:val="0"/>
      <w:spacing w:line="240" w:lineRule="auto"/>
      <w:ind w:firstLine="0" w:firstLineChars="0"/>
    </w:pPr>
    <w:rPr>
      <w:rFonts w:ascii="Calibri" w:hAnsi="Calibri"/>
      <w:color w:val="000000"/>
    </w:rPr>
  </w:style>
  <w:style w:type="paragraph" w:customStyle="1" w:styleId="87">
    <w:name w:val="标题1"/>
    <w:basedOn w:val="1"/>
    <w:qFormat/>
    <w:uiPriority w:val="0"/>
    <w:pPr>
      <w:numPr>
        <w:ilvl w:val="0"/>
        <w:numId w:val="2"/>
      </w:numPr>
    </w:pPr>
    <w:rPr>
      <w:b/>
      <w:szCs w:val="20"/>
    </w:rPr>
  </w:style>
  <w:style w:type="character" w:customStyle="1" w:styleId="88">
    <w:name w:val="正文文本 字符1"/>
    <w:semiHidden/>
    <w:qFormat/>
    <w:uiPriority w:val="0"/>
    <w:rPr>
      <w:rFonts w:ascii="Times New Roman" w:hAnsi="Times New Roman" w:eastAsia="宋体"/>
      <w:sz w:val="24"/>
    </w:rPr>
  </w:style>
  <w:style w:type="character" w:customStyle="1" w:styleId="89">
    <w:name w:val="表格 Char"/>
    <w:link w:val="90"/>
    <w:qFormat/>
    <w:locked/>
    <w:uiPriority w:val="0"/>
    <w:rPr>
      <w:rFonts w:eastAsia="宋体"/>
      <w:sz w:val="21"/>
    </w:rPr>
  </w:style>
  <w:style w:type="paragraph" w:customStyle="1" w:styleId="90">
    <w:name w:val="表格"/>
    <w:basedOn w:val="91"/>
    <w:next w:val="1"/>
    <w:link w:val="89"/>
    <w:qFormat/>
    <w:uiPriority w:val="0"/>
    <w:pPr>
      <w:spacing w:line="240" w:lineRule="auto"/>
      <w:ind w:firstLine="0" w:firstLineChars="0"/>
      <w:jc w:val="center"/>
    </w:pPr>
    <w:rPr>
      <w:sz w:val="21"/>
      <w:szCs w:val="20"/>
    </w:rPr>
  </w:style>
  <w:style w:type="paragraph" w:customStyle="1" w:styleId="91">
    <w:name w:val="三化正文文本"/>
    <w:qFormat/>
    <w:uiPriority w:val="0"/>
    <w:pPr>
      <w:widowControl w:val="0"/>
      <w:adjustRightInd w:val="0"/>
      <w:snapToGrid w:val="0"/>
      <w:spacing w:line="42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92">
    <w:name w:val="日期 字符"/>
    <w:qFormat/>
    <w:uiPriority w:val="99"/>
    <w:rPr>
      <w:rFonts w:ascii="Times New Roman" w:hAnsi="Times New Roman" w:eastAsia="宋体"/>
      <w:sz w:val="24"/>
    </w:rPr>
  </w:style>
  <w:style w:type="character" w:customStyle="1" w:styleId="93">
    <w:name w:val="批注文字 字符1"/>
    <w:semiHidden/>
    <w:qFormat/>
    <w:uiPriority w:val="0"/>
    <w:rPr>
      <w:rFonts w:ascii="Times New Roman" w:hAnsi="Times New Roman" w:eastAsia="宋体"/>
      <w:sz w:val="24"/>
    </w:rPr>
  </w:style>
  <w:style w:type="paragraph" w:customStyle="1" w:styleId="9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普通(网站)2"/>
    <w:basedOn w:val="1"/>
    <w:qFormat/>
    <w:uiPriority w:val="0"/>
    <w:pPr>
      <w:spacing w:before="100" w:beforeAutospacing="1" w:after="100" w:afterAutospacing="1"/>
    </w:pPr>
    <w:rPr>
      <w:rFonts w:ascii="宋体" w:hAnsi="宋体"/>
      <w:szCs w:val="20"/>
    </w:rPr>
  </w:style>
  <w:style w:type="paragraph" w:customStyle="1" w:styleId="96">
    <w:name w:val="样式 表格格式"/>
    <w:basedOn w:val="1"/>
    <w:qFormat/>
    <w:uiPriority w:val="0"/>
    <w:pPr>
      <w:ind w:firstLine="0" w:firstLineChars="0"/>
      <w:jc w:val="center"/>
    </w:pPr>
    <w:rPr>
      <w:szCs w:val="20"/>
    </w:rPr>
  </w:style>
  <w:style w:type="paragraph" w:customStyle="1" w:styleId="97">
    <w:name w:val="样式 图表标题 图表标题 + 段前: 0.5 行 段后: 0.5 行"/>
    <w:basedOn w:val="1"/>
    <w:qFormat/>
    <w:uiPriority w:val="0"/>
    <w:pPr>
      <w:spacing w:before="50" w:beforeLines="50" w:after="50" w:afterLines="50" w:line="240" w:lineRule="auto"/>
      <w:ind w:firstLine="0" w:firstLineChars="0"/>
      <w:jc w:val="center"/>
    </w:pPr>
    <w:rPr>
      <w:b/>
      <w:bCs/>
      <w:szCs w:val="20"/>
      <w:lang w:val="zh-CN"/>
    </w:rPr>
  </w:style>
  <w:style w:type="paragraph" w:customStyle="1" w:styleId="98">
    <w:name w:val="样式 图表题 + 首行缩进:  2 字符 段前: 0.1 行"/>
    <w:qFormat/>
    <w:uiPriority w:val="0"/>
    <w:pPr>
      <w:spacing w:before="120" w:after="10" w:line="360" w:lineRule="auto"/>
      <w:jc w:val="center"/>
    </w:pPr>
    <w:rPr>
      <w:rFonts w:ascii="Times New Roman" w:hAnsi="Times New Roman" w:eastAsia="宋体" w:cs="Times New Roman"/>
      <w:b/>
      <w:bCs/>
      <w:sz w:val="24"/>
      <w:lang w:val="en-US" w:eastAsia="zh-CN" w:bidi="ar-SA"/>
    </w:rPr>
  </w:style>
  <w:style w:type="paragraph" w:styleId="99">
    <w:name w:val="List Paragraph"/>
    <w:basedOn w:val="1"/>
    <w:qFormat/>
    <w:uiPriority w:val="34"/>
    <w:pPr>
      <w:ind w:firstLine="420"/>
    </w:pPr>
  </w:style>
  <w:style w:type="character" w:customStyle="1" w:styleId="100">
    <w:name w:val="表格里面的字 Char"/>
    <w:link w:val="101"/>
    <w:qFormat/>
    <w:locked/>
    <w:uiPriority w:val="0"/>
    <w:rPr>
      <w:kern w:val="2"/>
    </w:rPr>
  </w:style>
  <w:style w:type="paragraph" w:customStyle="1" w:styleId="101">
    <w:name w:val="表格里面的字"/>
    <w:basedOn w:val="1"/>
    <w:link w:val="100"/>
    <w:qFormat/>
    <w:uiPriority w:val="0"/>
    <w:pPr>
      <w:spacing w:line="240" w:lineRule="auto"/>
      <w:ind w:firstLine="0" w:firstLineChars="0"/>
      <w:jc w:val="center"/>
    </w:pPr>
    <w:rPr>
      <w:sz w:val="20"/>
      <w:szCs w:val="20"/>
    </w:rPr>
  </w:style>
  <w:style w:type="character" w:customStyle="1" w:styleId="102">
    <w:name w:val="批注主题 Char1"/>
    <w:semiHidden/>
    <w:qFormat/>
    <w:uiPriority w:val="99"/>
    <w:rPr>
      <w:rFonts w:ascii="Times New Roman"/>
      <w:b/>
      <w:kern w:val="2"/>
      <w:sz w:val="21"/>
    </w:rPr>
  </w:style>
  <w:style w:type="character" w:customStyle="1" w:styleId="103">
    <w:name w:val="Header Char"/>
    <w:semiHidden/>
    <w:qFormat/>
    <w:uiPriority w:val="99"/>
    <w:rPr>
      <w:rFonts w:ascii="Times New Roman" w:hAnsi="Times New Roman"/>
      <w:kern w:val="2"/>
      <w:sz w:val="18"/>
      <w:szCs w:val="18"/>
    </w:rPr>
  </w:style>
  <w:style w:type="character" w:customStyle="1" w:styleId="104">
    <w:name w:val="表格第一行 Char"/>
    <w:link w:val="105"/>
    <w:qFormat/>
    <w:locked/>
    <w:uiPriority w:val="0"/>
    <w:rPr>
      <w:rFonts w:ascii="宋体"/>
      <w:b/>
      <w:shd w:val="clear" w:color="auto" w:fill="FFFFFF"/>
    </w:rPr>
  </w:style>
  <w:style w:type="paragraph" w:customStyle="1" w:styleId="105">
    <w:name w:val="表格第一行"/>
    <w:basedOn w:val="1"/>
    <w:link w:val="104"/>
    <w:qFormat/>
    <w:uiPriority w:val="0"/>
    <w:pPr>
      <w:shd w:val="clear" w:color="auto" w:fill="FFFFFF"/>
      <w:spacing w:line="320" w:lineRule="exact"/>
      <w:jc w:val="center"/>
    </w:pPr>
    <w:rPr>
      <w:rFonts w:ascii="宋体"/>
      <w:b/>
      <w:sz w:val="20"/>
      <w:szCs w:val="20"/>
      <w:shd w:val="clear" w:color="auto" w:fill="FFFFFF"/>
    </w:rPr>
  </w:style>
  <w:style w:type="character" w:customStyle="1" w:styleId="106">
    <w:name w:val="批注框文本 Char1"/>
    <w:semiHidden/>
    <w:qFormat/>
    <w:uiPriority w:val="99"/>
    <w:rPr>
      <w:kern w:val="2"/>
      <w:sz w:val="18"/>
    </w:rPr>
  </w:style>
  <w:style w:type="character" w:customStyle="1" w:styleId="107">
    <w:name w:val="正文文本缩进 Char1"/>
    <w:semiHidden/>
    <w:qFormat/>
    <w:uiPriority w:val="0"/>
    <w:rPr>
      <w:rFonts w:ascii="Arial" w:hAnsi="Arial"/>
      <w:kern w:val="2"/>
      <w:sz w:val="24"/>
    </w:rPr>
  </w:style>
  <w:style w:type="character" w:customStyle="1" w:styleId="108">
    <w:name w:val="页眉 Char1"/>
    <w:semiHidden/>
    <w:qFormat/>
    <w:uiPriority w:val="0"/>
    <w:rPr>
      <w:rFonts w:ascii="Arial" w:hAnsi="Arial"/>
      <w:kern w:val="2"/>
      <w:sz w:val="18"/>
    </w:rPr>
  </w:style>
  <w:style w:type="character" w:customStyle="1" w:styleId="109">
    <w:name w:val="列出段落 Char"/>
    <w:link w:val="110"/>
    <w:qFormat/>
    <w:locked/>
    <w:uiPriority w:val="0"/>
  </w:style>
  <w:style w:type="paragraph" w:customStyle="1" w:styleId="110">
    <w:name w:val="列出段落1"/>
    <w:basedOn w:val="1"/>
    <w:link w:val="109"/>
    <w:qFormat/>
    <w:uiPriority w:val="0"/>
    <w:pPr>
      <w:spacing w:line="240" w:lineRule="auto"/>
      <w:ind w:firstLine="420"/>
    </w:pPr>
    <w:rPr>
      <w:sz w:val="20"/>
      <w:szCs w:val="20"/>
    </w:rPr>
  </w:style>
  <w:style w:type="character" w:customStyle="1" w:styleId="111">
    <w:name w:val="纯文本 Char1"/>
    <w:semiHidden/>
    <w:qFormat/>
    <w:uiPriority w:val="0"/>
    <w:rPr>
      <w:rFonts w:ascii="宋体" w:hAnsi="Courier New" w:cs="Courier New"/>
      <w:kern w:val="2"/>
      <w:sz w:val="21"/>
      <w:szCs w:val="21"/>
    </w:rPr>
  </w:style>
  <w:style w:type="character" w:customStyle="1" w:styleId="112">
    <w:name w:val="T9 Char"/>
    <w:link w:val="113"/>
    <w:qFormat/>
    <w:locked/>
    <w:uiPriority w:val="0"/>
    <w:rPr>
      <w:sz w:val="24"/>
    </w:rPr>
  </w:style>
  <w:style w:type="paragraph" w:customStyle="1" w:styleId="113">
    <w:name w:val="T9"/>
    <w:basedOn w:val="1"/>
    <w:link w:val="112"/>
    <w:qFormat/>
    <w:uiPriority w:val="0"/>
    <w:pPr>
      <w:tabs>
        <w:tab w:val="left" w:pos="6300"/>
      </w:tabs>
      <w:adjustRightInd w:val="0"/>
      <w:snapToGrid w:val="0"/>
      <w:ind w:firstLine="480"/>
    </w:pPr>
    <w:rPr>
      <w:szCs w:val="20"/>
    </w:rPr>
  </w:style>
  <w:style w:type="character" w:customStyle="1" w:styleId="114">
    <w:name w:val="注 Char"/>
    <w:link w:val="115"/>
    <w:qFormat/>
    <w:locked/>
    <w:uiPriority w:val="0"/>
    <w:rPr>
      <w:rFonts w:eastAsia="仿宋_GB2312"/>
    </w:rPr>
  </w:style>
  <w:style w:type="paragraph" w:customStyle="1" w:styleId="115">
    <w:name w:val="注"/>
    <w:basedOn w:val="1"/>
    <w:link w:val="114"/>
    <w:qFormat/>
    <w:uiPriority w:val="0"/>
    <w:pPr>
      <w:ind w:firstLine="450" w:firstLineChars="250"/>
    </w:pPr>
    <w:rPr>
      <w:rFonts w:eastAsia="仿宋_GB2312"/>
      <w:sz w:val="20"/>
      <w:szCs w:val="20"/>
    </w:rPr>
  </w:style>
  <w:style w:type="character" w:customStyle="1" w:styleId="116">
    <w:name w:val="Heading 4 Char"/>
    <w:semiHidden/>
    <w:qFormat/>
    <w:uiPriority w:val="9"/>
    <w:rPr>
      <w:rFonts w:ascii="Cambria" w:hAnsi="Cambria" w:eastAsia="宋体" w:cs="Times New Roman"/>
      <w:b/>
      <w:bCs/>
      <w:kern w:val="2"/>
      <w:sz w:val="28"/>
      <w:szCs w:val="28"/>
    </w:rPr>
  </w:style>
  <w:style w:type="character" w:customStyle="1" w:styleId="117">
    <w:name w:val="表格样式 Char"/>
    <w:link w:val="118"/>
    <w:qFormat/>
    <w:locked/>
    <w:uiPriority w:val="0"/>
    <w:rPr>
      <w:sz w:val="24"/>
      <w:szCs w:val="24"/>
    </w:rPr>
  </w:style>
  <w:style w:type="paragraph" w:customStyle="1" w:styleId="118">
    <w:name w:val="表格样式"/>
    <w:basedOn w:val="1"/>
    <w:link w:val="117"/>
    <w:qFormat/>
    <w:uiPriority w:val="0"/>
    <w:pPr>
      <w:spacing w:line="240" w:lineRule="auto"/>
      <w:ind w:firstLine="0" w:firstLineChars="0"/>
      <w:jc w:val="center"/>
    </w:pPr>
  </w:style>
  <w:style w:type="character" w:customStyle="1" w:styleId="119">
    <w:name w:val="fontstyle11"/>
    <w:qFormat/>
    <w:uiPriority w:val="0"/>
    <w:rPr>
      <w:rFonts w:ascii="ArialMT" w:hAnsi="ArialMT" w:eastAsia="Times New Roman"/>
      <w:color w:val="000000"/>
      <w:sz w:val="24"/>
    </w:rPr>
  </w:style>
  <w:style w:type="character" w:customStyle="1" w:styleId="120">
    <w:name w:val="Char Char2"/>
    <w:qFormat/>
    <w:uiPriority w:val="0"/>
    <w:rPr>
      <w:rFonts w:ascii="Times New Roman"/>
      <w:kern w:val="2"/>
    </w:rPr>
  </w:style>
  <w:style w:type="character" w:customStyle="1" w:styleId="121">
    <w:name w:val="正文文本 (7) + 非粗体"/>
    <w:unhideWhenUsed/>
    <w:qFormat/>
    <w:uiPriority w:val="99"/>
    <w:rPr>
      <w:rFonts w:ascii="MingLiU" w:hAnsi="MingLiU" w:eastAsia="MingLiU"/>
      <w:spacing w:val="10"/>
      <w:sz w:val="21"/>
      <w:lang w:val="en-US" w:eastAsia="en-US"/>
    </w:rPr>
  </w:style>
  <w:style w:type="character" w:customStyle="1" w:styleId="122">
    <w:name w:val="font11"/>
    <w:qFormat/>
    <w:uiPriority w:val="0"/>
    <w:rPr>
      <w:rFonts w:ascii="宋体" w:hAnsi="宋体" w:eastAsia="宋体"/>
      <w:b/>
      <w:color w:val="000000"/>
      <w:sz w:val="22"/>
      <w:u w:val="none"/>
    </w:rPr>
  </w:style>
  <w:style w:type="character" w:customStyle="1" w:styleId="123">
    <w:name w:val="样式3 Char"/>
    <w:link w:val="124"/>
    <w:qFormat/>
    <w:locked/>
    <w:uiPriority w:val="0"/>
  </w:style>
  <w:style w:type="paragraph" w:customStyle="1" w:styleId="124">
    <w:name w:val="样式3"/>
    <w:basedOn w:val="125"/>
    <w:link w:val="123"/>
    <w:qFormat/>
    <w:uiPriority w:val="0"/>
    <w:pPr>
      <w:tabs>
        <w:tab w:val="left" w:pos="-540"/>
        <w:tab w:val="left" w:pos="0"/>
      </w:tabs>
      <w:ind w:firstLineChars="0"/>
    </w:pPr>
  </w:style>
  <w:style w:type="paragraph" w:customStyle="1" w:styleId="125">
    <w:name w:val="N2"/>
    <w:basedOn w:val="1"/>
    <w:link w:val="126"/>
    <w:qFormat/>
    <w:uiPriority w:val="0"/>
    <w:pPr>
      <w:tabs>
        <w:tab w:val="left" w:pos="0"/>
      </w:tabs>
      <w:ind w:firstLine="0"/>
      <w:outlineLvl w:val="1"/>
    </w:pPr>
    <w:rPr>
      <w:rFonts w:eastAsia="黑体"/>
      <w:b/>
      <w:sz w:val="30"/>
      <w:szCs w:val="30"/>
    </w:rPr>
  </w:style>
  <w:style w:type="character" w:customStyle="1" w:styleId="126">
    <w:name w:val="N2 Char"/>
    <w:link w:val="125"/>
    <w:qFormat/>
    <w:locked/>
    <w:uiPriority w:val="0"/>
    <w:rPr>
      <w:rFonts w:eastAsia="黑体"/>
      <w:b/>
      <w:kern w:val="2"/>
      <w:sz w:val="30"/>
      <w:szCs w:val="30"/>
    </w:rPr>
  </w:style>
  <w:style w:type="character" w:customStyle="1" w:styleId="127">
    <w:name w:val="正文文本 Char1"/>
    <w:semiHidden/>
    <w:qFormat/>
    <w:uiPriority w:val="99"/>
    <w:rPr>
      <w:rFonts w:ascii="Arial" w:hAnsi="Arial"/>
      <w:kern w:val="2"/>
      <w:sz w:val="24"/>
    </w:rPr>
  </w:style>
  <w:style w:type="character" w:customStyle="1" w:styleId="128">
    <w:name w:val="3标题(治) Char"/>
    <w:link w:val="129"/>
    <w:qFormat/>
    <w:locked/>
    <w:uiPriority w:val="0"/>
    <w:rPr>
      <w:b/>
      <w:sz w:val="24"/>
    </w:rPr>
  </w:style>
  <w:style w:type="paragraph" w:customStyle="1" w:styleId="129">
    <w:name w:val="3标题(治)"/>
    <w:basedOn w:val="4"/>
    <w:link w:val="128"/>
    <w:qFormat/>
    <w:uiPriority w:val="0"/>
    <w:pPr>
      <w:numPr>
        <w:numId w:val="2"/>
      </w:numPr>
      <w:spacing w:before="0"/>
      <w:ind w:firstLine="0"/>
    </w:pPr>
    <w:rPr>
      <w:bCs w:val="0"/>
      <w:szCs w:val="20"/>
    </w:rPr>
  </w:style>
  <w:style w:type="character" w:customStyle="1" w:styleId="130">
    <w:name w:val="正文文本缩进 3 Char1"/>
    <w:semiHidden/>
    <w:qFormat/>
    <w:uiPriority w:val="99"/>
    <w:rPr>
      <w:rFonts w:ascii="Times New Roman" w:hAnsi="Times New Roman" w:eastAsia="宋体" w:cs="Times New Roman"/>
      <w:sz w:val="16"/>
      <w:szCs w:val="16"/>
    </w:rPr>
  </w:style>
  <w:style w:type="character" w:customStyle="1" w:styleId="131">
    <w:name w:val="样式 标题 3 + Arial 小四 Char"/>
    <w:link w:val="132"/>
    <w:qFormat/>
    <w:locked/>
    <w:uiPriority w:val="0"/>
    <w:rPr>
      <w:rFonts w:ascii="Arial" w:hAnsi="Arial"/>
      <w:b/>
    </w:rPr>
  </w:style>
  <w:style w:type="paragraph" w:customStyle="1" w:styleId="132">
    <w:name w:val="样式 标题 3 + Arial 小四"/>
    <w:basedOn w:val="1"/>
    <w:next w:val="1"/>
    <w:link w:val="131"/>
    <w:semiHidden/>
    <w:qFormat/>
    <w:uiPriority w:val="0"/>
    <w:rPr>
      <w:rFonts w:ascii="Arial" w:hAnsi="Arial"/>
      <w:b/>
      <w:sz w:val="20"/>
      <w:szCs w:val="20"/>
    </w:rPr>
  </w:style>
  <w:style w:type="character" w:customStyle="1" w:styleId="133">
    <w:name w:val="font31"/>
    <w:qFormat/>
    <w:uiPriority w:val="0"/>
    <w:rPr>
      <w:rFonts w:ascii="宋体" w:hAnsi="宋体" w:eastAsia="宋体"/>
      <w:color w:val="000000"/>
      <w:sz w:val="24"/>
      <w:u w:val="none"/>
    </w:rPr>
  </w:style>
  <w:style w:type="character" w:customStyle="1" w:styleId="134">
    <w:name w:val="样式1 Char2"/>
    <w:qFormat/>
    <w:uiPriority w:val="0"/>
    <w:rPr>
      <w:rFonts w:ascii="宋体" w:eastAsia="宋体"/>
      <w:color w:val="000000"/>
      <w:kern w:val="2"/>
      <w:sz w:val="24"/>
    </w:rPr>
  </w:style>
  <w:style w:type="character" w:customStyle="1" w:styleId="135">
    <w:name w:val="样式1 Char"/>
    <w:link w:val="136"/>
    <w:qFormat/>
    <w:locked/>
    <w:uiPriority w:val="0"/>
    <w:rPr>
      <w:sz w:val="24"/>
    </w:rPr>
  </w:style>
  <w:style w:type="paragraph" w:customStyle="1" w:styleId="136">
    <w:name w:val="样式1"/>
    <w:basedOn w:val="1"/>
    <w:link w:val="135"/>
    <w:qFormat/>
    <w:uiPriority w:val="0"/>
    <w:pPr>
      <w:ind w:firstLine="480"/>
    </w:pPr>
    <w:rPr>
      <w:szCs w:val="20"/>
    </w:rPr>
  </w:style>
  <w:style w:type="character" w:customStyle="1" w:styleId="137">
    <w:name w:val="表格的字 Char"/>
    <w:link w:val="138"/>
    <w:qFormat/>
    <w:uiPriority w:val="0"/>
    <w:rPr>
      <w:rFonts w:ascii="Times New Roman" w:hAnsi="Times New Roman" w:eastAsia="宋体" w:cs="宋体"/>
      <w:sz w:val="21"/>
      <w:szCs w:val="24"/>
    </w:rPr>
  </w:style>
  <w:style w:type="paragraph" w:customStyle="1" w:styleId="138">
    <w:name w:val="表格的字"/>
    <w:basedOn w:val="1"/>
    <w:link w:val="137"/>
    <w:qFormat/>
    <w:uiPriority w:val="0"/>
    <w:pPr>
      <w:spacing w:line="240" w:lineRule="auto"/>
      <w:ind w:firstLine="0" w:firstLineChars="0"/>
      <w:jc w:val="center"/>
    </w:pPr>
    <w:rPr>
      <w:sz w:val="21"/>
    </w:rPr>
  </w:style>
  <w:style w:type="character" w:customStyle="1" w:styleId="139">
    <w:name w:val="fontstyle01"/>
    <w:qFormat/>
    <w:uiPriority w:val="0"/>
    <w:rPr>
      <w:rFonts w:ascii="宋体" w:hAnsi="宋体" w:eastAsia="宋体"/>
      <w:color w:val="000000"/>
      <w:sz w:val="24"/>
    </w:rPr>
  </w:style>
  <w:style w:type="character" w:customStyle="1" w:styleId="140">
    <w:name w:val="纯文本 Char2"/>
    <w:semiHidden/>
    <w:qFormat/>
    <w:uiPriority w:val="99"/>
    <w:rPr>
      <w:rFonts w:ascii="宋体" w:hAnsi="Courier New" w:eastAsia="宋体" w:cs="Courier New"/>
      <w:sz w:val="21"/>
      <w:szCs w:val="21"/>
    </w:rPr>
  </w:style>
  <w:style w:type="character" w:customStyle="1" w:styleId="141">
    <w:name w:val="样式 标题 4 + (中文) 宋体 非加粗 Char"/>
    <w:link w:val="142"/>
    <w:qFormat/>
    <w:locked/>
    <w:uiPriority w:val="0"/>
    <w:rPr>
      <w:rFonts w:ascii="宋体" w:hAnsi="宋体"/>
      <w:b/>
      <w:sz w:val="24"/>
      <w:szCs w:val="24"/>
    </w:rPr>
  </w:style>
  <w:style w:type="paragraph" w:customStyle="1" w:styleId="142">
    <w:name w:val="样式 标题 4 + (中文) 宋体 非加粗"/>
    <w:basedOn w:val="5"/>
    <w:link w:val="141"/>
    <w:qFormat/>
    <w:uiPriority w:val="0"/>
    <w:pPr>
      <w:numPr>
        <w:ilvl w:val="0"/>
        <w:numId w:val="0"/>
      </w:numPr>
      <w:spacing w:before="120" w:after="0" w:line="520" w:lineRule="exact"/>
      <w:ind w:left="2180" w:firstLine="200"/>
      <w:outlineLvl w:val="1"/>
    </w:pPr>
    <w:rPr>
      <w:rFonts w:ascii="宋体" w:hAnsi="宋体"/>
      <w:bCs w:val="0"/>
      <w:szCs w:val="24"/>
    </w:rPr>
  </w:style>
  <w:style w:type="character" w:customStyle="1" w:styleId="143">
    <w:name w:val="表格内容 Char"/>
    <w:link w:val="144"/>
    <w:qFormat/>
    <w:locked/>
    <w:uiPriority w:val="0"/>
    <w:rPr>
      <w:sz w:val="21"/>
    </w:rPr>
  </w:style>
  <w:style w:type="paragraph" w:customStyle="1" w:styleId="144">
    <w:name w:val="表格内容"/>
    <w:link w:val="143"/>
    <w:qFormat/>
    <w:uiPriority w:val="0"/>
    <w:pPr>
      <w:adjustRightInd w:val="0"/>
      <w:snapToGrid w:val="0"/>
      <w:spacing w:beforeLines="10"/>
      <w:jc w:val="center"/>
      <w:textAlignment w:val="center"/>
    </w:pPr>
    <w:rPr>
      <w:rFonts w:ascii="Times New Roman" w:hAnsi="Times New Roman" w:eastAsia="宋体" w:cs="Times New Roman"/>
      <w:sz w:val="21"/>
      <w:lang w:val="en-US" w:eastAsia="zh-CN" w:bidi="ar-SA"/>
    </w:rPr>
  </w:style>
  <w:style w:type="character" w:customStyle="1" w:styleId="145">
    <w:name w:val="占位符文本1"/>
    <w:semiHidden/>
    <w:qFormat/>
    <w:uiPriority w:val="99"/>
    <w:rPr>
      <w:rFonts w:cs="Times New Roman"/>
      <w:color w:val="808080"/>
    </w:rPr>
  </w:style>
  <w:style w:type="character" w:customStyle="1" w:styleId="146">
    <w:name w:val="fontstyle21"/>
    <w:qFormat/>
    <w:uiPriority w:val="0"/>
    <w:rPr>
      <w:rFonts w:ascii="宋体" w:hAnsi="宋体" w:eastAsia="宋体"/>
      <w:color w:val="000000"/>
      <w:sz w:val="24"/>
    </w:rPr>
  </w:style>
  <w:style w:type="character" w:customStyle="1" w:styleId="147">
    <w:name w:val="unnamed1"/>
    <w:semiHidden/>
    <w:qFormat/>
    <w:uiPriority w:val="0"/>
  </w:style>
  <w:style w:type="character" w:customStyle="1" w:styleId="148">
    <w:name w:val="正文文本缩进 2 Char12"/>
    <w:unhideWhenUsed/>
    <w:qFormat/>
    <w:uiPriority w:val="99"/>
    <w:rPr>
      <w:rFonts w:ascii="宋体" w:cs="宋体"/>
    </w:rPr>
  </w:style>
  <w:style w:type="character" w:customStyle="1" w:styleId="149">
    <w:name w:val="表内字体 Char"/>
    <w:link w:val="150"/>
    <w:semiHidden/>
    <w:qFormat/>
    <w:locked/>
    <w:uiPriority w:val="0"/>
    <w:rPr>
      <w:sz w:val="18"/>
    </w:rPr>
  </w:style>
  <w:style w:type="paragraph" w:customStyle="1" w:styleId="150">
    <w:name w:val="表内字体"/>
    <w:basedOn w:val="1"/>
    <w:link w:val="149"/>
    <w:semiHidden/>
    <w:qFormat/>
    <w:uiPriority w:val="0"/>
    <w:pPr>
      <w:adjustRightInd w:val="0"/>
      <w:snapToGrid w:val="0"/>
      <w:jc w:val="center"/>
      <w:textAlignment w:val="baseline"/>
    </w:pPr>
    <w:rPr>
      <w:sz w:val="18"/>
      <w:szCs w:val="20"/>
    </w:rPr>
  </w:style>
  <w:style w:type="character" w:customStyle="1" w:styleId="151">
    <w:name w:val="表头 Char"/>
    <w:qFormat/>
    <w:locked/>
    <w:uiPriority w:val="0"/>
    <w:rPr>
      <w:rFonts w:ascii="Arial" w:hAnsi="Arial" w:eastAsia="黑体"/>
      <w:b/>
      <w:sz w:val="24"/>
    </w:rPr>
  </w:style>
  <w:style w:type="character" w:customStyle="1" w:styleId="152">
    <w:name w:val="文档结构图 Char1"/>
    <w:semiHidden/>
    <w:qFormat/>
    <w:uiPriority w:val="99"/>
    <w:rPr>
      <w:rFonts w:ascii="宋体" w:hAnsi="Times New Roman" w:eastAsia="宋体" w:cs="Times New Roman"/>
      <w:sz w:val="18"/>
      <w:szCs w:val="18"/>
    </w:rPr>
  </w:style>
  <w:style w:type="character" w:customStyle="1" w:styleId="153">
    <w:name w:val="Heading #2_"/>
    <w:link w:val="154"/>
    <w:qFormat/>
    <w:locked/>
    <w:uiPriority w:val="99"/>
    <w:rPr>
      <w:rFonts w:ascii="PMingLiU" w:eastAsia="PMingLiU"/>
      <w:b/>
      <w:shd w:val="clear" w:color="auto" w:fill="FFFFFF"/>
    </w:rPr>
  </w:style>
  <w:style w:type="paragraph" w:customStyle="1" w:styleId="154">
    <w:name w:val="Heading #2"/>
    <w:basedOn w:val="1"/>
    <w:link w:val="153"/>
    <w:qFormat/>
    <w:uiPriority w:val="99"/>
    <w:pPr>
      <w:shd w:val="clear" w:color="auto" w:fill="FFFFFF"/>
      <w:spacing w:before="1020" w:after="340" w:line="200" w:lineRule="exact"/>
      <w:ind w:hanging="460"/>
      <w:outlineLvl w:val="1"/>
    </w:pPr>
    <w:rPr>
      <w:rFonts w:ascii="PMingLiU" w:eastAsia="PMingLiU"/>
      <w:b/>
      <w:sz w:val="20"/>
      <w:szCs w:val="20"/>
    </w:rPr>
  </w:style>
  <w:style w:type="character" w:customStyle="1" w:styleId="155">
    <w:name w:val="font41"/>
    <w:qFormat/>
    <w:uiPriority w:val="0"/>
    <w:rPr>
      <w:rFonts w:ascii="Times New Roman" w:hAnsi="Times New Roman" w:cs="Times New Roman"/>
      <w:color w:val="000000"/>
      <w:sz w:val="22"/>
      <w:szCs w:val="22"/>
      <w:u w:val="none"/>
    </w:rPr>
  </w:style>
  <w:style w:type="character" w:styleId="156">
    <w:name w:val="Placeholder Text"/>
    <w:semiHidden/>
    <w:qFormat/>
    <w:uiPriority w:val="99"/>
    <w:rPr>
      <w:rFonts w:cs="Times New Roman"/>
      <w:color w:val="808080"/>
    </w:rPr>
  </w:style>
  <w:style w:type="character" w:customStyle="1" w:styleId="157">
    <w:name w:val="不明显强调1"/>
    <w:qFormat/>
    <w:uiPriority w:val="19"/>
    <w:rPr>
      <w:rFonts w:cs="Times New Roman"/>
      <w:i/>
      <w:iCs/>
      <w:color w:val="404040"/>
    </w:rPr>
  </w:style>
  <w:style w:type="character" w:customStyle="1" w:styleId="158">
    <w:name w:val="font01"/>
    <w:qFormat/>
    <w:uiPriority w:val="0"/>
    <w:rPr>
      <w:rFonts w:ascii="Times New Roman" w:hAnsi="Times New Roman"/>
      <w:b/>
      <w:color w:val="000000"/>
      <w:sz w:val="22"/>
      <w:u w:val="none"/>
    </w:rPr>
  </w:style>
  <w:style w:type="character" w:customStyle="1" w:styleId="159">
    <w:name w:val="Heading 3 Char"/>
    <w:semiHidden/>
    <w:qFormat/>
    <w:uiPriority w:val="9"/>
    <w:rPr>
      <w:rFonts w:ascii="Times New Roman" w:hAnsi="Times New Roman"/>
      <w:b/>
      <w:bCs/>
      <w:kern w:val="2"/>
      <w:sz w:val="32"/>
      <w:szCs w:val="32"/>
    </w:rPr>
  </w:style>
  <w:style w:type="character" w:customStyle="1" w:styleId="160">
    <w:name w:val="Heading 2 Char"/>
    <w:semiHidden/>
    <w:qFormat/>
    <w:uiPriority w:val="9"/>
    <w:rPr>
      <w:rFonts w:ascii="Cambria" w:hAnsi="Cambria" w:eastAsia="宋体" w:cs="Times New Roman"/>
      <w:b/>
      <w:bCs/>
      <w:kern w:val="2"/>
      <w:sz w:val="32"/>
      <w:szCs w:val="32"/>
    </w:rPr>
  </w:style>
  <w:style w:type="paragraph" w:customStyle="1" w:styleId="161">
    <w:name w:val="xl64"/>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szCs w:val="21"/>
    </w:rPr>
  </w:style>
  <w:style w:type="paragraph" w:customStyle="1" w:styleId="162">
    <w:name w:val="Char Char Char Char5"/>
    <w:basedOn w:val="1"/>
    <w:qFormat/>
    <w:uiPriority w:val="0"/>
    <w:pPr>
      <w:spacing w:after="160" w:line="240" w:lineRule="exact"/>
      <w:ind w:firstLine="0" w:firstLineChars="0"/>
    </w:pPr>
    <w:rPr>
      <w:szCs w:val="20"/>
    </w:rPr>
  </w:style>
  <w:style w:type="paragraph" w:customStyle="1" w:styleId="163">
    <w:name w:val="xl85"/>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64">
    <w:name w:val="xl77"/>
    <w:basedOn w:val="1"/>
    <w:qFormat/>
    <w:uiPriority w:val="0"/>
    <w:pPr>
      <w:spacing w:before="100" w:beforeAutospacing="1" w:after="100" w:afterAutospacing="1"/>
      <w:jc w:val="center"/>
    </w:pPr>
    <w:rPr>
      <w:rFonts w:ascii="Arial Unicode MS" w:hAnsi="Arial Unicode MS" w:eastAsia="Arial Unicode MS" w:cs="Arial Unicode MS"/>
      <w:sz w:val="20"/>
      <w:szCs w:val="20"/>
    </w:rPr>
  </w:style>
  <w:style w:type="paragraph" w:customStyle="1" w:styleId="165">
    <w:name w:val="xl117"/>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66">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67">
    <w:name w:val="Char Char Char Char"/>
    <w:basedOn w:val="1"/>
    <w:qFormat/>
    <w:uiPriority w:val="0"/>
    <w:pPr>
      <w:spacing w:after="160" w:line="240" w:lineRule="exact"/>
      <w:ind w:firstLine="0" w:firstLineChars="0"/>
    </w:pPr>
    <w:rPr>
      <w:szCs w:val="20"/>
    </w:rPr>
  </w:style>
  <w:style w:type="paragraph" w:customStyle="1" w:styleId="168">
    <w:name w:val="Char Char Char Char4"/>
    <w:basedOn w:val="1"/>
    <w:qFormat/>
    <w:uiPriority w:val="0"/>
    <w:pPr>
      <w:spacing w:beforeLines="20" w:line="440" w:lineRule="atLeast"/>
    </w:pPr>
  </w:style>
  <w:style w:type="paragraph" w:customStyle="1" w:styleId="169">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70">
    <w:name w:val="TOC 标题1"/>
    <w:basedOn w:val="2"/>
    <w:next w:val="1"/>
    <w:qFormat/>
    <w:uiPriority w:val="39"/>
    <w:pPr>
      <w:keepLines/>
      <w:numPr>
        <w:numId w:val="0"/>
      </w:numPr>
      <w:pBdr>
        <w:bottom w:val="single" w:color="auto" w:sz="18" w:space="1"/>
      </w:pBdr>
      <w:tabs>
        <w:tab w:val="clear" w:pos="0"/>
      </w:tabs>
      <w:overflowPunct/>
      <w:adjustRightInd/>
      <w:snapToGrid/>
      <w:spacing w:after="120" w:line="276" w:lineRule="auto"/>
      <w:outlineLvl w:val="9"/>
    </w:pPr>
    <w:rPr>
      <w:rFonts w:ascii="Cambria" w:hAnsi="Cambria"/>
      <w:color w:val="365F91"/>
      <w:kern w:val="0"/>
      <w:sz w:val="28"/>
      <w:szCs w:val="28"/>
    </w:rPr>
  </w:style>
  <w:style w:type="paragraph" w:customStyle="1" w:styleId="171">
    <w:name w:val="目录 61"/>
    <w:basedOn w:val="1"/>
    <w:next w:val="1"/>
    <w:unhideWhenUsed/>
    <w:qFormat/>
    <w:uiPriority w:val="39"/>
    <w:pPr>
      <w:ind w:left="2100" w:leftChars="1000"/>
    </w:pPr>
    <w:rPr>
      <w:rFonts w:ascii="Calibri" w:hAnsi="Calibri"/>
      <w:szCs w:val="22"/>
    </w:rPr>
  </w:style>
  <w:style w:type="character" w:customStyle="1" w:styleId="172">
    <w:name w:val="纯文本 字符1"/>
    <w:qFormat/>
    <w:uiPriority w:val="0"/>
    <w:rPr>
      <w:rFonts w:ascii="宋体" w:hAnsi="Courier New" w:cs="Courier New"/>
      <w:kern w:val="2"/>
      <w:sz w:val="21"/>
      <w:szCs w:val="21"/>
    </w:rPr>
  </w:style>
  <w:style w:type="paragraph" w:customStyle="1" w:styleId="173">
    <w:name w:val="样式 正文内容 + 宋体 首行缩进:  2 字符"/>
    <w:basedOn w:val="174"/>
    <w:qFormat/>
    <w:uiPriority w:val="0"/>
    <w:pPr>
      <w:widowControl/>
      <w:spacing w:line="580" w:lineRule="exact"/>
      <w:ind w:firstLine="560" w:firstLineChars="200"/>
    </w:pPr>
    <w:rPr>
      <w:rFonts w:ascii="宋体" w:hAnsi="宋体"/>
      <w:sz w:val="28"/>
    </w:rPr>
  </w:style>
  <w:style w:type="paragraph" w:customStyle="1" w:styleId="174">
    <w:name w:val="正文 New"/>
    <w:qFormat/>
    <w:uiPriority w:val="0"/>
    <w:pPr>
      <w:widowControl w:val="0"/>
      <w:jc w:val="both"/>
    </w:pPr>
    <w:rPr>
      <w:rFonts w:ascii="Calibri" w:hAnsi="Calibri" w:eastAsia="宋体" w:cs="Times New Roman"/>
      <w:kern w:val="2"/>
      <w:sz w:val="21"/>
      <w:lang w:val="en-US" w:eastAsia="zh-CN" w:bidi="ar-SA"/>
    </w:rPr>
  </w:style>
  <w:style w:type="paragraph" w:customStyle="1" w:styleId="175">
    <w:name w:val="xl93"/>
    <w:basedOn w:val="1"/>
    <w:qFormat/>
    <w:uiPriority w:val="0"/>
    <w:pPr>
      <w:pBdr>
        <w:top w:val="single" w:color="auto" w:sz="8" w:space="0"/>
        <w:left w:val="single" w:color="auto" w:sz="8" w:space="0"/>
        <w:right w:val="single" w:color="auto" w:sz="12" w:space="0"/>
      </w:pBdr>
      <w:spacing w:before="100" w:beforeAutospacing="1" w:after="100" w:afterAutospacing="1" w:line="240" w:lineRule="auto"/>
      <w:ind w:firstLine="0" w:firstLineChars="0"/>
      <w:jc w:val="center"/>
    </w:pPr>
    <w:rPr>
      <w:szCs w:val="21"/>
    </w:rPr>
  </w:style>
  <w:style w:type="paragraph" w:customStyle="1" w:styleId="176">
    <w:name w:val="font7"/>
    <w:basedOn w:val="1"/>
    <w:qFormat/>
    <w:uiPriority w:val="0"/>
    <w:pPr>
      <w:spacing w:before="100" w:beforeAutospacing="1" w:after="100" w:afterAutospacing="1"/>
    </w:pPr>
    <w:rPr>
      <w:rFonts w:ascii="Arial Unicode MS" w:hAnsi="Arial Unicode MS" w:eastAsia="Arial Unicode MS" w:cs="Arial Unicode MS"/>
      <w:sz w:val="20"/>
      <w:szCs w:val="20"/>
    </w:rPr>
  </w:style>
  <w:style w:type="paragraph" w:customStyle="1" w:styleId="177">
    <w:name w:val="xl102"/>
    <w:basedOn w:val="1"/>
    <w:qFormat/>
    <w:uiPriority w:val="0"/>
    <w:pPr>
      <w:pBdr>
        <w:top w:val="single" w:color="auto" w:sz="4" w:space="0"/>
        <w:left w:val="single" w:color="auto" w:sz="4" w:space="0"/>
        <w:right w:val="single" w:color="auto" w:sz="4" w:space="0"/>
      </w:pBd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paragraph" w:customStyle="1" w:styleId="17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79">
    <w:name w:val="封面落款"/>
    <w:basedOn w:val="1"/>
    <w:qFormat/>
    <w:uiPriority w:val="0"/>
    <w:pPr>
      <w:jc w:val="center"/>
    </w:pPr>
    <w:rPr>
      <w:rFonts w:eastAsia="华文楷体"/>
      <w:sz w:val="36"/>
      <w:szCs w:val="20"/>
    </w:rPr>
  </w:style>
  <w:style w:type="paragraph" w:customStyle="1" w:styleId="180">
    <w:name w:val="Table Paragraph"/>
    <w:basedOn w:val="1"/>
    <w:qFormat/>
    <w:uiPriority w:val="1"/>
    <w:pPr>
      <w:autoSpaceDE w:val="0"/>
      <w:autoSpaceDN w:val="0"/>
      <w:adjustRightInd w:val="0"/>
      <w:spacing w:line="240" w:lineRule="auto"/>
      <w:ind w:firstLine="0" w:firstLineChars="0"/>
    </w:pPr>
  </w:style>
  <w:style w:type="paragraph" w:customStyle="1" w:styleId="181">
    <w:name w:val="font5"/>
    <w:basedOn w:val="1"/>
    <w:qFormat/>
    <w:uiPriority w:val="0"/>
    <w:pPr>
      <w:spacing w:before="100" w:beforeAutospacing="1" w:after="100" w:afterAutospacing="1"/>
    </w:pPr>
    <w:rPr>
      <w:rFonts w:ascii="宋体" w:hAnsi="宋体"/>
      <w:sz w:val="18"/>
      <w:szCs w:val="18"/>
    </w:rPr>
  </w:style>
  <w:style w:type="paragraph" w:customStyle="1" w:styleId="182">
    <w:name w:val="xl108"/>
    <w:basedOn w:val="1"/>
    <w:qFormat/>
    <w:uiPriority w:val="0"/>
    <w:pPr>
      <w:pBdr>
        <w:top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83">
    <w:name w:val="xl129"/>
    <w:basedOn w:val="1"/>
    <w:qFormat/>
    <w:uiPriority w:val="0"/>
    <w:pPr>
      <w:pBdr>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84">
    <w:name w:val="y表格"/>
    <w:qFormat/>
    <w:uiPriority w:val="0"/>
    <w:pPr>
      <w:jc w:val="center"/>
    </w:pPr>
    <w:rPr>
      <w:rFonts w:ascii="Times New Roman" w:hAnsi="Times New Roman" w:eastAsia="宋体" w:cs="Times New Roman"/>
      <w:sz w:val="21"/>
      <w:lang w:val="en-US" w:eastAsia="zh-CN" w:bidi="ar-SA"/>
    </w:rPr>
  </w:style>
  <w:style w:type="paragraph" w:customStyle="1" w:styleId="185">
    <w:name w:val="xl127"/>
    <w:basedOn w:val="1"/>
    <w:qFormat/>
    <w:uiPriority w:val="0"/>
    <w:pPr>
      <w:pBdr>
        <w:lef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86">
    <w:name w:val="样式 行距: 固定值 20 磅 首行缩进:  2 字符"/>
    <w:basedOn w:val="1"/>
    <w:qFormat/>
    <w:uiPriority w:val="0"/>
    <w:pPr>
      <w:adjustRightInd w:val="0"/>
      <w:spacing w:line="460" w:lineRule="exact"/>
      <w:textAlignment w:val="baseline"/>
    </w:pPr>
    <w:rPr>
      <w:szCs w:val="20"/>
    </w:rPr>
  </w:style>
  <w:style w:type="paragraph" w:customStyle="1" w:styleId="187">
    <w:name w:val="xl116"/>
    <w:basedOn w:val="1"/>
    <w:qFormat/>
    <w:uiPriority w:val="0"/>
    <w:pPr>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88">
    <w:name w:val="Char Char Char Char1"/>
    <w:basedOn w:val="1"/>
    <w:qFormat/>
    <w:uiPriority w:val="0"/>
    <w:rPr>
      <w:szCs w:val="20"/>
    </w:rPr>
  </w:style>
  <w:style w:type="paragraph" w:customStyle="1" w:styleId="189">
    <w:name w:val="表"/>
    <w:basedOn w:val="1"/>
    <w:qFormat/>
    <w:uiPriority w:val="0"/>
    <w:pPr>
      <w:jc w:val="center"/>
    </w:pPr>
    <w:rPr>
      <w:rFonts w:eastAsia="仿宋_GB2312"/>
      <w:szCs w:val="20"/>
    </w:rPr>
  </w:style>
  <w:style w:type="paragraph" w:customStyle="1" w:styleId="190">
    <w:name w:val="xl99"/>
    <w:basedOn w:val="1"/>
    <w:qFormat/>
    <w:uiPriority w:val="0"/>
    <w:pPr>
      <w:pBdr>
        <w:top w:val="single" w:color="auto" w:sz="4" w:space="0"/>
      </w:pBd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paragraph" w:customStyle="1" w:styleId="191">
    <w:name w:val="图头"/>
    <w:basedOn w:val="1"/>
    <w:qFormat/>
    <w:uiPriority w:val="0"/>
    <w:pPr>
      <w:adjustRightInd w:val="0"/>
      <w:snapToGrid w:val="0"/>
      <w:ind w:firstLine="0" w:firstLineChars="0"/>
      <w:jc w:val="center"/>
    </w:pPr>
    <w:rPr>
      <w:b/>
    </w:rPr>
  </w:style>
  <w:style w:type="paragraph" w:customStyle="1" w:styleId="192">
    <w:name w:val="封面小字"/>
    <w:basedOn w:val="1"/>
    <w:qFormat/>
    <w:uiPriority w:val="0"/>
    <w:pPr>
      <w:spacing w:line="440" w:lineRule="exact"/>
      <w:ind w:firstLine="480"/>
      <w:jc w:val="center"/>
    </w:pPr>
    <w:rPr>
      <w:rFonts w:eastAsia="隶书"/>
      <w:b/>
      <w:sz w:val="32"/>
      <w:szCs w:val="20"/>
    </w:rPr>
  </w:style>
  <w:style w:type="paragraph" w:customStyle="1" w:styleId="193">
    <w:name w:val="xl66"/>
    <w:basedOn w:val="1"/>
    <w:qFormat/>
    <w:uiPriority w:val="0"/>
    <w:pPr>
      <w:pBdr>
        <w:bottom w:val="single" w:color="auto" w:sz="8" w:space="0"/>
        <w:right w:val="single" w:color="auto" w:sz="8" w:space="0"/>
      </w:pBdr>
      <w:spacing w:before="100" w:beforeAutospacing="1" w:after="100" w:afterAutospacing="1"/>
      <w:jc w:val="center"/>
      <w:textAlignment w:val="center"/>
    </w:pPr>
    <w:rPr>
      <w:rFonts w:ascii="Arial" w:hAnsi="Arial" w:cs="Arial"/>
      <w:szCs w:val="21"/>
    </w:rPr>
  </w:style>
  <w:style w:type="paragraph" w:customStyle="1" w:styleId="194">
    <w:name w:val="封面题2"/>
    <w:basedOn w:val="195"/>
    <w:qFormat/>
    <w:uiPriority w:val="0"/>
    <w:rPr>
      <w:rFonts w:ascii="华文细黑" w:hAnsi="华文细黑" w:eastAsia="华文细黑"/>
      <w:spacing w:val="40"/>
      <w:sz w:val="84"/>
    </w:rPr>
  </w:style>
  <w:style w:type="paragraph" w:customStyle="1" w:styleId="195">
    <w:name w:val="封面题"/>
    <w:basedOn w:val="1"/>
    <w:qFormat/>
    <w:uiPriority w:val="0"/>
    <w:pPr>
      <w:jc w:val="center"/>
    </w:pPr>
    <w:rPr>
      <w:rFonts w:eastAsia="隶书"/>
      <w:b/>
      <w:bCs/>
      <w:sz w:val="52"/>
      <w:szCs w:val="20"/>
    </w:rPr>
  </w:style>
  <w:style w:type="paragraph" w:customStyle="1" w:styleId="196">
    <w:name w:val="xl1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97">
    <w:name w:val="大纲正文"/>
    <w:basedOn w:val="1"/>
    <w:qFormat/>
    <w:uiPriority w:val="0"/>
    <w:pPr>
      <w:adjustRightInd w:val="0"/>
      <w:snapToGrid w:val="0"/>
      <w:spacing w:afterLines="50" w:line="300" w:lineRule="auto"/>
      <w:ind w:firstLine="480"/>
    </w:pPr>
    <w:rPr>
      <w:szCs w:val="20"/>
    </w:rPr>
  </w:style>
  <w:style w:type="paragraph" w:customStyle="1" w:styleId="198">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199">
    <w:name w:val="批注框文本[858D7CFB-ED40-4347-BF05-701D383B685F][858D7CFB-ED40-4347-BF05-701D383B685F]"/>
    <w:basedOn w:val="1"/>
    <w:qFormat/>
    <w:uiPriority w:val="0"/>
    <w:pPr>
      <w:spacing w:line="240" w:lineRule="auto"/>
      <w:ind w:firstLine="0" w:firstLineChars="0"/>
    </w:pPr>
    <w:rPr>
      <w:sz w:val="18"/>
      <w:szCs w:val="20"/>
    </w:rPr>
  </w:style>
  <w:style w:type="character" w:customStyle="1" w:styleId="200">
    <w:name w:val="正文文本首行缩进 2 字符1"/>
    <w:qFormat/>
    <w:uiPriority w:val="0"/>
    <w:rPr>
      <w:rFonts w:ascii="Times New Roman" w:hAnsi="Times New Roman" w:eastAsia="宋体"/>
      <w:kern w:val="2"/>
      <w:sz w:val="21"/>
      <w:szCs w:val="24"/>
    </w:rPr>
  </w:style>
  <w:style w:type="paragraph" w:customStyle="1" w:styleId="201">
    <w:name w:val="xl90"/>
    <w:basedOn w:val="1"/>
    <w:qFormat/>
    <w:uiPriority w:val="0"/>
    <w:pPr>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paragraph" w:customStyle="1" w:styleId="202">
    <w:name w:val="表内容2"/>
    <w:qFormat/>
    <w:uiPriority w:val="0"/>
    <w:pPr>
      <w:jc w:val="center"/>
    </w:pPr>
    <w:rPr>
      <w:rFonts w:ascii="Calibri" w:hAnsi="Calibri" w:eastAsia="宋体" w:cs="Times New Roman"/>
      <w:sz w:val="21"/>
      <w:lang w:val="en-US" w:eastAsia="zh-CN" w:bidi="ar-SA"/>
    </w:rPr>
  </w:style>
  <w:style w:type="paragraph" w:customStyle="1" w:styleId="203">
    <w:name w:val="xl78"/>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Arial Unicode MS" w:hAnsi="Arial Unicode MS" w:eastAsia="Arial Unicode MS" w:cs="Arial Unicode MS"/>
      <w:sz w:val="20"/>
      <w:szCs w:val="20"/>
    </w:rPr>
  </w:style>
  <w:style w:type="paragraph" w:customStyle="1" w:styleId="204">
    <w:name w:val="Char"/>
    <w:basedOn w:val="1"/>
    <w:semiHidden/>
    <w:qFormat/>
    <w:uiPriority w:val="0"/>
    <w:rPr>
      <w:rFonts w:ascii="宋体" w:hAnsi="宋体" w:cs="Courier New"/>
      <w:sz w:val="32"/>
      <w:szCs w:val="32"/>
    </w:rPr>
  </w:style>
  <w:style w:type="paragraph" w:customStyle="1" w:styleId="205">
    <w:name w:val="目录 51"/>
    <w:basedOn w:val="1"/>
    <w:next w:val="1"/>
    <w:unhideWhenUsed/>
    <w:qFormat/>
    <w:uiPriority w:val="39"/>
    <w:pPr>
      <w:ind w:left="1680" w:leftChars="800"/>
    </w:pPr>
    <w:rPr>
      <w:rFonts w:ascii="Calibri" w:hAnsi="Calibri"/>
      <w:szCs w:val="22"/>
    </w:rPr>
  </w:style>
  <w:style w:type="paragraph" w:customStyle="1" w:styleId="206">
    <w:name w:val="Char Char Char1 Char Char Char Char Char Char Char Char Char Char Char Char Char Char Char Char"/>
    <w:basedOn w:val="1"/>
    <w:semiHidden/>
    <w:qFormat/>
    <w:uiPriority w:val="0"/>
    <w:pPr>
      <w:adjustRightInd w:val="0"/>
      <w:ind w:firstLine="420"/>
    </w:pPr>
    <w:rPr>
      <w:szCs w:val="20"/>
    </w:rPr>
  </w:style>
  <w:style w:type="paragraph" w:customStyle="1" w:styleId="207">
    <w:name w:val="xl124"/>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character" w:customStyle="1" w:styleId="208">
    <w:name w:val="正文文本 2 字符1"/>
    <w:qFormat/>
    <w:uiPriority w:val="0"/>
    <w:rPr>
      <w:kern w:val="2"/>
      <w:sz w:val="21"/>
      <w:szCs w:val="24"/>
    </w:rPr>
  </w:style>
  <w:style w:type="paragraph" w:customStyle="1" w:styleId="209">
    <w:name w:val="xl95"/>
    <w:basedOn w:val="1"/>
    <w:qFormat/>
    <w:uiPriority w:val="0"/>
    <w:pPr>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paragraph" w:customStyle="1" w:styleId="210">
    <w:name w:val="目录 31"/>
    <w:basedOn w:val="1"/>
    <w:next w:val="1"/>
    <w:unhideWhenUsed/>
    <w:qFormat/>
    <w:uiPriority w:val="39"/>
    <w:pPr>
      <w:ind w:left="840" w:leftChars="400"/>
    </w:pPr>
    <w:rPr>
      <w:rFonts w:ascii="Calibri" w:hAnsi="Calibri"/>
      <w:szCs w:val="22"/>
    </w:rPr>
  </w:style>
  <w:style w:type="paragraph" w:customStyle="1" w:styleId="211">
    <w:name w:val="xl97"/>
    <w:basedOn w:val="1"/>
    <w:qFormat/>
    <w:uiPriority w:val="0"/>
    <w:pPr>
      <w:pBdr>
        <w:top w:val="single" w:color="auto" w:sz="4" w:space="0"/>
        <w:left w:val="single" w:color="auto" w:sz="4" w:space="0"/>
        <w:right w:val="single" w:color="auto" w:sz="4" w:space="0"/>
      </w:pBd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paragraph" w:customStyle="1" w:styleId="212">
    <w:name w:val="xl120"/>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13">
    <w:name w:val="xl128"/>
    <w:basedOn w:val="1"/>
    <w:qFormat/>
    <w:uiPriority w:val="0"/>
    <w:pPr>
      <w:pBdr>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14">
    <w:name w:val="N4"/>
    <w:basedOn w:val="5"/>
    <w:qFormat/>
    <w:uiPriority w:val="0"/>
    <w:pPr>
      <w:numPr>
        <w:ilvl w:val="0"/>
        <w:numId w:val="0"/>
      </w:numPr>
      <w:spacing w:before="120" w:after="0"/>
      <w:ind w:left="2180" w:hanging="440"/>
    </w:pPr>
    <w:rPr>
      <w:szCs w:val="24"/>
    </w:rPr>
  </w:style>
  <w:style w:type="paragraph" w:customStyle="1" w:styleId="215">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16">
    <w:name w:val="xl112"/>
    <w:basedOn w:val="1"/>
    <w:qFormat/>
    <w:uiPriority w:val="0"/>
    <w:pPr>
      <w:pBdr>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17">
    <w:name w:val="font8"/>
    <w:basedOn w:val="1"/>
    <w:qFormat/>
    <w:uiPriority w:val="0"/>
    <w:pPr>
      <w:spacing w:before="100" w:beforeAutospacing="1" w:after="100" w:afterAutospacing="1"/>
    </w:pPr>
    <w:rPr>
      <w:rFonts w:ascii="宋体" w:hAnsi="宋体"/>
      <w:color w:val="000000"/>
      <w:sz w:val="18"/>
      <w:szCs w:val="18"/>
    </w:rPr>
  </w:style>
  <w:style w:type="paragraph" w:customStyle="1" w:styleId="218">
    <w:name w:val="xl88"/>
    <w:basedOn w:val="1"/>
    <w:qFormat/>
    <w:uiPriority w:val="0"/>
    <w:pPr>
      <w:pBdr>
        <w:top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1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20">
    <w:name w:val="换行"/>
    <w:basedOn w:val="1"/>
    <w:qFormat/>
    <w:uiPriority w:val="0"/>
    <w:pPr>
      <w:ind w:firstLine="480"/>
    </w:pPr>
    <w:rPr>
      <w:rFonts w:ascii="Arial" w:hAnsi="Arial"/>
      <w:sz w:val="18"/>
    </w:rPr>
  </w:style>
  <w:style w:type="paragraph" w:customStyle="1" w:styleId="221">
    <w:name w:val="Char Char Char Char6"/>
    <w:basedOn w:val="1"/>
    <w:qFormat/>
    <w:uiPriority w:val="0"/>
    <w:pPr>
      <w:spacing w:after="160" w:line="240" w:lineRule="exact"/>
      <w:ind w:firstLine="0" w:firstLineChars="0"/>
    </w:pPr>
    <w:rPr>
      <w:szCs w:val="20"/>
    </w:rPr>
  </w:style>
  <w:style w:type="paragraph" w:customStyle="1" w:styleId="222">
    <w:name w:val="TOC 标题12"/>
    <w:basedOn w:val="2"/>
    <w:next w:val="1"/>
    <w:semiHidden/>
    <w:qFormat/>
    <w:uiPriority w:val="39"/>
    <w:pPr>
      <w:keepLines/>
      <w:numPr>
        <w:numId w:val="0"/>
      </w:numPr>
      <w:pBdr>
        <w:bottom w:val="single" w:color="auto" w:sz="18" w:space="1"/>
      </w:pBdr>
      <w:tabs>
        <w:tab w:val="clear" w:pos="0"/>
      </w:tabs>
      <w:overflowPunct/>
      <w:adjustRightInd/>
      <w:snapToGrid/>
      <w:spacing w:after="120" w:line="276" w:lineRule="auto"/>
      <w:outlineLvl w:val="9"/>
    </w:pPr>
    <w:rPr>
      <w:rFonts w:ascii="Cambria" w:hAnsi="Cambria"/>
      <w:color w:val="365F91"/>
      <w:kern w:val="0"/>
      <w:sz w:val="28"/>
      <w:szCs w:val="28"/>
    </w:rPr>
  </w:style>
  <w:style w:type="paragraph" w:customStyle="1" w:styleId="223">
    <w:name w:val="修订13"/>
    <w:semiHidden/>
    <w:qFormat/>
    <w:uiPriority w:val="99"/>
    <w:rPr>
      <w:rFonts w:ascii="Arial" w:hAnsi="Arial" w:eastAsia="宋体" w:cs="Times New Roman"/>
      <w:kern w:val="2"/>
      <w:sz w:val="24"/>
      <w:szCs w:val="24"/>
      <w:lang w:val="en-US" w:eastAsia="zh-CN" w:bidi="ar-SA"/>
    </w:rPr>
  </w:style>
  <w:style w:type="paragraph" w:customStyle="1" w:styleId="224">
    <w:name w:val="报告名称"/>
    <w:basedOn w:val="1"/>
    <w:qFormat/>
    <w:uiPriority w:val="0"/>
    <w:pPr>
      <w:jc w:val="center"/>
    </w:pPr>
    <w:rPr>
      <w:rFonts w:eastAsia="隶书"/>
      <w:b/>
      <w:bCs/>
      <w:sz w:val="58"/>
      <w:szCs w:val="20"/>
    </w:rPr>
  </w:style>
  <w:style w:type="paragraph" w:customStyle="1" w:styleId="225">
    <w:name w:val="目录 71"/>
    <w:basedOn w:val="1"/>
    <w:next w:val="1"/>
    <w:unhideWhenUsed/>
    <w:qFormat/>
    <w:uiPriority w:val="39"/>
    <w:pPr>
      <w:ind w:left="2520" w:leftChars="1200"/>
    </w:pPr>
    <w:rPr>
      <w:rFonts w:ascii="Calibri" w:hAnsi="Calibri"/>
      <w:szCs w:val="22"/>
    </w:rPr>
  </w:style>
  <w:style w:type="paragraph" w:customStyle="1" w:styleId="226">
    <w:name w:val="msonormal"/>
    <w:basedOn w:val="1"/>
    <w:qFormat/>
    <w:uiPriority w:val="0"/>
    <w:pPr>
      <w:spacing w:before="100" w:beforeAutospacing="1" w:after="100" w:afterAutospacing="1" w:line="240" w:lineRule="auto"/>
      <w:ind w:firstLine="0" w:firstLineChars="0"/>
    </w:pPr>
    <w:rPr>
      <w:rFonts w:ascii="宋体" w:hAnsi="宋体"/>
    </w:rPr>
  </w:style>
  <w:style w:type="paragraph" w:customStyle="1" w:styleId="227">
    <w:name w:val="目录 91"/>
    <w:basedOn w:val="1"/>
    <w:next w:val="1"/>
    <w:unhideWhenUsed/>
    <w:qFormat/>
    <w:uiPriority w:val="39"/>
    <w:pPr>
      <w:ind w:left="3360" w:leftChars="1600"/>
    </w:pPr>
    <w:rPr>
      <w:rFonts w:ascii="Calibri" w:hAnsi="Calibri"/>
      <w:szCs w:val="22"/>
    </w:rPr>
  </w:style>
  <w:style w:type="paragraph" w:customStyle="1" w:styleId="228">
    <w:name w:val="修订12"/>
    <w:semiHidden/>
    <w:qFormat/>
    <w:uiPriority w:val="99"/>
    <w:rPr>
      <w:rFonts w:ascii="Arial" w:hAnsi="Arial" w:eastAsia="宋体" w:cs="Times New Roman"/>
      <w:kern w:val="2"/>
      <w:sz w:val="24"/>
      <w:szCs w:val="24"/>
      <w:lang w:val="en-US" w:eastAsia="zh-CN" w:bidi="ar-SA"/>
    </w:rPr>
  </w:style>
  <w:style w:type="paragraph" w:customStyle="1" w:styleId="229">
    <w:name w:val="xl107"/>
    <w:basedOn w:val="1"/>
    <w:qFormat/>
    <w:uiPriority w:val="0"/>
    <w:pPr>
      <w:pBdr>
        <w:top w:val="single" w:color="auto" w:sz="4" w:space="0"/>
        <w:lef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character" w:customStyle="1" w:styleId="230">
    <w:name w:val="正文文本缩进 3 字符1"/>
    <w:qFormat/>
    <w:uiPriority w:val="0"/>
    <w:rPr>
      <w:kern w:val="2"/>
      <w:sz w:val="16"/>
      <w:szCs w:val="16"/>
    </w:rPr>
  </w:style>
  <w:style w:type="paragraph" w:customStyle="1" w:styleId="231">
    <w:name w:val="xl114"/>
    <w:basedOn w:val="1"/>
    <w:qFormat/>
    <w:uiPriority w:val="0"/>
    <w:pPr>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32">
    <w:name w:val="列表段落1"/>
    <w:basedOn w:val="1"/>
    <w:qFormat/>
    <w:uiPriority w:val="0"/>
    <w:pPr>
      <w:spacing w:line="240" w:lineRule="auto"/>
      <w:ind w:firstLine="420"/>
    </w:pPr>
    <w:rPr>
      <w:szCs w:val="20"/>
    </w:rPr>
  </w:style>
  <w:style w:type="character" w:customStyle="1" w:styleId="233">
    <w:name w:val="副标题 字符1"/>
    <w:qFormat/>
    <w:uiPriority w:val="0"/>
    <w:rPr>
      <w:rFonts w:ascii="等线 Light" w:hAnsi="等线 Light" w:cs="Times New Roman"/>
      <w:b/>
      <w:bCs/>
      <w:kern w:val="28"/>
      <w:sz w:val="32"/>
      <w:szCs w:val="32"/>
    </w:rPr>
  </w:style>
  <w:style w:type="paragraph" w:customStyle="1" w:styleId="234">
    <w:name w:val="批注主题1"/>
    <w:basedOn w:val="15"/>
    <w:next w:val="15"/>
    <w:qFormat/>
    <w:uiPriority w:val="0"/>
    <w:pPr>
      <w:spacing w:line="240" w:lineRule="auto"/>
      <w:ind w:firstLine="0" w:firstLineChars="0"/>
    </w:pPr>
    <w:rPr>
      <w:b/>
      <w:sz w:val="21"/>
    </w:rPr>
  </w:style>
  <w:style w:type="paragraph" w:customStyle="1" w:styleId="235">
    <w:name w:val="表内容"/>
    <w:basedOn w:val="1"/>
    <w:qFormat/>
    <w:uiPriority w:val="0"/>
    <w:pPr>
      <w:spacing w:line="240" w:lineRule="auto"/>
      <w:jc w:val="center"/>
    </w:pPr>
    <w:rPr>
      <w:szCs w:val="21"/>
    </w:rPr>
  </w:style>
  <w:style w:type="paragraph" w:customStyle="1" w:styleId="236">
    <w:name w:val="Char Char Char Char Char Char Char Char Char Char Char Char Char Char Char Char Char Char Char"/>
    <w:basedOn w:val="1"/>
    <w:qFormat/>
    <w:uiPriority w:val="0"/>
    <w:pPr>
      <w:spacing w:line="240" w:lineRule="auto"/>
      <w:ind w:firstLine="0" w:firstLineChars="0"/>
    </w:pPr>
    <w:rPr>
      <w:szCs w:val="20"/>
    </w:rPr>
  </w:style>
  <w:style w:type="paragraph" w:customStyle="1" w:styleId="237">
    <w:name w:val="修订1"/>
    <w:semiHidden/>
    <w:qFormat/>
    <w:uiPriority w:val="99"/>
    <w:rPr>
      <w:rFonts w:ascii="Arial" w:hAnsi="Arial" w:eastAsia="宋体" w:cs="Times New Roman"/>
      <w:kern w:val="2"/>
      <w:sz w:val="24"/>
      <w:szCs w:val="24"/>
      <w:lang w:val="en-US" w:eastAsia="zh-CN" w:bidi="ar-SA"/>
    </w:rPr>
  </w:style>
  <w:style w:type="paragraph" w:customStyle="1" w:styleId="238">
    <w:name w:val="xl111"/>
    <w:basedOn w:val="1"/>
    <w:qFormat/>
    <w:uiPriority w:val="0"/>
    <w:pPr>
      <w:pBdr>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39">
    <w:name w:val="xl94"/>
    <w:basedOn w:val="1"/>
    <w:qFormat/>
    <w:uiPriority w:val="0"/>
    <w:pPr>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paragraph" w:customStyle="1" w:styleId="240">
    <w:name w:val="Char Char Char Char Char2 Char"/>
    <w:basedOn w:val="1"/>
    <w:semiHidden/>
    <w:qFormat/>
    <w:uiPriority w:val="0"/>
    <w:pPr>
      <w:adjustRightInd w:val="0"/>
      <w:snapToGrid w:val="0"/>
    </w:pPr>
    <w:rPr>
      <w:rFonts w:ascii="宋体" w:hAnsi="宋体"/>
      <w:szCs w:val="26"/>
    </w:rPr>
  </w:style>
  <w:style w:type="paragraph" w:customStyle="1" w:styleId="241">
    <w:name w:val="xl123"/>
    <w:basedOn w:val="1"/>
    <w:qFormat/>
    <w:uiPriority w:val="0"/>
    <w:pPr>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42">
    <w:name w:val="正文2"/>
    <w:qFormat/>
    <w:uiPriority w:val="0"/>
    <w:pPr>
      <w:jc w:val="both"/>
    </w:pPr>
    <w:rPr>
      <w:rFonts w:ascii="Calibri" w:hAnsi="Calibri" w:eastAsia="宋体" w:cs="宋体"/>
      <w:kern w:val="2"/>
      <w:sz w:val="21"/>
      <w:szCs w:val="21"/>
      <w:lang w:val="en-US" w:eastAsia="zh-CN" w:bidi="ar-SA"/>
    </w:rPr>
  </w:style>
  <w:style w:type="paragraph" w:customStyle="1" w:styleId="243">
    <w:name w:val="xl109"/>
    <w:basedOn w:val="1"/>
    <w:qFormat/>
    <w:uiPriority w:val="0"/>
    <w:pPr>
      <w:pBdr>
        <w:top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44">
    <w:name w:val="目录 41"/>
    <w:basedOn w:val="1"/>
    <w:next w:val="1"/>
    <w:unhideWhenUsed/>
    <w:qFormat/>
    <w:uiPriority w:val="39"/>
    <w:pPr>
      <w:ind w:left="1260" w:leftChars="600"/>
    </w:pPr>
    <w:rPr>
      <w:rFonts w:ascii="Calibri" w:hAnsi="Calibri"/>
      <w:szCs w:val="22"/>
    </w:rPr>
  </w:style>
  <w:style w:type="paragraph" w:customStyle="1" w:styleId="245">
    <w:name w:val="N3"/>
    <w:basedOn w:val="1"/>
    <w:qFormat/>
    <w:uiPriority w:val="0"/>
    <w:pPr>
      <w:outlineLvl w:val="2"/>
    </w:pPr>
    <w:rPr>
      <w:rFonts w:eastAsia="黑体"/>
      <w:sz w:val="28"/>
      <w:szCs w:val="28"/>
    </w:rPr>
  </w:style>
  <w:style w:type="paragraph" w:customStyle="1" w:styleId="246">
    <w:name w:val="默认段落字体 Para Char Char Char Char"/>
    <w:basedOn w:val="1"/>
    <w:semiHidden/>
    <w:qFormat/>
    <w:uiPriority w:val="0"/>
    <w:rPr>
      <w:rFonts w:ascii="宋体" w:hAnsi="Arial"/>
      <w:color w:val="000000"/>
      <w:sz w:val="18"/>
      <w:u w:val="single"/>
    </w:rPr>
  </w:style>
  <w:style w:type="paragraph" w:customStyle="1" w:styleId="247">
    <w:name w:val="T正文"/>
    <w:qFormat/>
    <w:uiPriority w:val="0"/>
    <w:pPr>
      <w:widowControl w:val="0"/>
      <w:adjustRightInd w:val="0"/>
      <w:snapToGrid w:val="0"/>
      <w:spacing w:line="360" w:lineRule="auto"/>
      <w:ind w:firstLine="200" w:firstLineChars="200"/>
      <w:jc w:val="both"/>
    </w:pPr>
    <w:rPr>
      <w:rFonts w:ascii="Calibri" w:hAnsi="Calibri" w:eastAsia="楷体_GB2312" w:cs="Times New Roman"/>
      <w:sz w:val="28"/>
      <w:lang w:val="en-US" w:eastAsia="zh-CN" w:bidi="ar-SA"/>
    </w:rPr>
  </w:style>
  <w:style w:type="paragraph" w:customStyle="1" w:styleId="248">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styleId="249">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250">
    <w:name w:val="font9"/>
    <w:basedOn w:val="1"/>
    <w:qFormat/>
    <w:uiPriority w:val="0"/>
    <w:pPr>
      <w:spacing w:before="100" w:beforeAutospacing="1" w:after="100" w:afterAutospacing="1"/>
    </w:pPr>
    <w:rPr>
      <w:rFonts w:ascii="宋体" w:hAnsi="宋体"/>
      <w:b/>
      <w:bCs/>
      <w:color w:val="000000"/>
      <w:sz w:val="18"/>
      <w:szCs w:val="18"/>
    </w:rPr>
  </w:style>
  <w:style w:type="paragraph" w:customStyle="1" w:styleId="251">
    <w:name w:val="xl104"/>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52">
    <w:name w:val="xl113"/>
    <w:basedOn w:val="1"/>
    <w:qFormat/>
    <w:uiPriority w:val="0"/>
    <w:pPr>
      <w:pBdr>
        <w:bottom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53">
    <w:name w:val="T表格字体"/>
    <w:basedOn w:val="1"/>
    <w:qFormat/>
    <w:uiPriority w:val="0"/>
    <w:pPr>
      <w:adjustRightInd w:val="0"/>
      <w:snapToGrid w:val="0"/>
      <w:spacing w:beforeLines="20" w:line="300" w:lineRule="auto"/>
      <w:jc w:val="center"/>
    </w:pPr>
  </w:style>
  <w:style w:type="paragraph" w:customStyle="1" w:styleId="254">
    <w:name w:val="xl89"/>
    <w:basedOn w:val="1"/>
    <w:qFormat/>
    <w:uiPriority w:val="0"/>
    <w:pPr>
      <w:pBdr>
        <w:top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55">
    <w:name w:val="xl105"/>
    <w:basedOn w:val="1"/>
    <w:qFormat/>
    <w:uiPriority w:val="0"/>
    <w:pPr>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character" w:customStyle="1" w:styleId="256">
    <w:name w:val="正文文本缩进 2 字符1"/>
    <w:qFormat/>
    <w:uiPriority w:val="0"/>
    <w:rPr>
      <w:kern w:val="2"/>
      <w:sz w:val="21"/>
      <w:szCs w:val="24"/>
    </w:rPr>
  </w:style>
  <w:style w:type="paragraph" w:customStyle="1" w:styleId="257">
    <w:name w:val="批注框文本1"/>
    <w:basedOn w:val="1"/>
    <w:qFormat/>
    <w:uiPriority w:val="0"/>
    <w:pPr>
      <w:spacing w:line="240" w:lineRule="auto"/>
      <w:ind w:firstLine="0" w:firstLineChars="0"/>
    </w:pPr>
    <w:rPr>
      <w:sz w:val="18"/>
      <w:szCs w:val="20"/>
    </w:rPr>
  </w:style>
  <w:style w:type="paragraph" w:customStyle="1" w:styleId="258">
    <w:name w:val="修订11"/>
    <w:semiHidden/>
    <w:qFormat/>
    <w:uiPriority w:val="99"/>
    <w:rPr>
      <w:rFonts w:ascii="Arial" w:hAnsi="Arial" w:eastAsia="宋体" w:cs="Times New Roman"/>
      <w:kern w:val="2"/>
      <w:sz w:val="24"/>
      <w:szCs w:val="24"/>
      <w:lang w:val="en-US" w:eastAsia="zh-CN" w:bidi="ar-SA"/>
    </w:rPr>
  </w:style>
  <w:style w:type="paragraph" w:customStyle="1" w:styleId="259">
    <w:name w:val="xl79"/>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Arial Unicode MS" w:hAnsi="Arial Unicode MS" w:eastAsia="Arial Unicode MS" w:cs="Arial Unicode MS"/>
      <w:sz w:val="20"/>
      <w:szCs w:val="20"/>
    </w:rPr>
  </w:style>
  <w:style w:type="paragraph" w:customStyle="1" w:styleId="260">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61">
    <w:name w:val="正文缩进1"/>
    <w:basedOn w:val="1"/>
    <w:qFormat/>
    <w:uiPriority w:val="0"/>
    <w:pPr>
      <w:spacing w:line="240" w:lineRule="auto"/>
      <w:ind w:firstLine="420"/>
    </w:pPr>
  </w:style>
  <w:style w:type="character" w:customStyle="1" w:styleId="262">
    <w:name w:val="脚注文本 字符1"/>
    <w:qFormat/>
    <w:uiPriority w:val="0"/>
    <w:rPr>
      <w:kern w:val="2"/>
      <w:sz w:val="18"/>
      <w:szCs w:val="18"/>
    </w:rPr>
  </w:style>
  <w:style w:type="paragraph" w:customStyle="1" w:styleId="263">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6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65">
    <w:name w:val="Char Char Char Char Char Char Char Char Char Char"/>
    <w:basedOn w:val="1"/>
    <w:semiHidden/>
    <w:qFormat/>
    <w:uiPriority w:val="0"/>
  </w:style>
  <w:style w:type="paragraph" w:customStyle="1" w:styleId="266">
    <w:name w:val="p0"/>
    <w:basedOn w:val="1"/>
    <w:qFormat/>
    <w:uiPriority w:val="0"/>
    <w:pPr>
      <w:spacing w:after="200" w:line="252" w:lineRule="auto"/>
    </w:pPr>
    <w:rPr>
      <w:rFonts w:ascii="Cambria" w:hAnsi="Cambria"/>
      <w:sz w:val="22"/>
      <w:szCs w:val="22"/>
    </w:rPr>
  </w:style>
  <w:style w:type="character" w:customStyle="1" w:styleId="267">
    <w:name w:val="页脚 字符1"/>
    <w:qFormat/>
    <w:uiPriority w:val="99"/>
    <w:rPr>
      <w:kern w:val="2"/>
      <w:sz w:val="18"/>
      <w:szCs w:val="18"/>
    </w:rPr>
  </w:style>
  <w:style w:type="character" w:customStyle="1" w:styleId="268">
    <w:name w:val="标题 字符1"/>
    <w:qFormat/>
    <w:uiPriority w:val="0"/>
    <w:rPr>
      <w:rFonts w:ascii="等线 Light" w:hAnsi="等线 Light" w:cs="Times New Roman"/>
      <w:b/>
      <w:bCs/>
      <w:kern w:val="2"/>
      <w:sz w:val="32"/>
      <w:szCs w:val="32"/>
    </w:rPr>
  </w:style>
  <w:style w:type="paragraph" w:customStyle="1" w:styleId="269">
    <w:name w:val="xl131"/>
    <w:basedOn w:val="1"/>
    <w:qFormat/>
    <w:uiPriority w:val="0"/>
    <w:pPr>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70">
    <w:name w:val="xl106"/>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71">
    <w:name w:val="xl100"/>
    <w:basedOn w:val="1"/>
    <w:qFormat/>
    <w:uiPriority w:val="0"/>
    <w:pPr>
      <w:pBdr>
        <w:top w:val="single" w:color="auto" w:sz="4" w:space="0"/>
        <w:right w:val="single" w:color="auto" w:sz="4" w:space="0"/>
      </w:pBd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character" w:customStyle="1" w:styleId="272">
    <w:name w:val="文档结构图 字符1"/>
    <w:qFormat/>
    <w:uiPriority w:val="0"/>
    <w:rPr>
      <w:rFonts w:ascii="Microsoft YaHei UI" w:eastAsia="Microsoft YaHei UI"/>
      <w:kern w:val="2"/>
      <w:sz w:val="18"/>
      <w:szCs w:val="18"/>
    </w:rPr>
  </w:style>
  <w:style w:type="paragraph" w:customStyle="1" w:styleId="273">
    <w:name w:val="表中文字"/>
    <w:basedOn w:val="1"/>
    <w:semiHidden/>
    <w:qFormat/>
    <w:uiPriority w:val="0"/>
    <w:pPr>
      <w:tabs>
        <w:tab w:val="left" w:pos="2700"/>
      </w:tabs>
      <w:spacing w:line="360" w:lineRule="exact"/>
      <w:jc w:val="center"/>
    </w:pPr>
    <w:rPr>
      <w:rFonts w:ascii="Arial" w:hAnsi="Arial"/>
      <w:szCs w:val="21"/>
    </w:rPr>
  </w:style>
  <w:style w:type="paragraph" w:customStyle="1" w:styleId="274">
    <w:name w:val="xl65"/>
    <w:basedOn w:val="1"/>
    <w:qFormat/>
    <w:uiPriority w:val="0"/>
    <w:pPr>
      <w:pBdr>
        <w:top w:val="single" w:color="auto" w:sz="12" w:space="0"/>
        <w:right w:val="single" w:color="auto" w:sz="8" w:space="0"/>
      </w:pBdr>
      <w:spacing w:before="100" w:beforeAutospacing="1" w:after="100" w:afterAutospacing="1"/>
      <w:jc w:val="center"/>
      <w:textAlignment w:val="center"/>
    </w:pPr>
    <w:rPr>
      <w:rFonts w:ascii="宋体" w:hAnsi="宋体"/>
      <w:szCs w:val="21"/>
    </w:rPr>
  </w:style>
  <w:style w:type="paragraph" w:customStyle="1" w:styleId="275">
    <w:name w:val="xl91"/>
    <w:basedOn w:val="1"/>
    <w:qFormat/>
    <w:uiPriority w:val="0"/>
    <w:pPr>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paragraph" w:customStyle="1" w:styleId="276">
    <w:name w:val="样式 1文章 + 黑体 小四 居中 首行缩进:  0 厘米 行距: 固定值 20 磅"/>
    <w:basedOn w:val="1"/>
    <w:qFormat/>
    <w:uiPriority w:val="0"/>
    <w:pPr>
      <w:snapToGrid w:val="0"/>
      <w:spacing w:line="400" w:lineRule="exact"/>
      <w:ind w:firstLine="0" w:firstLineChars="0"/>
      <w:jc w:val="center"/>
      <w:outlineLvl w:val="4"/>
    </w:pPr>
    <w:rPr>
      <w:rFonts w:ascii="黑体"/>
      <w:b/>
      <w:szCs w:val="20"/>
    </w:rPr>
  </w:style>
  <w:style w:type="paragraph" w:customStyle="1" w:styleId="277">
    <w:name w:val="xl103"/>
    <w:basedOn w:val="1"/>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Arial Unicode MS" w:hAnsi="Arial Unicode MS" w:eastAsia="Arial Unicode MS" w:cs="Arial Unicode MS"/>
      <w:sz w:val="20"/>
      <w:szCs w:val="20"/>
    </w:rPr>
  </w:style>
  <w:style w:type="paragraph" w:customStyle="1" w:styleId="278">
    <w:name w:val="标题4"/>
    <w:basedOn w:val="5"/>
    <w:next w:val="1"/>
    <w:qFormat/>
    <w:uiPriority w:val="0"/>
    <w:pPr>
      <w:numPr>
        <w:numId w:val="3"/>
      </w:numPr>
      <w:spacing w:before="0" w:beforeLines="50" w:after="0"/>
    </w:pPr>
  </w:style>
  <w:style w:type="paragraph" w:customStyle="1" w:styleId="279">
    <w:name w:val="xl67"/>
    <w:basedOn w:val="1"/>
    <w:qFormat/>
    <w:uiPriority w:val="0"/>
    <w:pPr>
      <w:spacing w:before="100" w:beforeAutospacing="1" w:after="100" w:afterAutospacing="1"/>
      <w:jc w:val="center"/>
    </w:pPr>
    <w:rPr>
      <w:rFonts w:ascii="Arial Unicode MS" w:hAnsi="Arial Unicode MS" w:eastAsia="Arial Unicode MS" w:cs="Arial Unicode MS"/>
      <w:sz w:val="20"/>
      <w:szCs w:val="20"/>
    </w:rPr>
  </w:style>
  <w:style w:type="paragraph" w:customStyle="1" w:styleId="280">
    <w:name w:val="Char Char Char Char7"/>
    <w:basedOn w:val="1"/>
    <w:qFormat/>
    <w:uiPriority w:val="0"/>
    <w:pPr>
      <w:spacing w:after="160" w:line="240" w:lineRule="exact"/>
      <w:ind w:firstLine="0" w:firstLineChars="0"/>
    </w:pPr>
    <w:rPr>
      <w:szCs w:val="20"/>
    </w:rPr>
  </w:style>
  <w:style w:type="paragraph" w:customStyle="1" w:styleId="281">
    <w:name w:val="图片样式"/>
    <w:next w:val="1"/>
    <w:qFormat/>
    <w:uiPriority w:val="0"/>
    <w:pPr>
      <w:jc w:val="center"/>
    </w:pPr>
    <w:rPr>
      <w:rFonts w:ascii="Arial" w:hAnsi="Arial" w:eastAsia="宋体" w:cs="Times New Roman"/>
      <w:kern w:val="2"/>
      <w:sz w:val="24"/>
      <w:szCs w:val="22"/>
      <w:lang w:val="en-US" w:eastAsia="zh-CN" w:bidi="ar-SA"/>
    </w:rPr>
  </w:style>
  <w:style w:type="paragraph" w:customStyle="1" w:styleId="282">
    <w:name w:val="目录 81"/>
    <w:basedOn w:val="1"/>
    <w:next w:val="1"/>
    <w:unhideWhenUsed/>
    <w:qFormat/>
    <w:uiPriority w:val="39"/>
    <w:pPr>
      <w:ind w:left="2940" w:leftChars="1400"/>
    </w:pPr>
    <w:rPr>
      <w:rFonts w:ascii="Calibri" w:hAnsi="Calibri"/>
      <w:szCs w:val="22"/>
    </w:rPr>
  </w:style>
  <w:style w:type="paragraph" w:customStyle="1" w:styleId="283">
    <w:name w:val="xl96"/>
    <w:basedOn w:val="1"/>
    <w:qFormat/>
    <w:uiPriority w:val="0"/>
    <w:pP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paragraph" w:customStyle="1" w:styleId="284">
    <w:name w:val="小节标题"/>
    <w:basedOn w:val="4"/>
    <w:qFormat/>
    <w:uiPriority w:val="0"/>
    <w:pPr>
      <w:keepNext w:val="0"/>
      <w:keepLines w:val="0"/>
      <w:tabs>
        <w:tab w:val="left" w:pos="142"/>
      </w:tabs>
      <w:spacing w:before="120"/>
      <w:ind w:left="1418" w:hanging="567"/>
    </w:pPr>
    <w:rPr>
      <w:b w:val="0"/>
      <w:bCs w:val="0"/>
      <w:sz w:val="28"/>
      <w:szCs w:val="20"/>
    </w:rPr>
  </w:style>
  <w:style w:type="paragraph" w:customStyle="1" w:styleId="285">
    <w:name w:val="无间隔1"/>
    <w:qFormat/>
    <w:uiPriority w:val="1"/>
    <w:pPr>
      <w:widowControl w:val="0"/>
      <w:jc w:val="both"/>
    </w:pPr>
    <w:rPr>
      <w:rFonts w:ascii="Calibri" w:hAnsi="Calibri" w:eastAsia="宋体" w:cs="Times New Roman"/>
      <w:kern w:val="2"/>
      <w:sz w:val="24"/>
      <w:szCs w:val="22"/>
      <w:lang w:val="en-US" w:eastAsia="zh-CN" w:bidi="ar-SA"/>
    </w:rPr>
  </w:style>
  <w:style w:type="paragraph" w:customStyle="1" w:styleId="286">
    <w:name w:val="xl84"/>
    <w:basedOn w:val="1"/>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Arial Unicode MS" w:hAnsi="Arial Unicode MS" w:eastAsia="Arial Unicode MS" w:cs="Arial Unicode MS"/>
      <w:sz w:val="20"/>
      <w:szCs w:val="20"/>
    </w:rPr>
  </w:style>
  <w:style w:type="paragraph" w:customStyle="1" w:styleId="287">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88">
    <w:name w:val="xl76"/>
    <w:basedOn w:val="1"/>
    <w:qFormat/>
    <w:uiPriority w:val="0"/>
    <w:pPr>
      <w:spacing w:before="100" w:beforeAutospacing="1" w:after="100" w:afterAutospacing="1"/>
      <w:jc w:val="center"/>
    </w:pPr>
    <w:rPr>
      <w:rFonts w:ascii="Arial Unicode MS" w:hAnsi="Arial Unicode MS" w:eastAsia="Arial Unicode MS" w:cs="Arial Unicode MS"/>
      <w:sz w:val="20"/>
      <w:szCs w:val="20"/>
    </w:rPr>
  </w:style>
  <w:style w:type="paragraph" w:customStyle="1" w:styleId="289">
    <w:name w:val="xl132"/>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90">
    <w:name w:val="正文-表格"/>
    <w:basedOn w:val="1"/>
    <w:qFormat/>
    <w:uiPriority w:val="0"/>
    <w:pPr>
      <w:spacing w:line="240" w:lineRule="auto"/>
      <w:ind w:firstLine="0" w:firstLineChars="0"/>
      <w:jc w:val="center"/>
    </w:pPr>
  </w:style>
  <w:style w:type="paragraph" w:customStyle="1" w:styleId="291">
    <w:name w:val="修订2"/>
    <w:semiHidden/>
    <w:qFormat/>
    <w:uiPriority w:val="99"/>
    <w:rPr>
      <w:rFonts w:ascii="Calibri" w:hAnsi="Calibri" w:eastAsia="宋体" w:cs="Times New Roman"/>
      <w:kern w:val="2"/>
      <w:sz w:val="24"/>
      <w:szCs w:val="24"/>
      <w:lang w:val="en-US" w:eastAsia="zh-CN" w:bidi="ar-SA"/>
    </w:rPr>
  </w:style>
  <w:style w:type="paragraph" w:customStyle="1" w:styleId="292">
    <w:name w:val="封面正文"/>
    <w:qFormat/>
    <w:uiPriority w:val="0"/>
    <w:pPr>
      <w:jc w:val="both"/>
    </w:pPr>
    <w:rPr>
      <w:rFonts w:ascii="Calibri" w:hAnsi="Calibri" w:eastAsia="宋体" w:cs="Times New Roman"/>
      <w:lang w:val="en-US" w:eastAsia="zh-CN" w:bidi="ar-SA"/>
    </w:rPr>
  </w:style>
  <w:style w:type="paragraph" w:customStyle="1" w:styleId="293">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294">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sz w:val="20"/>
      <w:szCs w:val="20"/>
    </w:rPr>
  </w:style>
  <w:style w:type="paragraph" w:customStyle="1" w:styleId="295">
    <w:name w:val="xl92"/>
    <w:basedOn w:val="1"/>
    <w:qFormat/>
    <w:uiPriority w:val="0"/>
    <w:pPr>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paragraph" w:customStyle="1" w:styleId="296">
    <w:name w:val="N1"/>
    <w:basedOn w:val="2"/>
    <w:qFormat/>
    <w:uiPriority w:val="0"/>
    <w:pPr>
      <w:keepLines/>
      <w:numPr>
        <w:numId w:val="3"/>
      </w:numPr>
      <w:overflowPunct/>
      <w:adjustRightInd/>
      <w:snapToGrid/>
      <w:spacing w:after="120" w:line="360" w:lineRule="auto"/>
      <w:jc w:val="both"/>
    </w:pPr>
    <w:rPr>
      <w:rFonts w:eastAsia="黑体"/>
      <w:color w:val="auto"/>
      <w:sz w:val="32"/>
      <w:szCs w:val="32"/>
    </w:rPr>
  </w:style>
  <w:style w:type="paragraph" w:customStyle="1" w:styleId="297">
    <w:name w:val="xl115"/>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98">
    <w:name w:val="xl98"/>
    <w:basedOn w:val="1"/>
    <w:qFormat/>
    <w:uiPriority w:val="0"/>
    <w:pPr>
      <w:pBdr>
        <w:top w:val="single" w:color="auto" w:sz="4" w:space="0"/>
        <w:left w:val="single" w:color="auto" w:sz="4" w:space="0"/>
      </w:pBdr>
      <w:shd w:val="clear" w:color="000000" w:fill="BFBFBF"/>
      <w:spacing w:before="100" w:beforeAutospacing="1" w:after="100" w:afterAutospacing="1"/>
      <w:jc w:val="center"/>
    </w:pPr>
    <w:rPr>
      <w:rFonts w:ascii="Arial Unicode MS" w:hAnsi="Arial Unicode MS" w:eastAsia="Arial Unicode MS" w:cs="Arial Unicode MS"/>
      <w:sz w:val="20"/>
      <w:szCs w:val="20"/>
    </w:rPr>
  </w:style>
  <w:style w:type="paragraph" w:customStyle="1" w:styleId="299">
    <w:name w:val="正文缩进 New New New New New New"/>
    <w:basedOn w:val="1"/>
    <w:qFormat/>
    <w:uiPriority w:val="0"/>
    <w:pPr>
      <w:spacing w:line="240" w:lineRule="auto"/>
      <w:ind w:firstLine="420"/>
    </w:pPr>
    <w:rPr>
      <w:rFonts w:ascii="Calibri" w:hAnsi="Calibri"/>
      <w:szCs w:val="21"/>
    </w:rPr>
  </w:style>
  <w:style w:type="paragraph" w:customStyle="1" w:styleId="300">
    <w:name w:val="xl125"/>
    <w:basedOn w:val="1"/>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Arial Unicode MS" w:hAnsi="Arial Unicode MS" w:eastAsia="Arial Unicode MS" w:cs="Arial Unicode MS"/>
      <w:sz w:val="20"/>
      <w:szCs w:val="20"/>
    </w:rPr>
  </w:style>
  <w:style w:type="paragraph" w:customStyle="1" w:styleId="301">
    <w:name w:val="xl118"/>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02">
    <w:name w:val="xl133"/>
    <w:basedOn w:val="1"/>
    <w:qFormat/>
    <w:uiPriority w:val="0"/>
    <w:pPr>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03">
    <w:name w:val="Char Char Char1 Char Char Char Char Char Char Char Char Char Char"/>
    <w:basedOn w:val="1"/>
    <w:qFormat/>
    <w:uiPriority w:val="0"/>
    <w:pPr>
      <w:snapToGrid w:val="0"/>
    </w:pPr>
    <w:rPr>
      <w:szCs w:val="20"/>
    </w:rPr>
  </w:style>
  <w:style w:type="paragraph" w:customStyle="1" w:styleId="304">
    <w:name w:val="图表题标"/>
    <w:basedOn w:val="1"/>
    <w:qFormat/>
    <w:uiPriority w:val="0"/>
    <w:pPr>
      <w:spacing w:beforeLines="50"/>
      <w:ind w:firstLine="0" w:firstLineChars="0"/>
      <w:jc w:val="center"/>
    </w:pPr>
    <w:rPr>
      <w:b/>
      <w:szCs w:val="20"/>
    </w:rPr>
  </w:style>
  <w:style w:type="paragraph" w:customStyle="1" w:styleId="305">
    <w:name w:val="xl126"/>
    <w:basedOn w:val="1"/>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Arial Unicode MS" w:hAnsi="Arial Unicode MS" w:eastAsia="Arial Unicode MS" w:cs="Arial Unicode MS"/>
      <w:sz w:val="20"/>
      <w:szCs w:val="20"/>
    </w:rPr>
  </w:style>
  <w:style w:type="paragraph" w:customStyle="1" w:styleId="306">
    <w:name w:val="TOC 标题2"/>
    <w:basedOn w:val="2"/>
    <w:next w:val="1"/>
    <w:qFormat/>
    <w:uiPriority w:val="39"/>
    <w:pPr>
      <w:keepLines/>
      <w:numPr>
        <w:numId w:val="0"/>
      </w:numPr>
      <w:tabs>
        <w:tab w:val="clear" w:pos="0"/>
      </w:tabs>
      <w:overflowPunct/>
      <w:adjustRightInd/>
      <w:snapToGrid/>
      <w:spacing w:after="120" w:line="276" w:lineRule="auto"/>
      <w:outlineLvl w:val="9"/>
    </w:pPr>
    <w:rPr>
      <w:rFonts w:ascii="Cambria" w:hAnsi="Cambria"/>
      <w:color w:val="365F91"/>
      <w:kern w:val="0"/>
      <w:sz w:val="28"/>
      <w:szCs w:val="28"/>
    </w:rPr>
  </w:style>
  <w:style w:type="paragraph" w:customStyle="1" w:styleId="307">
    <w:name w:val="TOC 标题21"/>
    <w:basedOn w:val="2"/>
    <w:next w:val="1"/>
    <w:qFormat/>
    <w:uiPriority w:val="0"/>
    <w:pPr>
      <w:keepNext w:val="0"/>
      <w:numPr>
        <w:numId w:val="0"/>
      </w:numPr>
      <w:tabs>
        <w:tab w:val="left" w:pos="284"/>
        <w:tab w:val="clear" w:pos="0"/>
      </w:tabs>
      <w:overflowPunct/>
      <w:adjustRightInd/>
      <w:snapToGrid/>
      <w:spacing w:after="120" w:line="360" w:lineRule="auto"/>
      <w:ind w:left="902" w:hanging="420"/>
    </w:pPr>
    <w:rPr>
      <w:bCs w:val="0"/>
      <w:color w:val="auto"/>
      <w:sz w:val="28"/>
      <w:szCs w:val="20"/>
    </w:rPr>
  </w:style>
  <w:style w:type="paragraph" w:customStyle="1" w:styleId="308">
    <w:name w:val="xl134"/>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09">
    <w:name w:val="font6"/>
    <w:basedOn w:val="1"/>
    <w:qFormat/>
    <w:uiPriority w:val="0"/>
    <w:pPr>
      <w:spacing w:before="100" w:beforeAutospacing="1" w:after="100" w:afterAutospacing="1"/>
    </w:pPr>
    <w:rPr>
      <w:rFonts w:ascii="Arial Unicode MS" w:hAnsi="Arial Unicode MS" w:eastAsia="Arial Unicode MS" w:cs="Arial Unicode MS"/>
      <w:sz w:val="20"/>
      <w:szCs w:val="20"/>
    </w:rPr>
  </w:style>
  <w:style w:type="paragraph" w:customStyle="1" w:styleId="310">
    <w:name w:val="TOC 标题13"/>
    <w:basedOn w:val="2"/>
    <w:next w:val="1"/>
    <w:qFormat/>
    <w:uiPriority w:val="39"/>
    <w:pPr>
      <w:keepLines/>
      <w:numPr>
        <w:numId w:val="0"/>
      </w:numPr>
      <w:pBdr>
        <w:bottom w:val="single" w:color="auto" w:sz="18" w:space="1"/>
      </w:pBdr>
      <w:tabs>
        <w:tab w:val="clear" w:pos="0"/>
      </w:tabs>
      <w:overflowPunct/>
      <w:adjustRightInd/>
      <w:snapToGrid/>
      <w:spacing w:after="120" w:line="276" w:lineRule="auto"/>
      <w:outlineLvl w:val="9"/>
    </w:pPr>
    <w:rPr>
      <w:rFonts w:ascii="Cambria" w:hAnsi="Cambria"/>
      <w:color w:val="365F91"/>
      <w:kern w:val="0"/>
      <w:sz w:val="28"/>
      <w:szCs w:val="28"/>
    </w:rPr>
  </w:style>
  <w:style w:type="paragraph" w:customStyle="1" w:styleId="311">
    <w:name w:val="xl110"/>
    <w:basedOn w:val="1"/>
    <w:qFormat/>
    <w:uiPriority w:val="0"/>
    <w:pPr>
      <w:pBdr>
        <w:lef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12">
    <w:name w:val="T2"/>
    <w:basedOn w:val="3"/>
    <w:qFormat/>
    <w:uiPriority w:val="0"/>
    <w:pPr>
      <w:keepLines w:val="0"/>
      <w:tabs>
        <w:tab w:val="left" w:pos="360"/>
      </w:tabs>
      <w:spacing w:before="0"/>
    </w:pPr>
    <w:rPr>
      <w:rFonts w:ascii="宋体" w:hAnsi="宋体"/>
      <w:bCs w:val="0"/>
      <w:sz w:val="28"/>
      <w:szCs w:val="24"/>
    </w:rPr>
  </w:style>
  <w:style w:type="paragraph" w:customStyle="1" w:styleId="313">
    <w:name w:val="xl119"/>
    <w:basedOn w:val="1"/>
    <w:qFormat/>
    <w:uiPriority w:val="0"/>
    <w:pPr>
      <w:pBdr>
        <w:top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14">
    <w:name w:val="xl87"/>
    <w:basedOn w:val="1"/>
    <w:qFormat/>
    <w:uiPriority w:val="0"/>
    <w:pPr>
      <w:pBdr>
        <w:top w:val="single" w:color="auto" w:sz="4" w:space="0"/>
        <w:lef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15">
    <w:name w:val="xl122"/>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16">
    <w:name w:val="TOC 标题11"/>
    <w:basedOn w:val="2"/>
    <w:next w:val="1"/>
    <w:semiHidden/>
    <w:qFormat/>
    <w:uiPriority w:val="39"/>
    <w:pPr>
      <w:keepLines/>
      <w:numPr>
        <w:numId w:val="0"/>
      </w:numPr>
      <w:pBdr>
        <w:bottom w:val="single" w:color="auto" w:sz="18" w:space="1"/>
      </w:pBdr>
      <w:tabs>
        <w:tab w:val="clear" w:pos="0"/>
      </w:tabs>
      <w:overflowPunct/>
      <w:adjustRightInd/>
      <w:snapToGrid/>
      <w:spacing w:after="120" w:line="276" w:lineRule="auto"/>
      <w:outlineLvl w:val="9"/>
    </w:pPr>
    <w:rPr>
      <w:rFonts w:ascii="Cambria" w:hAnsi="Cambria"/>
      <w:color w:val="365F91"/>
      <w:kern w:val="0"/>
      <w:sz w:val="28"/>
      <w:szCs w:val="28"/>
    </w:rPr>
  </w:style>
  <w:style w:type="paragraph" w:customStyle="1" w:styleId="317">
    <w:name w:val="Char Char Char Char2"/>
    <w:basedOn w:val="1"/>
    <w:qFormat/>
    <w:uiPriority w:val="0"/>
    <w:rPr>
      <w:szCs w:val="20"/>
    </w:rPr>
  </w:style>
  <w:style w:type="paragraph" w:customStyle="1" w:styleId="318">
    <w:name w:val="Char Char Char Char3"/>
    <w:basedOn w:val="1"/>
    <w:qFormat/>
    <w:uiPriority w:val="0"/>
    <w:pPr>
      <w:spacing w:after="160" w:line="240" w:lineRule="exact"/>
      <w:ind w:firstLine="0" w:firstLineChars="0"/>
    </w:pPr>
    <w:rPr>
      <w:szCs w:val="20"/>
    </w:rPr>
  </w:style>
  <w:style w:type="paragraph" w:customStyle="1" w:styleId="319">
    <w:name w:val="Char Char Char1 Char Char Char Char Char Char Char Char Char Char1"/>
    <w:basedOn w:val="1"/>
    <w:qFormat/>
    <w:uiPriority w:val="0"/>
    <w:pPr>
      <w:snapToGrid w:val="0"/>
    </w:pPr>
    <w:rPr>
      <w:szCs w:val="20"/>
    </w:rPr>
  </w:style>
  <w:style w:type="paragraph" w:customStyle="1" w:styleId="320">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21">
    <w:name w:val="xl101"/>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table" w:customStyle="1" w:styleId="322">
    <w:name w:val="专业网格1"/>
    <w:basedOn w:val="46"/>
    <w:qFormat/>
    <w:uiPriority w:val="5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
    <w:name w:val="专业网格3"/>
    <w:basedOn w:val="46"/>
    <w:qFormat/>
    <w:uiPriority w:val="39"/>
    <w:pPr>
      <w:widowControl w:val="0"/>
      <w:spacing w:line="360" w:lineRule="auto"/>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style>
  <w:style w:type="table" w:customStyle="1" w:styleId="324">
    <w:name w:val="网格型2"/>
    <w:basedOn w:val="46"/>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
    <w:name w:val="网格型 54"/>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cPr>
        <w:tcBorders>
          <w:top w:val="nil"/>
          <w:left w:val="nil"/>
          <w:bottom w:val="single" w:color="000000" w:sz="12" w:space="0"/>
          <w:right w:val="nil"/>
          <w:insideH w:val="nil"/>
          <w:insideV w:val="nil"/>
          <w:tl2br w:val="nil"/>
          <w:tr2bl w:val="nil"/>
        </w:tcBorders>
      </w:tcPr>
    </w:tblStylePr>
    <w:tblStylePr w:type="lastRow">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single" w:color="000000" w:sz="6" w:space="0"/>
          <w:tr2bl w:val="nil"/>
        </w:tcBorders>
      </w:tcPr>
    </w:tblStylePr>
  </w:style>
  <w:style w:type="table" w:customStyle="1" w:styleId="326">
    <w:name w:val="网格型 512"/>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cPr>
        <w:tcBorders>
          <w:top w:val="nil"/>
          <w:left w:val="nil"/>
          <w:bottom w:val="single" w:color="000000" w:sz="12" w:space="0"/>
          <w:right w:val="nil"/>
          <w:insideH w:val="nil"/>
          <w:insideV w:val="nil"/>
          <w:tl2br w:val="nil"/>
          <w:tr2bl w:val="nil"/>
        </w:tcBorders>
      </w:tcPr>
    </w:tblStylePr>
    <w:tblStylePr w:type="lastRow">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single" w:color="000000" w:sz="6" w:space="0"/>
          <w:tr2bl w:val="nil"/>
        </w:tcBorders>
      </w:tcPr>
    </w:tblStylePr>
  </w:style>
  <w:style w:type="table" w:customStyle="1" w:styleId="327">
    <w:name w:val="网格型11"/>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
    <w:name w:val="网格型211"/>
    <w:basedOn w:val="4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
    <w:name w:val="网格型 52"/>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cPr>
        <w:tcBorders>
          <w:top w:val="nil"/>
          <w:left w:val="nil"/>
          <w:bottom w:val="single" w:color="000000" w:sz="12" w:space="0"/>
          <w:right w:val="nil"/>
          <w:insideH w:val="nil"/>
          <w:insideV w:val="nil"/>
          <w:tl2br w:val="nil"/>
          <w:tr2bl w:val="nil"/>
        </w:tcBorders>
      </w:tcPr>
    </w:tblStylePr>
    <w:tblStylePr w:type="lastRow">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single" w:color="000000" w:sz="6" w:space="0"/>
          <w:tr2bl w:val="nil"/>
        </w:tcBorders>
      </w:tcPr>
    </w:tblStylePr>
  </w:style>
  <w:style w:type="table" w:customStyle="1" w:styleId="330">
    <w:name w:val="(环评报告表）1"/>
    <w:basedOn w:val="46"/>
    <w:qFormat/>
    <w:uiPriority w:val="0"/>
    <w:pPr>
      <w:widowControl w:val="0"/>
      <w:spacing w:line="360" w:lineRule="auto"/>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style>
  <w:style w:type="table" w:customStyle="1" w:styleId="331">
    <w:name w:val="网格型1"/>
    <w:basedOn w:val="4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2">
    <w:name w:val="表格主题1"/>
    <w:basedOn w:val="46"/>
    <w:qFormat/>
    <w:uiPriority w:val="0"/>
    <w:pPr>
      <w:widowControl w:val="0"/>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table" w:customStyle="1" w:styleId="333">
    <w:name w:val="专业网格2"/>
    <w:basedOn w:val="46"/>
    <w:qFormat/>
    <w:uiPriority w:val="39"/>
    <w:pPr>
      <w:widowControl w:val="0"/>
      <w:spacing w:line="360" w:lineRule="auto"/>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style>
  <w:style w:type="table" w:customStyle="1" w:styleId="334">
    <w:name w:val="网格型13"/>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
    <w:name w:val="网格型23"/>
    <w:basedOn w:val="4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
    <w:name w:val="网格型 51"/>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cPr>
        <w:tcBorders>
          <w:top w:val="nil"/>
          <w:left w:val="nil"/>
          <w:bottom w:val="single" w:color="000000" w:sz="12" w:space="0"/>
          <w:right w:val="nil"/>
          <w:insideH w:val="nil"/>
          <w:insideV w:val="nil"/>
          <w:tl2br w:val="nil"/>
          <w:tr2bl w:val="nil"/>
        </w:tcBorders>
      </w:tcPr>
    </w:tblStylePr>
    <w:tblStylePr w:type="lastRow">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single" w:color="000000" w:sz="6" w:space="0"/>
          <w:tr2bl w:val="nil"/>
        </w:tcBorders>
      </w:tcPr>
    </w:tblStylePr>
  </w:style>
  <w:style w:type="table" w:customStyle="1" w:styleId="337">
    <w:name w:val="网格型 511"/>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cPr>
        <w:tcBorders>
          <w:top w:val="nil"/>
          <w:left w:val="nil"/>
          <w:bottom w:val="single" w:color="000000" w:sz="12" w:space="0"/>
          <w:right w:val="nil"/>
          <w:insideH w:val="nil"/>
          <w:insideV w:val="nil"/>
          <w:tl2br w:val="nil"/>
          <w:tr2bl w:val="nil"/>
        </w:tcBorders>
      </w:tcPr>
    </w:tblStylePr>
    <w:tblStylePr w:type="lastRow">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single" w:color="000000" w:sz="6" w:space="0"/>
          <w:tr2bl w:val="nil"/>
        </w:tcBorders>
      </w:tcPr>
    </w:tblStylePr>
  </w:style>
  <w:style w:type="table" w:customStyle="1" w:styleId="338">
    <w:name w:val="网格型 514"/>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cPr>
        <w:tcBorders>
          <w:top w:val="nil"/>
          <w:left w:val="nil"/>
          <w:bottom w:val="single" w:color="000000" w:sz="12" w:space="0"/>
          <w:right w:val="nil"/>
          <w:insideH w:val="nil"/>
          <w:insideV w:val="nil"/>
          <w:tl2br w:val="nil"/>
          <w:tr2bl w:val="nil"/>
        </w:tcBorders>
      </w:tcPr>
    </w:tblStylePr>
    <w:tblStylePr w:type="lastRow">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single" w:color="000000" w:sz="6" w:space="0"/>
          <w:tr2bl w:val="nil"/>
        </w:tcBorders>
      </w:tcPr>
    </w:tblStylePr>
  </w:style>
  <w:style w:type="table" w:customStyle="1" w:styleId="339">
    <w:name w:val="网格型212"/>
    <w:basedOn w:val="4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
    <w:name w:val="网格型 513"/>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cPr>
        <w:tcBorders>
          <w:top w:val="nil"/>
          <w:left w:val="nil"/>
          <w:bottom w:val="single" w:color="000000" w:sz="12" w:space="0"/>
          <w:right w:val="nil"/>
          <w:insideH w:val="nil"/>
          <w:insideV w:val="nil"/>
          <w:tl2br w:val="nil"/>
          <w:tr2bl w:val="nil"/>
        </w:tcBorders>
      </w:tcPr>
    </w:tblStylePr>
    <w:tblStylePr w:type="lastRow">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single" w:color="000000" w:sz="6" w:space="0"/>
          <w:tr2bl w:val="nil"/>
        </w:tcBorders>
      </w:tcPr>
    </w:tblStylePr>
  </w:style>
  <w:style w:type="table" w:customStyle="1" w:styleId="341">
    <w:name w:val="网格型21"/>
    <w:basedOn w:val="4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
    <w:name w:val="表格样式1"/>
    <w:basedOn w:val="46"/>
    <w:qFormat/>
    <w:uiPriority w:val="0"/>
    <w:pPr>
      <w:spacing w:line="240" w:lineRule="atLeast"/>
      <w:jc w:val="center"/>
    </w:pPr>
    <w:tblPr>
      <w:tblBorders>
        <w:top w:val="single" w:color="auto" w:sz="12" w:space="0"/>
        <w:bottom w:val="single" w:color="auto" w:sz="12" w:space="0"/>
        <w:insideH w:val="single" w:color="auto" w:sz="6" w:space="0"/>
        <w:insideV w:val="single" w:color="auto" w:sz="6" w:space="0"/>
      </w:tblBorders>
    </w:tblPr>
  </w:style>
  <w:style w:type="table" w:customStyle="1" w:styleId="343">
    <w:name w:val="网格型 53"/>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cPr>
        <w:tcBorders>
          <w:top w:val="nil"/>
          <w:left w:val="nil"/>
          <w:bottom w:val="single" w:color="000000" w:sz="12" w:space="0"/>
          <w:right w:val="nil"/>
          <w:insideH w:val="nil"/>
          <w:insideV w:val="nil"/>
          <w:tl2br w:val="nil"/>
          <w:tr2bl w:val="nil"/>
        </w:tcBorders>
      </w:tcPr>
    </w:tblStylePr>
    <w:tblStylePr w:type="lastRow">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single" w:color="000000" w:sz="6" w:space="0"/>
          <w:tr2bl w:val="nil"/>
        </w:tcBorders>
      </w:tcPr>
    </w:tblStylePr>
  </w:style>
  <w:style w:type="table" w:customStyle="1" w:styleId="344">
    <w:name w:val="网格型12"/>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
    <w:name w:val="网格型22"/>
    <w:basedOn w:val="4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
    <w:name w:val="(环评报告表）2"/>
    <w:basedOn w:val="46"/>
    <w:qFormat/>
    <w:uiPriority w:val="39"/>
    <w:pPr>
      <w:widowControl w:val="0"/>
      <w:spacing w:line="360" w:lineRule="auto"/>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style>
  <w:style w:type="table" w:customStyle="1" w:styleId="347">
    <w:name w:val="Table Normal1"/>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348">
    <w:name w:val="网格型 55"/>
    <w:basedOn w:val="4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cPr>
        <w:tcBorders>
          <w:top w:val="nil"/>
          <w:left w:val="nil"/>
          <w:bottom w:val="single" w:color="000000" w:sz="12" w:space="0"/>
          <w:right w:val="nil"/>
          <w:insideH w:val="nil"/>
          <w:insideV w:val="nil"/>
          <w:tl2br w:val="nil"/>
          <w:tr2bl w:val="nil"/>
        </w:tcBorders>
      </w:tcPr>
    </w:tblStylePr>
    <w:tblStylePr w:type="lastRow">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single" w:color="000000" w:sz="6" w:space="0"/>
          <w:tr2bl w:val="nil"/>
        </w:tcBorders>
      </w:tcPr>
    </w:tblStylePr>
  </w:style>
  <w:style w:type="paragraph" w:customStyle="1" w:styleId="349">
    <w:name w:val="大标题一"/>
    <w:qFormat/>
    <w:uiPriority w:val="0"/>
    <w:pPr>
      <w:jc w:val="center"/>
      <w:outlineLvl w:val="0"/>
    </w:pPr>
    <w:rPr>
      <w:rFonts w:ascii="黑体" w:hAnsi="黑体" w:eastAsia="黑体" w:cs="Times New Roman"/>
      <w:b/>
      <w:snapToGrid w:val="0"/>
      <w:sz w:val="30"/>
      <w:szCs w:val="30"/>
      <w:lang w:val="en-US" w:eastAsia="zh-CN" w:bidi="ar-SA"/>
    </w:rPr>
  </w:style>
  <w:style w:type="table" w:customStyle="1" w:styleId="350">
    <w:name w:val="表格主题11"/>
    <w:basedOn w:val="46"/>
    <w:qFormat/>
    <w:uiPriority w:val="0"/>
    <w:pPr>
      <w:widowControl w:val="0"/>
      <w:jc w:val="center"/>
    </w:pPr>
    <w:rPr>
      <w:rFonts w:ascii="Calibri" w:hAnsi="Calibri"/>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paragraph" w:customStyle="1" w:styleId="351">
    <w:name w:val="表格标题"/>
    <w:link w:val="352"/>
    <w:qFormat/>
    <w:uiPriority w:val="0"/>
    <w:pPr>
      <w:tabs>
        <w:tab w:val="right" w:leader="dot" w:pos="8296"/>
      </w:tabs>
      <w:spacing w:before="50" w:beforeLines="50" w:line="300" w:lineRule="auto"/>
      <w:jc w:val="center"/>
    </w:pPr>
    <w:rPr>
      <w:rFonts w:ascii="Times New Roman" w:hAnsi="Times New Roman" w:eastAsia="宋体" w:cs="Times New Roman"/>
      <w:b/>
      <w:kern w:val="2"/>
      <w:sz w:val="24"/>
      <w:szCs w:val="24"/>
      <w:lang w:val="en-US" w:eastAsia="zh-CN" w:bidi="ar-SA"/>
    </w:rPr>
  </w:style>
  <w:style w:type="character" w:customStyle="1" w:styleId="352">
    <w:name w:val="表格标题 Char"/>
    <w:link w:val="351"/>
    <w:qFormat/>
    <w:uiPriority w:val="0"/>
    <w:rPr>
      <w:rFonts w:ascii="Times New Roman" w:hAnsi="Times New Roman" w:eastAsia="宋体"/>
      <w:b/>
      <w:kern w:val="2"/>
      <w:sz w:val="24"/>
      <w:szCs w:val="24"/>
    </w:rPr>
  </w:style>
  <w:style w:type="paragraph" w:customStyle="1" w:styleId="353">
    <w:name w:val="图表标题"/>
    <w:basedOn w:val="1"/>
    <w:qFormat/>
    <w:uiPriority w:val="0"/>
    <w:pPr>
      <w:ind w:firstLine="0" w:firstLineChars="0"/>
      <w:jc w:val="center"/>
    </w:pPr>
    <w:rPr>
      <w:b/>
    </w:rPr>
  </w:style>
  <w:style w:type="paragraph" w:customStyle="1" w:styleId="354">
    <w:name w:val="一级标题"/>
    <w:basedOn w:val="1"/>
    <w:qFormat/>
    <w:uiPriority w:val="0"/>
    <w:pPr>
      <w:autoSpaceDE w:val="0"/>
      <w:autoSpaceDN w:val="0"/>
      <w:spacing w:before="50" w:beforeLines="50"/>
      <w:outlineLvl w:val="0"/>
    </w:pPr>
    <w:rPr>
      <w:rFonts w:cs="Times New Roman"/>
      <w:b/>
      <w:sz w:val="28"/>
      <w:szCs w:val="28"/>
    </w:rPr>
  </w:style>
  <w:style w:type="paragraph" w:customStyle="1" w:styleId="355">
    <w:name w:val="正文格式"/>
    <w:basedOn w:val="1"/>
    <w:qFormat/>
    <w:uiPriority w:val="0"/>
    <w:pPr>
      <w:ind w:firstLine="480"/>
    </w:pPr>
    <w:rPr>
      <w:rFonts w:cs="Times New Roman"/>
    </w:rPr>
  </w:style>
  <w:style w:type="paragraph" w:customStyle="1" w:styleId="356">
    <w:name w:val="正文(首行缩进)"/>
    <w:basedOn w:val="1"/>
    <w:qFormat/>
    <w:uiPriority w:val="0"/>
    <w:pPr>
      <w:widowControl w:val="0"/>
      <w:adjustRightInd w:val="0"/>
      <w:snapToGrid w:val="0"/>
      <w:jc w:val="both"/>
    </w:pPr>
    <w:rPr>
      <w:snapToGrid w:val="0"/>
    </w:rPr>
  </w:style>
  <w:style w:type="paragraph" w:customStyle="1" w:styleId="357">
    <w:name w:val="表头"/>
    <w:basedOn w:val="358"/>
    <w:next w:val="1"/>
    <w:qFormat/>
    <w:uiPriority w:val="0"/>
    <w:pPr>
      <w:tabs>
        <w:tab w:val="left" w:pos="0"/>
      </w:tabs>
      <w:spacing w:after="30" w:afterLines="30" w:line="240" w:lineRule="auto"/>
    </w:pPr>
    <w:rPr>
      <w:rFonts w:ascii="宋体" w:hAnsi="宋体" w:eastAsia="黑体"/>
      <w:snapToGrid w:val="0"/>
    </w:rPr>
  </w:style>
  <w:style w:type="paragraph" w:customStyle="1" w:styleId="358">
    <w:name w:val="正文1"/>
    <w:basedOn w:val="17"/>
    <w:qFormat/>
    <w:uiPriority w:val="0"/>
    <w:pPr>
      <w:tabs>
        <w:tab w:val="left" w:pos="0"/>
      </w:tabs>
      <w:adjustRightInd w:val="0"/>
      <w:spacing w:line="312" w:lineRule="atLeast"/>
      <w:textAlignment w:val="baseline"/>
    </w:pPr>
  </w:style>
  <w:style w:type="paragraph" w:customStyle="1" w:styleId="359">
    <w:name w:val="SpireTableThStylea9b4804b-bc4a-441e-b974-c6fd14886c31"/>
    <w:basedOn w:val="1"/>
    <w:qFormat/>
    <w:uiPriority w:val="0"/>
    <w:pPr>
      <w:jc w:val="center"/>
    </w:pPr>
    <w:rPr>
      <w:b/>
    </w:rPr>
  </w:style>
  <w:style w:type="paragraph" w:customStyle="1" w:styleId="360">
    <w:name w:val="修订3"/>
    <w:hidden/>
    <w:semiHidden/>
    <w:qFormat/>
    <w:uiPriority w:val="99"/>
    <w:rPr>
      <w:rFonts w:ascii="Times New Roman" w:hAnsi="Times New Roman" w:eastAsia="宋体" w:cs="宋体"/>
      <w:sz w:val="24"/>
      <w:szCs w:val="24"/>
      <w:lang w:val="en-US" w:eastAsia="zh-CN" w:bidi="ar-SA"/>
    </w:rPr>
  </w:style>
  <w:style w:type="character" w:customStyle="1" w:styleId="361">
    <w:name w:val="apple-converted-space"/>
    <w:basedOn w:val="50"/>
    <w:qFormat/>
    <w:uiPriority w:val="0"/>
  </w:style>
  <w:style w:type="paragraph" w:customStyle="1" w:styleId="362">
    <w:name w:val="图标标题"/>
    <w:basedOn w:val="358"/>
    <w:qFormat/>
    <w:uiPriority w:val="0"/>
    <w:pPr>
      <w:widowControl w:val="0"/>
      <w:spacing w:line="360" w:lineRule="auto"/>
      <w:jc w:val="center"/>
    </w:pPr>
    <w:rPr>
      <w:rFonts w:cs="Times New Roman"/>
      <w:b/>
      <w:szCs w:val="24"/>
    </w:rPr>
  </w:style>
  <w:style w:type="paragraph" w:customStyle="1" w:styleId="363">
    <w:name w:val="0-正文"/>
    <w:basedOn w:val="1"/>
    <w:qFormat/>
    <w:uiPriority w:val="0"/>
  </w:style>
  <w:style w:type="paragraph" w:customStyle="1" w:styleId="364">
    <w:name w:val="图名"/>
    <w:basedOn w:val="1"/>
    <w:qFormat/>
    <w:uiPriority w:val="0"/>
    <w:pPr>
      <w:ind w:firstLine="0" w:firstLineChars="0"/>
      <w:jc w:val="center"/>
    </w:pPr>
    <w:rPr>
      <w:rFonts w:eastAsia="黑体"/>
      <w:b/>
    </w:rPr>
  </w:style>
  <w:style w:type="paragraph" w:customStyle="1" w:styleId="365">
    <w:name w:val="Revision"/>
    <w:hidden/>
    <w:semiHidden/>
    <w:qFormat/>
    <w:uiPriority w:val="99"/>
    <w:rPr>
      <w:rFonts w:ascii="Times New Roman"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4.jpeg"/><Relationship Id="rId55" Type="http://schemas.openxmlformats.org/officeDocument/2006/relationships/image" Target="media/image33.jpeg"/><Relationship Id="rId54" Type="http://schemas.openxmlformats.org/officeDocument/2006/relationships/image" Target="media/image32.png"/><Relationship Id="rId53" Type="http://schemas.openxmlformats.org/officeDocument/2006/relationships/image" Target="media/image31.emf"/><Relationship Id="rId52" Type="http://schemas.openxmlformats.org/officeDocument/2006/relationships/image" Target="media/image30.png"/><Relationship Id="rId51" Type="http://schemas.openxmlformats.org/officeDocument/2006/relationships/image" Target="media/image29.emf"/><Relationship Id="rId50" Type="http://schemas.openxmlformats.org/officeDocument/2006/relationships/image" Target="media/image28.wmf"/><Relationship Id="rId5" Type="http://schemas.openxmlformats.org/officeDocument/2006/relationships/header" Target="header1.xml"/><Relationship Id="rId49" Type="http://schemas.openxmlformats.org/officeDocument/2006/relationships/image" Target="media/image27.wmf"/><Relationship Id="rId48" Type="http://schemas.openxmlformats.org/officeDocument/2006/relationships/image" Target="media/image26.wmf"/><Relationship Id="rId47" Type="http://schemas.openxmlformats.org/officeDocument/2006/relationships/image" Target="media/image25.wmf"/><Relationship Id="rId46" Type="http://schemas.openxmlformats.org/officeDocument/2006/relationships/image" Target="media/image24.jpeg"/><Relationship Id="rId45" Type="http://schemas.openxmlformats.org/officeDocument/2006/relationships/image" Target="media/image23.wmf"/><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jpeg"/><Relationship Id="rId33" Type="http://schemas.openxmlformats.org/officeDocument/2006/relationships/oleObject" Target="embeddings/oleObject6.bin"/><Relationship Id="rId32" Type="http://schemas.openxmlformats.org/officeDocument/2006/relationships/image" Target="media/image11.wmf"/><Relationship Id="rId31" Type="http://schemas.openxmlformats.org/officeDocument/2006/relationships/oleObject" Target="embeddings/oleObject5.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9.wmf"/><Relationship Id="rId27" Type="http://schemas.openxmlformats.org/officeDocument/2006/relationships/oleObject" Target="embeddings/oleObject3.bin"/><Relationship Id="rId26" Type="http://schemas.openxmlformats.org/officeDocument/2006/relationships/image" Target="media/image8.wmf"/><Relationship Id="rId25" Type="http://schemas.openxmlformats.org/officeDocument/2006/relationships/oleObject" Target="embeddings/oleObject2.bin"/><Relationship Id="rId24" Type="http://schemas.openxmlformats.org/officeDocument/2006/relationships/image" Target="media/image7.wmf"/><Relationship Id="rId23" Type="http://schemas.openxmlformats.org/officeDocument/2006/relationships/oleObject" Target="embeddings/oleObject1.bin"/><Relationship Id="rId22" Type="http://schemas.openxmlformats.org/officeDocument/2006/relationships/image" Target="media/image6.jpeg"/><Relationship Id="rId21" Type="http://schemas.openxmlformats.org/officeDocument/2006/relationships/image" Target="media/image5.wmf"/><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CB4761-3D33-0C46-B511-0E2F9710C0B6}">
  <ds:schemaRefs/>
</ds:datastoreItem>
</file>

<file path=docProps/app.xml><?xml version="1.0" encoding="utf-8"?>
<Properties xmlns="http://schemas.openxmlformats.org/officeDocument/2006/extended-properties" xmlns:vt="http://schemas.openxmlformats.org/officeDocument/2006/docPropsVTypes">
  <Template>Normal.dotm</Template>
  <Pages>136</Pages>
  <Words>14514</Words>
  <Characters>15556</Characters>
  <Lines>705</Lines>
  <Paragraphs>198</Paragraphs>
  <TotalTime>14</TotalTime>
  <ScaleCrop>false</ScaleCrop>
  <LinksUpToDate>false</LinksUpToDate>
  <CharactersWithSpaces>15740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2026-05-11T12:12:00Z</dcterms:created>
  <dc:creator>lhj</dc:creator>
  <cp:lastModifiedBy>cissyliao</cp:lastModifiedBy>
  <cp:lastPrinted>2021-01-01T02:43:00Z</cp:lastPrinted>
  <dcterms:modified xsi:type="dcterms:W3CDTF">2026-06-01T07:58:02Z</dcterms:modified>
  <dc:title>2</dc:title>
  <cp:revision>231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7807096089C24312B68A30C1A62047ED_13</vt:lpwstr>
  </property>
  <property fmtid="{D5CDD505-2E9C-101B-9397-08002B2CF9AE}" pid="4" name="KSOTemplateDocerSaveRecord">
    <vt:lpwstr>eyJoZGlkIjoiMTE3OGI4YWFmMWU2YWZiODU5OTVmNjcyZThhMWU5NjQiLCJ1c2VySWQiOiI0MzY2MzI5MzUifQ==</vt:lpwstr>
  </property>
</Properties>
</file>