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CFBAFA">
      <w:pPr>
        <w:rPr>
          <w:rFonts w:hint="default" w:ascii="Times New Roman" w:hAnsi="Times New Roman" w:eastAsia="宋体" w:cs="Times New Roman"/>
          <w:color w:val="auto"/>
          <w:sz w:val="36"/>
          <w:szCs w:val="36"/>
          <w:lang w:eastAsia="zh-CN"/>
        </w:rPr>
      </w:pPr>
      <w:r>
        <w:rPr>
          <w:rFonts w:hint="default" w:ascii="Times New Roman" w:hAnsi="Times New Roman" w:eastAsia="宋体" w:cs="Times New Roman"/>
          <w:color w:val="auto"/>
          <w:sz w:val="36"/>
          <w:szCs w:val="36"/>
          <w:lang w:eastAsia="zh-CN"/>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5759450" cy="8151495"/>
            <wp:effectExtent l="0" t="0" r="12700" b="1905"/>
            <wp:wrapNone/>
            <wp:docPr id="8" name="图片 8" descr="建设项目环境影响报告表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建设项目环境影响报告表_01"/>
                    <pic:cNvPicPr>
                      <a:picLocks noChangeAspect="1"/>
                    </pic:cNvPicPr>
                  </pic:nvPicPr>
                  <pic:blipFill>
                    <a:blip r:embed="rId10"/>
                    <a:stretch>
                      <a:fillRect/>
                    </a:stretch>
                  </pic:blipFill>
                  <pic:spPr>
                    <a:xfrm>
                      <a:off x="0" y="0"/>
                      <a:ext cx="5759450" cy="8151495"/>
                    </a:xfrm>
                    <a:prstGeom prst="rect">
                      <a:avLst/>
                    </a:prstGeom>
                  </pic:spPr>
                </pic:pic>
              </a:graphicData>
            </a:graphic>
          </wp:anchor>
        </w:drawing>
      </w:r>
    </w:p>
    <w:p w14:paraId="150A1911">
      <w:pPr>
        <w:rPr>
          <w:rFonts w:hint="default" w:ascii="Times New Roman" w:hAnsi="Times New Roman" w:eastAsia="宋体" w:cs="Times New Roman"/>
          <w:color w:val="auto"/>
          <w:sz w:val="36"/>
          <w:szCs w:val="36"/>
          <w:lang w:eastAsia="zh-CN"/>
        </w:rPr>
      </w:pPr>
    </w:p>
    <w:p w14:paraId="3B635D39">
      <w:pPr>
        <w:rPr>
          <w:rFonts w:hint="eastAsia" w:ascii="Times New Roman" w:hAnsi="Times New Roman" w:eastAsia="宋体" w:cs="Times New Roman"/>
          <w:color w:val="auto"/>
          <w:sz w:val="36"/>
          <w:szCs w:val="36"/>
          <w:lang w:eastAsia="zh-CN"/>
        </w:rPr>
      </w:pPr>
    </w:p>
    <w:p w14:paraId="3BF6BA05">
      <w:pPr>
        <w:rPr>
          <w:rFonts w:hint="eastAsia" w:ascii="Times New Roman" w:hAnsi="Times New Roman" w:eastAsia="宋体" w:cs="Times New Roman"/>
          <w:color w:val="auto"/>
          <w:sz w:val="36"/>
          <w:szCs w:val="36"/>
          <w:lang w:eastAsia="zh-CN"/>
        </w:rPr>
      </w:pPr>
    </w:p>
    <w:p w14:paraId="164AF97C">
      <w:pPr>
        <w:pStyle w:val="16"/>
        <w:rPr>
          <w:rFonts w:hint="eastAsia" w:ascii="Times New Roman" w:hAnsi="Times New Roman" w:eastAsia="宋体"/>
          <w:color w:val="auto"/>
          <w:lang w:eastAsia="zh-CN"/>
        </w:rPr>
      </w:pPr>
    </w:p>
    <w:p w14:paraId="53D1E6C9">
      <w:pPr>
        <w:rPr>
          <w:rFonts w:hint="default" w:ascii="Times New Roman" w:hAnsi="Times New Roman" w:eastAsia="宋体" w:cs="Times New Roman"/>
          <w:color w:val="auto"/>
          <w:sz w:val="36"/>
          <w:szCs w:val="36"/>
        </w:rPr>
      </w:pPr>
    </w:p>
    <w:p w14:paraId="334CB56E">
      <w:pPr>
        <w:widowControl w:val="0"/>
        <w:autoSpaceDE w:val="0"/>
        <w:autoSpaceDN w:val="0"/>
        <w:spacing w:before="0" w:after="0" w:line="240" w:lineRule="auto"/>
        <w:ind w:left="426" w:right="428"/>
        <w:jc w:val="center"/>
        <w:rPr>
          <w:rFonts w:ascii="PMingLiU" w:hAnsi="PMingLiU" w:eastAsia="PMingLiU" w:cs="PMingLiU"/>
          <w:sz w:val="72"/>
          <w:szCs w:val="72"/>
          <w:lang w:val="en-US" w:eastAsia="zh-CN" w:bidi="ar-SA"/>
        </w:rPr>
      </w:pPr>
      <w:r>
        <w:rPr>
          <w:rFonts w:ascii="PMingLiU" w:hAnsi="PMingLiU" w:eastAsia="PMingLiU" w:cs="PMingLiU"/>
          <w:spacing w:val="-1"/>
          <w:sz w:val="72"/>
          <w:szCs w:val="72"/>
          <w:lang w:val="en-US" w:eastAsia="zh-CN" w:bidi="ar-SA"/>
        </w:rPr>
        <w:t>建设项目环境影响报告表</w:t>
      </w:r>
    </w:p>
    <w:p w14:paraId="6BCDBA45">
      <w:pPr>
        <w:pStyle w:val="21"/>
        <w:bidi w:val="0"/>
        <w:rPr>
          <w:rFonts w:hint="default"/>
        </w:rPr>
      </w:pPr>
    </w:p>
    <w:p w14:paraId="5423A087">
      <w:pPr>
        <w:adjustRightInd w:val="0"/>
        <w:snapToGrid w:val="0"/>
        <w:spacing w:before="192" w:beforeLines="80"/>
        <w:jc w:val="center"/>
        <w:rPr>
          <w:rFonts w:hint="default" w:ascii="Times New Roman" w:hAnsi="Times New Roman" w:eastAsia="宋体" w:cs="Times New Roman"/>
          <w:b w:val="0"/>
          <w:bCs/>
          <w:color w:val="auto"/>
          <w:sz w:val="48"/>
          <w:szCs w:val="48"/>
        </w:rPr>
      </w:pPr>
      <w:r>
        <w:rPr>
          <w:rFonts w:hint="default" w:ascii="Times New Roman" w:hAnsi="Times New Roman" w:eastAsia="宋体" w:cs="Times New Roman"/>
          <w:b w:val="0"/>
          <w:bCs/>
          <w:color w:val="auto"/>
          <w:sz w:val="48"/>
          <w:szCs w:val="48"/>
        </w:rPr>
        <w:t>（污染影响类）</w:t>
      </w:r>
    </w:p>
    <w:p w14:paraId="4E3ADA48">
      <w:pPr>
        <w:adjustRightInd w:val="0"/>
        <w:snapToGrid w:val="0"/>
        <w:spacing w:line="288" w:lineRule="auto"/>
        <w:jc w:val="center"/>
        <w:outlineLvl w:val="9"/>
        <w:rPr>
          <w:rFonts w:hint="default" w:ascii="Times New Roman" w:hAnsi="Times New Roman" w:eastAsia="宋体" w:cs="Times New Roman"/>
          <w:color w:val="auto"/>
          <w:kern w:val="44"/>
          <w:sz w:val="44"/>
          <w:szCs w:val="44"/>
        </w:rPr>
      </w:pPr>
    </w:p>
    <w:p w14:paraId="1D4722E3">
      <w:pPr>
        <w:jc w:val="center"/>
        <w:rPr>
          <w:rFonts w:hint="default" w:ascii="Times New Roman" w:hAnsi="Times New Roman" w:eastAsia="宋体" w:cs="Times New Roman"/>
          <w:color w:val="auto"/>
          <w:sz w:val="52"/>
          <w:szCs w:val="52"/>
        </w:rPr>
      </w:pPr>
    </w:p>
    <w:p w14:paraId="5C89A836">
      <w:pPr>
        <w:ind w:firstLine="1040"/>
        <w:rPr>
          <w:rFonts w:hint="eastAsia" w:ascii="Times New Roman" w:hAnsi="Times New Roman" w:eastAsia="宋体" w:cs="Times New Roman"/>
          <w:color w:val="auto"/>
          <w:sz w:val="44"/>
          <w:szCs w:val="44"/>
          <w:lang w:val="en-US" w:eastAsia="zh-CN"/>
        </w:rPr>
      </w:pPr>
    </w:p>
    <w:p w14:paraId="69A206C3">
      <w:pPr>
        <w:ind w:firstLine="1040"/>
        <w:rPr>
          <w:rFonts w:hint="default" w:ascii="Times New Roman" w:hAnsi="Times New Roman" w:eastAsia="宋体" w:cs="Times New Roman"/>
          <w:color w:val="auto"/>
          <w:sz w:val="44"/>
          <w:szCs w:val="44"/>
        </w:rPr>
      </w:pPr>
    </w:p>
    <w:p w14:paraId="083AA7A0">
      <w:pPr>
        <w:ind w:firstLine="1040"/>
        <w:rPr>
          <w:rFonts w:hint="default" w:ascii="Times New Roman" w:hAnsi="Times New Roman" w:eastAsia="宋体" w:cs="Times New Roman"/>
          <w:color w:val="auto"/>
          <w:sz w:val="44"/>
          <w:szCs w:val="44"/>
        </w:rPr>
      </w:pPr>
    </w:p>
    <w:p w14:paraId="49F478B6">
      <w:pPr>
        <w:keepNext w:val="0"/>
        <w:keepLines w:val="0"/>
        <w:pageBreakBefore w:val="0"/>
        <w:widowControl w:val="0"/>
        <w:kinsoku/>
        <w:wordWrap/>
        <w:overflowPunct/>
        <w:topLinePunct w:val="0"/>
        <w:autoSpaceDE/>
        <w:autoSpaceDN/>
        <w:bidi w:val="0"/>
        <w:adjustRightInd w:val="0"/>
        <w:snapToGrid w:val="0"/>
        <w:spacing w:line="288" w:lineRule="auto"/>
        <w:ind w:left="2159" w:leftChars="171" w:hanging="1800" w:hangingChars="500"/>
        <w:textAlignment w:val="auto"/>
        <w:rPr>
          <w:rFonts w:hint="default" w:ascii="Times New Roman" w:hAnsi="Times New Roman" w:eastAsia="宋体" w:cs="Times New Roman"/>
          <w:color w:val="auto"/>
          <w:sz w:val="36"/>
          <w:szCs w:val="36"/>
          <w:lang w:eastAsia="zh-CN"/>
        </w:rPr>
      </w:pPr>
    </w:p>
    <w:p w14:paraId="35DFF092">
      <w:pPr>
        <w:keepNext w:val="0"/>
        <w:keepLines w:val="0"/>
        <w:pageBreakBefore w:val="0"/>
        <w:widowControl w:val="0"/>
        <w:kinsoku/>
        <w:wordWrap/>
        <w:overflowPunct/>
        <w:topLinePunct w:val="0"/>
        <w:autoSpaceDE/>
        <w:autoSpaceDN/>
        <w:bidi w:val="0"/>
        <w:adjustRightInd w:val="0"/>
        <w:snapToGrid w:val="0"/>
        <w:spacing w:line="288" w:lineRule="auto"/>
        <w:ind w:left="2159" w:leftChars="171" w:hanging="1800" w:hangingChars="500"/>
        <w:textAlignment w:val="auto"/>
        <w:rPr>
          <w:rFonts w:hint="default" w:ascii="Times New Roman" w:hAnsi="Times New Roman" w:eastAsia="宋体" w:cs="Times New Roman"/>
          <w:color w:val="auto"/>
          <w:sz w:val="36"/>
          <w:szCs w:val="36"/>
          <w:u w:val="single"/>
          <w:lang w:val="en-US" w:eastAsia="zh-CN"/>
        </w:rPr>
      </w:pPr>
      <w:r>
        <w:rPr>
          <w:rFonts w:hint="default" w:ascii="Times New Roman" w:hAnsi="Times New Roman" w:eastAsia="宋体" w:cs="Times New Roman"/>
          <w:color w:val="auto"/>
          <w:sz w:val="36"/>
          <w:szCs w:val="36"/>
          <w:lang w:eastAsia="zh-CN"/>
        </w:rPr>
        <w:t>项目</w:t>
      </w:r>
      <w:r>
        <w:rPr>
          <w:rFonts w:hint="default" w:ascii="Times New Roman" w:hAnsi="Times New Roman" w:eastAsia="宋体" w:cs="Times New Roman"/>
          <w:color w:val="auto"/>
          <w:sz w:val="36"/>
          <w:szCs w:val="36"/>
          <w:u w:val="none"/>
          <w:lang w:eastAsia="zh-CN"/>
        </w:rPr>
        <w:t>名称：</w:t>
      </w:r>
      <w:r>
        <w:rPr>
          <w:rFonts w:hint="eastAsia" w:cs="Times New Roman"/>
          <w:color w:val="auto"/>
          <w:sz w:val="36"/>
          <w:szCs w:val="36"/>
          <w:u w:val="single"/>
          <w:lang w:eastAsia="zh-CN"/>
        </w:rPr>
        <w:t>罗源县总医院中医分院病房改造及综合能力提升项目</w:t>
      </w:r>
      <w:r>
        <w:rPr>
          <w:rFonts w:hint="eastAsia" w:ascii="Times New Roman" w:hAnsi="Times New Roman" w:eastAsia="宋体" w:cs="Times New Roman"/>
          <w:color w:val="auto"/>
          <w:sz w:val="36"/>
          <w:szCs w:val="36"/>
          <w:u w:val="single"/>
          <w:lang w:val="en-US" w:eastAsia="zh-CN"/>
        </w:rPr>
        <w:t xml:space="preserve">         </w:t>
      </w:r>
      <w:r>
        <w:rPr>
          <w:rFonts w:hint="eastAsia" w:cs="Times New Roman"/>
          <w:color w:val="auto"/>
          <w:sz w:val="36"/>
          <w:szCs w:val="36"/>
          <w:u w:val="single"/>
          <w:lang w:val="en-US" w:eastAsia="zh-CN"/>
        </w:rPr>
        <w:t xml:space="preserve">                     </w:t>
      </w:r>
    </w:p>
    <w:p w14:paraId="790A6A30">
      <w:pPr>
        <w:keepNext w:val="0"/>
        <w:keepLines w:val="0"/>
        <w:pageBreakBefore w:val="0"/>
        <w:widowControl w:val="0"/>
        <w:kinsoku/>
        <w:wordWrap/>
        <w:overflowPunct/>
        <w:topLinePunct w:val="0"/>
        <w:autoSpaceDE/>
        <w:autoSpaceDN/>
        <w:bidi w:val="0"/>
        <w:adjustRightInd w:val="0"/>
        <w:snapToGrid w:val="0"/>
        <w:spacing w:line="288" w:lineRule="auto"/>
        <w:ind w:firstLine="360" w:firstLineChars="100"/>
        <w:textAlignment w:val="auto"/>
        <w:rPr>
          <w:rFonts w:hint="default" w:ascii="Times New Roman" w:hAnsi="Times New Roman" w:eastAsia="宋体" w:cs="Times New Roman"/>
          <w:color w:val="auto"/>
          <w:sz w:val="36"/>
          <w:szCs w:val="36"/>
          <w:u w:val="single"/>
          <w:lang w:val="en-US" w:eastAsia="zh-CN"/>
        </w:rPr>
      </w:pPr>
      <w:r>
        <w:rPr>
          <w:rFonts w:hint="default" w:ascii="Times New Roman" w:hAnsi="Times New Roman" w:eastAsia="宋体" w:cs="Times New Roman"/>
          <w:color w:val="auto"/>
          <w:sz w:val="36"/>
          <w:szCs w:val="36"/>
        </w:rPr>
        <w:t>建设单位（盖章）：</w:t>
      </w:r>
      <w:r>
        <w:rPr>
          <w:rFonts w:hint="eastAsia" w:cs="Times New Roman"/>
          <w:color w:val="auto"/>
          <w:sz w:val="36"/>
          <w:szCs w:val="36"/>
          <w:u w:val="single"/>
          <w:lang w:val="en-US" w:eastAsia="zh-CN"/>
        </w:rPr>
        <w:t xml:space="preserve">福建省罗源县中医院         </w:t>
      </w:r>
      <w:r>
        <w:rPr>
          <w:rFonts w:hint="eastAsia" w:ascii="Times New Roman" w:hAnsi="Times New Roman" w:eastAsia="宋体" w:cs="Times New Roman"/>
          <w:color w:val="auto"/>
          <w:sz w:val="36"/>
          <w:szCs w:val="36"/>
          <w:u w:val="single"/>
          <w:lang w:val="en-US" w:eastAsia="zh-CN"/>
        </w:rPr>
        <w:t xml:space="preserve"> </w:t>
      </w:r>
      <w:r>
        <w:rPr>
          <w:rFonts w:hint="eastAsia" w:cs="Times New Roman"/>
          <w:color w:val="auto"/>
          <w:sz w:val="36"/>
          <w:szCs w:val="36"/>
          <w:u w:val="single"/>
          <w:lang w:val="en-US" w:eastAsia="zh-CN"/>
        </w:rPr>
        <w:t xml:space="preserve">  </w:t>
      </w:r>
    </w:p>
    <w:p w14:paraId="79B8ED19">
      <w:pPr>
        <w:keepNext w:val="0"/>
        <w:keepLines w:val="0"/>
        <w:pageBreakBefore w:val="0"/>
        <w:widowControl w:val="0"/>
        <w:kinsoku/>
        <w:wordWrap/>
        <w:overflowPunct/>
        <w:topLinePunct w:val="0"/>
        <w:autoSpaceDE/>
        <w:autoSpaceDN/>
        <w:bidi w:val="0"/>
        <w:adjustRightInd w:val="0"/>
        <w:snapToGrid w:val="0"/>
        <w:spacing w:line="288" w:lineRule="auto"/>
        <w:ind w:firstLine="360" w:firstLineChars="100"/>
        <w:textAlignment w:val="auto"/>
        <w:rPr>
          <w:rFonts w:hint="eastAsia" w:ascii="Times New Roman" w:hAnsi="Times New Roman" w:eastAsia="宋体" w:cs="Times New Roman"/>
          <w:color w:val="auto"/>
          <w:sz w:val="36"/>
          <w:szCs w:val="36"/>
          <w:u w:val="single"/>
          <w:lang w:val="en-US" w:eastAsia="zh-CN"/>
        </w:rPr>
      </w:pPr>
      <w:r>
        <w:rPr>
          <w:rFonts w:hint="default" w:ascii="Times New Roman" w:hAnsi="Times New Roman" w:eastAsia="宋体" w:cs="Times New Roman"/>
          <w:color w:val="auto"/>
          <w:sz w:val="36"/>
          <w:szCs w:val="36"/>
        </w:rPr>
        <w:t>编制日期：</w:t>
      </w:r>
      <w:r>
        <w:rPr>
          <w:rFonts w:hint="eastAsia" w:ascii="Times New Roman" w:hAnsi="Times New Roman" w:eastAsia="宋体" w:cs="Times New Roman"/>
          <w:color w:val="auto"/>
          <w:sz w:val="36"/>
          <w:szCs w:val="36"/>
          <w:highlight w:val="none"/>
          <w:u w:val="single"/>
          <w:lang w:val="en-US" w:eastAsia="zh-CN"/>
        </w:rPr>
        <w:t xml:space="preserve">               2</w:t>
      </w:r>
      <w:r>
        <w:rPr>
          <w:rFonts w:hint="default" w:ascii="Times New Roman" w:hAnsi="Times New Roman" w:eastAsia="宋体" w:cs="Times New Roman"/>
          <w:color w:val="auto"/>
          <w:sz w:val="36"/>
          <w:szCs w:val="36"/>
          <w:highlight w:val="none"/>
          <w:u w:val="single"/>
          <w:lang w:val="en-US" w:eastAsia="zh-CN"/>
        </w:rPr>
        <w:t>0</w:t>
      </w:r>
      <w:r>
        <w:rPr>
          <w:rFonts w:hint="eastAsia" w:ascii="Times New Roman" w:hAnsi="Times New Roman" w:eastAsia="宋体" w:cs="Times New Roman"/>
          <w:color w:val="auto"/>
          <w:sz w:val="36"/>
          <w:szCs w:val="36"/>
          <w:highlight w:val="none"/>
          <w:u w:val="single"/>
          <w:lang w:val="en-US" w:eastAsia="zh-CN"/>
        </w:rPr>
        <w:t>2</w:t>
      </w:r>
      <w:r>
        <w:rPr>
          <w:rFonts w:hint="eastAsia" w:cs="Times New Roman"/>
          <w:color w:val="auto"/>
          <w:sz w:val="36"/>
          <w:szCs w:val="36"/>
          <w:highlight w:val="none"/>
          <w:u w:val="single"/>
          <w:lang w:val="en-US" w:eastAsia="zh-CN"/>
        </w:rPr>
        <w:t>6</w:t>
      </w:r>
      <w:r>
        <w:rPr>
          <w:rFonts w:hint="default" w:ascii="Times New Roman" w:hAnsi="Times New Roman" w:eastAsia="宋体" w:cs="Times New Roman"/>
          <w:color w:val="auto"/>
          <w:sz w:val="36"/>
          <w:szCs w:val="36"/>
          <w:highlight w:val="none"/>
          <w:u w:val="single"/>
          <w:lang w:val="en-US" w:eastAsia="zh-CN"/>
        </w:rPr>
        <w:t>年</w:t>
      </w:r>
      <w:r>
        <w:rPr>
          <w:rFonts w:hint="eastAsia" w:cs="Times New Roman"/>
          <w:color w:val="auto"/>
          <w:sz w:val="36"/>
          <w:szCs w:val="36"/>
          <w:highlight w:val="none"/>
          <w:u w:val="single"/>
          <w:lang w:val="en-US" w:eastAsia="zh-CN"/>
        </w:rPr>
        <w:t>3</w:t>
      </w:r>
      <w:r>
        <w:rPr>
          <w:rFonts w:hint="default" w:ascii="Times New Roman" w:hAnsi="Times New Roman" w:eastAsia="宋体" w:cs="Times New Roman"/>
          <w:color w:val="auto"/>
          <w:sz w:val="36"/>
          <w:szCs w:val="36"/>
          <w:highlight w:val="none"/>
          <w:u w:val="single"/>
          <w:lang w:val="en-US" w:eastAsia="zh-CN"/>
        </w:rPr>
        <w:t>月</w:t>
      </w:r>
      <w:r>
        <w:rPr>
          <w:rFonts w:hint="eastAsia" w:ascii="Times New Roman" w:hAnsi="Times New Roman" w:eastAsia="宋体" w:cs="Times New Roman"/>
          <w:color w:val="auto"/>
          <w:sz w:val="36"/>
          <w:szCs w:val="36"/>
          <w:highlight w:val="none"/>
          <w:u w:val="single"/>
          <w:lang w:val="en-US" w:eastAsia="zh-CN"/>
        </w:rPr>
        <w:t xml:space="preserve">         </w:t>
      </w:r>
      <w:r>
        <w:rPr>
          <w:rFonts w:hint="default" w:ascii="Times New Roman" w:hAnsi="Times New Roman" w:eastAsia="宋体" w:cs="Times New Roman"/>
          <w:color w:val="auto"/>
          <w:sz w:val="36"/>
          <w:szCs w:val="36"/>
          <w:u w:val="single"/>
        </w:rPr>
        <w:t xml:space="preserve">   </w:t>
      </w:r>
      <w:r>
        <w:rPr>
          <w:rFonts w:hint="eastAsia" w:ascii="Times New Roman" w:hAnsi="Times New Roman" w:eastAsia="宋体" w:cs="Times New Roman"/>
          <w:color w:val="auto"/>
          <w:sz w:val="36"/>
          <w:szCs w:val="36"/>
          <w:u w:val="single"/>
          <w:lang w:val="en-US" w:eastAsia="zh-CN"/>
        </w:rPr>
        <w:t xml:space="preserve"> </w:t>
      </w:r>
    </w:p>
    <w:p w14:paraId="2E39AD87">
      <w:pPr>
        <w:adjustRightInd w:val="0"/>
        <w:snapToGrid w:val="0"/>
        <w:spacing w:line="288" w:lineRule="auto"/>
        <w:ind w:firstLine="1040"/>
        <w:rPr>
          <w:rFonts w:hint="default" w:ascii="Times New Roman" w:hAnsi="Times New Roman" w:eastAsia="宋体" w:cs="Times New Roman"/>
          <w:color w:val="auto"/>
          <w:sz w:val="36"/>
          <w:szCs w:val="36"/>
          <w:u w:val="single"/>
        </w:rPr>
      </w:pPr>
      <w:bookmarkStart w:id="0" w:name="_Hlk57884087"/>
    </w:p>
    <w:p w14:paraId="3E46DAC3">
      <w:pPr>
        <w:adjustRightInd w:val="0"/>
        <w:snapToGrid w:val="0"/>
        <w:spacing w:line="288" w:lineRule="auto"/>
        <w:ind w:firstLine="1040"/>
        <w:rPr>
          <w:rFonts w:hint="default" w:ascii="Times New Roman" w:hAnsi="Times New Roman" w:eastAsia="宋体" w:cs="Times New Roman"/>
          <w:color w:val="auto"/>
          <w:sz w:val="36"/>
          <w:szCs w:val="36"/>
        </w:rPr>
      </w:pPr>
    </w:p>
    <w:p w14:paraId="45C9FAB8">
      <w:pPr>
        <w:adjustRightInd w:val="0"/>
        <w:snapToGrid w:val="0"/>
        <w:spacing w:line="288" w:lineRule="auto"/>
        <w:ind w:firstLine="1040"/>
        <w:rPr>
          <w:rFonts w:hint="default" w:ascii="Times New Roman" w:hAnsi="Times New Roman" w:eastAsia="宋体" w:cs="Times New Roman"/>
          <w:color w:val="auto"/>
          <w:sz w:val="36"/>
          <w:szCs w:val="36"/>
        </w:rPr>
      </w:pPr>
    </w:p>
    <w:p w14:paraId="445B5464">
      <w:pPr>
        <w:pStyle w:val="16"/>
        <w:rPr>
          <w:rFonts w:hint="default" w:ascii="Times New Roman" w:hAnsi="Times New Roman" w:eastAsia="宋体"/>
          <w:color w:val="auto"/>
        </w:rPr>
      </w:pPr>
    </w:p>
    <w:p w14:paraId="6166E91B">
      <w:pPr>
        <w:adjustRightInd w:val="0"/>
        <w:snapToGrid w:val="0"/>
        <w:spacing w:line="288" w:lineRule="auto"/>
        <w:ind w:firstLine="1040"/>
        <w:rPr>
          <w:rFonts w:hint="default" w:ascii="Times New Roman" w:hAnsi="Times New Roman" w:eastAsia="宋体" w:cs="Times New Roman"/>
          <w:color w:val="auto"/>
          <w:sz w:val="36"/>
          <w:szCs w:val="36"/>
        </w:rPr>
      </w:pPr>
    </w:p>
    <w:bookmarkEnd w:id="0"/>
    <w:p w14:paraId="51ECFBDB">
      <w:pPr>
        <w:adjustRightInd w:val="0"/>
        <w:snapToGrid w:val="0"/>
        <w:spacing w:line="288" w:lineRule="auto"/>
        <w:jc w:val="center"/>
        <w:rPr>
          <w:rFonts w:hint="eastAsia" w:ascii="Times New Roman" w:hAnsi="Times New Roman" w:eastAsia="宋体" w:cs="Times New Roman"/>
          <w:color w:val="auto"/>
          <w:sz w:val="36"/>
          <w:szCs w:val="36"/>
          <w:lang w:eastAsia="zh-CN"/>
        </w:rPr>
      </w:pPr>
      <w:r>
        <w:rPr>
          <w:rFonts w:hint="default" w:ascii="Times New Roman" w:hAnsi="Times New Roman" w:eastAsia="宋体" w:cs="Times New Roman"/>
          <w:color w:val="auto"/>
          <w:sz w:val="36"/>
          <w:szCs w:val="36"/>
        </w:rPr>
        <w:t>中华人民共和国生态环境部制</w:t>
      </w:r>
    </w:p>
    <w:p w14:paraId="0955F445">
      <w:pPr>
        <w:adjustRightInd w:val="0"/>
        <w:snapToGrid w:val="0"/>
        <w:spacing w:line="288" w:lineRule="auto"/>
        <w:jc w:val="both"/>
        <w:rPr>
          <w:rFonts w:hint="eastAsia" w:ascii="Times New Roman" w:hAnsi="Times New Roman" w:eastAsia="宋体" w:cs="Times New Roman"/>
          <w:color w:val="auto"/>
          <w:sz w:val="36"/>
          <w:szCs w:val="36"/>
          <w:lang w:eastAsia="zh-CN"/>
        </w:rPr>
      </w:pPr>
    </w:p>
    <w:p w14:paraId="2DDDCFFF">
      <w:pPr>
        <w:bidi w:val="0"/>
        <w:rPr>
          <w:rFonts w:hint="eastAsia" w:eastAsia="宋体"/>
          <w:lang w:eastAsia="zh-CN"/>
        </w:rPr>
        <w:sectPr>
          <w:footerReference r:id="rId3" w:type="default"/>
          <w:pgSz w:w="11905" w:h="16838"/>
          <w:pgMar w:top="1417" w:right="1417" w:bottom="1417" w:left="1417" w:header="851" w:footer="1077" w:gutter="0"/>
          <w:pgBorders>
            <w:top w:val="none" w:sz="0" w:space="0"/>
            <w:left w:val="none" w:sz="0" w:space="0"/>
            <w:bottom w:val="none" w:sz="0" w:space="0"/>
            <w:right w:val="none" w:sz="0" w:space="0"/>
          </w:pgBorders>
          <w:pgNumType w:fmt="decimal" w:start="1"/>
          <w:cols w:space="0" w:num="1"/>
          <w:docGrid w:linePitch="312" w:charSpace="0"/>
        </w:sectPr>
      </w:pPr>
      <w:bookmarkStart w:id="1" w:name="_Toc24754"/>
      <w:bookmarkStart w:id="2" w:name="_Toc2799"/>
      <w:bookmarkStart w:id="3" w:name="_Toc18851"/>
      <w:bookmarkStart w:id="4" w:name="_Toc21337"/>
      <w:bookmarkStart w:id="5" w:name="_Toc24216"/>
    </w:p>
    <w:p w14:paraId="197464DD">
      <w:pPr>
        <w:pStyle w:val="2"/>
        <w:tabs>
          <w:tab w:val="left" w:pos="0"/>
          <w:tab w:val="clear" w:pos="420"/>
        </w:tabs>
        <w:bidi w:val="0"/>
        <w:spacing w:before="0" w:after="0" w:line="360" w:lineRule="auto"/>
        <w:ind w:left="432" w:leftChars="0" w:hanging="432" w:firstLineChars="0"/>
        <w:rPr>
          <w:rFonts w:ascii="Times New Roman" w:hAnsi="Times New Roman" w:eastAsia="宋体" w:cs="Times New Roman"/>
          <w:b/>
          <w:color w:val="auto"/>
          <w:highlight w:val="none"/>
        </w:rPr>
      </w:pPr>
      <w:r>
        <w:rPr>
          <w:rFonts w:hint="eastAsia" w:ascii="Times New Roman" w:hAnsi="Times New Roman" w:eastAsia="宋体" w:cs="Times New Roman"/>
          <w:b/>
          <w:color w:val="auto"/>
          <w:highlight w:val="none"/>
        </w:rPr>
        <w:t>建设项目基本情况</w:t>
      </w:r>
    </w:p>
    <w:tbl>
      <w:tblPr>
        <w:tblStyle w:val="34"/>
        <w:tblW w:w="887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372"/>
        <w:gridCol w:w="2744"/>
        <w:gridCol w:w="1742"/>
        <w:gridCol w:w="3012"/>
      </w:tblGrid>
      <w:tr w14:paraId="198708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72" w:type="dxa"/>
            <w:tcMar>
              <w:top w:w="16" w:type="dxa"/>
              <w:left w:w="16" w:type="dxa"/>
              <w:right w:w="16" w:type="dxa"/>
            </w:tcMar>
            <w:vAlign w:val="center"/>
          </w:tcPr>
          <w:p w14:paraId="764C40F7">
            <w:pPr>
              <w:adjustRightInd w:val="0"/>
              <w:snapToGrid w:val="0"/>
              <w:jc w:val="center"/>
              <w:rPr>
                <w:color w:val="auto"/>
                <w:highlight w:val="none"/>
              </w:rPr>
            </w:pPr>
            <w:r>
              <w:rPr>
                <w:rFonts w:hint="eastAsia"/>
                <w:color w:val="auto"/>
                <w:highlight w:val="none"/>
              </w:rPr>
              <w:t>项目名称</w:t>
            </w:r>
          </w:p>
        </w:tc>
        <w:tc>
          <w:tcPr>
            <w:tcW w:w="7498" w:type="dxa"/>
            <w:gridSpan w:val="3"/>
            <w:vAlign w:val="center"/>
          </w:tcPr>
          <w:p w14:paraId="2034D52E">
            <w:pPr>
              <w:adjustRightInd w:val="0"/>
              <w:snapToGrid w:val="0"/>
              <w:jc w:val="center"/>
              <w:rPr>
                <w:rFonts w:hint="default" w:eastAsia="宋体"/>
                <w:color w:val="auto"/>
                <w:szCs w:val="21"/>
                <w:highlight w:val="none"/>
                <w:lang w:val="en-US" w:eastAsia="zh-CN"/>
              </w:rPr>
            </w:pPr>
            <w:r>
              <w:rPr>
                <w:rFonts w:hint="eastAsia"/>
                <w:color w:val="auto"/>
                <w:szCs w:val="21"/>
                <w:highlight w:val="none"/>
                <w:lang w:eastAsia="zh-CN"/>
              </w:rPr>
              <w:t>罗源县总医院中医分院病房改造及综合能力提升项目</w:t>
            </w:r>
          </w:p>
        </w:tc>
      </w:tr>
      <w:tr w14:paraId="6213C7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72" w:type="dxa"/>
            <w:tcMar>
              <w:top w:w="16" w:type="dxa"/>
              <w:left w:w="16" w:type="dxa"/>
              <w:right w:w="16" w:type="dxa"/>
            </w:tcMar>
            <w:vAlign w:val="center"/>
          </w:tcPr>
          <w:p w14:paraId="582F47FC">
            <w:pPr>
              <w:adjustRightInd w:val="0"/>
              <w:snapToGrid w:val="0"/>
              <w:jc w:val="center"/>
              <w:rPr>
                <w:color w:val="auto"/>
                <w:szCs w:val="21"/>
                <w:highlight w:val="none"/>
              </w:rPr>
            </w:pPr>
            <w:r>
              <w:rPr>
                <w:color w:val="auto"/>
                <w:szCs w:val="21"/>
                <w:highlight w:val="none"/>
              </w:rPr>
              <w:t>项目代码</w:t>
            </w:r>
          </w:p>
        </w:tc>
        <w:tc>
          <w:tcPr>
            <w:tcW w:w="7498" w:type="dxa"/>
            <w:gridSpan w:val="3"/>
            <w:vAlign w:val="center"/>
          </w:tcPr>
          <w:p w14:paraId="794C5789">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2407-350123-04-01-605327</w:t>
            </w:r>
          </w:p>
        </w:tc>
      </w:tr>
      <w:tr w14:paraId="25CC18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72" w:type="dxa"/>
            <w:tcMar>
              <w:top w:w="16" w:type="dxa"/>
              <w:left w:w="16" w:type="dxa"/>
              <w:right w:w="16" w:type="dxa"/>
            </w:tcMar>
            <w:vAlign w:val="center"/>
          </w:tcPr>
          <w:p w14:paraId="0B700DCE">
            <w:pPr>
              <w:adjustRightInd w:val="0"/>
              <w:snapToGrid w:val="0"/>
              <w:jc w:val="center"/>
              <w:rPr>
                <w:color w:val="auto"/>
                <w:szCs w:val="21"/>
                <w:highlight w:val="none"/>
              </w:rPr>
            </w:pPr>
            <w:r>
              <w:rPr>
                <w:color w:val="auto"/>
                <w:szCs w:val="21"/>
                <w:highlight w:val="none"/>
              </w:rPr>
              <w:t>建设单位联系人</w:t>
            </w:r>
          </w:p>
        </w:tc>
        <w:tc>
          <w:tcPr>
            <w:tcW w:w="2744" w:type="dxa"/>
            <w:vAlign w:val="center"/>
          </w:tcPr>
          <w:p w14:paraId="41956407">
            <w:pPr>
              <w:adjustRightInd w:val="0"/>
              <w:snapToGrid w:val="0"/>
              <w:jc w:val="center"/>
              <w:rPr>
                <w:rFonts w:hint="default" w:eastAsia="宋体"/>
                <w:color w:val="auto"/>
                <w:szCs w:val="21"/>
                <w:highlight w:val="none"/>
                <w:lang w:val="en-US" w:eastAsia="zh-CN"/>
              </w:rPr>
            </w:pPr>
            <w:r>
              <w:rPr>
                <w:rFonts w:hint="default" w:eastAsia="宋体"/>
                <w:color w:val="auto"/>
                <w:szCs w:val="21"/>
                <w:highlight w:val="none"/>
                <w:lang w:val="en-US" w:eastAsia="zh-CN"/>
              </w:rPr>
              <w:t>陈</w:t>
            </w:r>
            <w:r>
              <w:rPr>
                <w:rFonts w:hint="eastAsia"/>
                <w:color w:val="auto"/>
                <w:szCs w:val="21"/>
                <w:highlight w:val="none"/>
                <w:lang w:val="en-US" w:eastAsia="zh-CN"/>
              </w:rPr>
              <w:t>**</w:t>
            </w:r>
          </w:p>
        </w:tc>
        <w:tc>
          <w:tcPr>
            <w:tcW w:w="1742" w:type="dxa"/>
            <w:vAlign w:val="center"/>
          </w:tcPr>
          <w:p w14:paraId="344ECFF8">
            <w:pPr>
              <w:adjustRightInd w:val="0"/>
              <w:snapToGrid w:val="0"/>
              <w:jc w:val="center"/>
              <w:rPr>
                <w:color w:val="auto"/>
                <w:szCs w:val="21"/>
                <w:highlight w:val="none"/>
              </w:rPr>
            </w:pPr>
            <w:r>
              <w:rPr>
                <w:color w:val="auto"/>
                <w:szCs w:val="21"/>
                <w:highlight w:val="none"/>
              </w:rPr>
              <w:t>联系方式</w:t>
            </w:r>
          </w:p>
        </w:tc>
        <w:tc>
          <w:tcPr>
            <w:tcW w:w="3012" w:type="dxa"/>
            <w:vAlign w:val="center"/>
          </w:tcPr>
          <w:p w14:paraId="38C1305F">
            <w:pPr>
              <w:adjustRightInd w:val="0"/>
              <w:snapToGrid w:val="0"/>
              <w:jc w:val="center"/>
              <w:rPr>
                <w:color w:val="auto"/>
                <w:szCs w:val="21"/>
                <w:highlight w:val="none"/>
              </w:rPr>
            </w:pPr>
            <w:r>
              <w:rPr>
                <w:rFonts w:hint="eastAsia"/>
                <w:color w:val="auto"/>
                <w:szCs w:val="21"/>
                <w:highlight w:val="none"/>
              </w:rPr>
              <w:t>0591-26</w:t>
            </w:r>
            <w:r>
              <w:rPr>
                <w:rFonts w:hint="eastAsia"/>
                <w:color w:val="auto"/>
                <w:szCs w:val="21"/>
                <w:highlight w:val="none"/>
                <w:lang w:val="en-US" w:eastAsia="zh-CN"/>
              </w:rPr>
              <w:t>****</w:t>
            </w:r>
            <w:r>
              <w:rPr>
                <w:rFonts w:hint="eastAsia"/>
                <w:color w:val="auto"/>
                <w:szCs w:val="21"/>
                <w:highlight w:val="none"/>
              </w:rPr>
              <w:t>95</w:t>
            </w:r>
          </w:p>
        </w:tc>
      </w:tr>
      <w:tr w14:paraId="386D8A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372" w:type="dxa"/>
            <w:tcMar>
              <w:top w:w="16" w:type="dxa"/>
              <w:left w:w="16" w:type="dxa"/>
              <w:right w:w="16" w:type="dxa"/>
            </w:tcMar>
            <w:vAlign w:val="center"/>
          </w:tcPr>
          <w:p w14:paraId="6CB684B7">
            <w:pPr>
              <w:adjustRightInd w:val="0"/>
              <w:snapToGrid w:val="0"/>
              <w:jc w:val="center"/>
              <w:rPr>
                <w:color w:val="auto"/>
                <w:szCs w:val="21"/>
                <w:highlight w:val="none"/>
              </w:rPr>
            </w:pPr>
            <w:r>
              <w:rPr>
                <w:color w:val="auto"/>
                <w:szCs w:val="21"/>
                <w:highlight w:val="none"/>
              </w:rPr>
              <w:t>建设地点</w:t>
            </w:r>
          </w:p>
        </w:tc>
        <w:tc>
          <w:tcPr>
            <w:tcW w:w="7498" w:type="dxa"/>
            <w:gridSpan w:val="3"/>
            <w:vAlign w:val="center"/>
          </w:tcPr>
          <w:p w14:paraId="241A7FFC">
            <w:pPr>
              <w:adjustRightInd w:val="0"/>
              <w:snapToGrid w:val="0"/>
              <w:jc w:val="center"/>
              <w:rPr>
                <w:rFonts w:hint="default"/>
                <w:color w:val="auto"/>
                <w:szCs w:val="21"/>
                <w:highlight w:val="none"/>
                <w:lang w:val="en-US"/>
              </w:rPr>
            </w:pPr>
            <w:r>
              <w:rPr>
                <w:rFonts w:hint="eastAsia"/>
                <w:color w:val="auto"/>
                <w:lang w:val="en-US" w:eastAsia="zh-CN"/>
              </w:rPr>
              <w:t>福建省福州市罗源县凤山镇东大新村3号（2#楼、负压病房大楼以及1#楼1-3层）</w:t>
            </w:r>
          </w:p>
        </w:tc>
      </w:tr>
      <w:tr w14:paraId="7D81F0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72" w:type="dxa"/>
            <w:tcMar>
              <w:top w:w="16" w:type="dxa"/>
              <w:left w:w="16" w:type="dxa"/>
              <w:right w:w="16" w:type="dxa"/>
            </w:tcMar>
            <w:vAlign w:val="center"/>
          </w:tcPr>
          <w:p w14:paraId="784F40BA">
            <w:pPr>
              <w:adjustRightInd w:val="0"/>
              <w:snapToGrid w:val="0"/>
              <w:jc w:val="center"/>
              <w:rPr>
                <w:color w:val="auto"/>
                <w:szCs w:val="21"/>
                <w:highlight w:val="none"/>
              </w:rPr>
            </w:pPr>
            <w:r>
              <w:rPr>
                <w:color w:val="auto"/>
                <w:szCs w:val="21"/>
                <w:highlight w:val="none"/>
              </w:rPr>
              <w:t>地理坐标</w:t>
            </w:r>
          </w:p>
        </w:tc>
        <w:tc>
          <w:tcPr>
            <w:tcW w:w="7498" w:type="dxa"/>
            <w:gridSpan w:val="3"/>
            <w:vAlign w:val="center"/>
          </w:tcPr>
          <w:p w14:paraId="4711C5F8">
            <w:pPr>
              <w:jc w:val="center"/>
              <w:rPr>
                <w:rFonts w:hint="default" w:eastAsia="宋体"/>
                <w:color w:val="auto"/>
                <w:szCs w:val="21"/>
                <w:highlight w:val="none"/>
                <w:lang w:val="en-US" w:eastAsia="zh-CN"/>
              </w:rPr>
            </w:pPr>
            <w:r>
              <w:rPr>
                <w:rFonts w:hint="eastAsia"/>
                <w:color w:val="auto"/>
                <w:sz w:val="21"/>
                <w:szCs w:val="21"/>
                <w:highlight w:val="none"/>
              </w:rPr>
              <w:t>经度</w:t>
            </w:r>
            <w:r>
              <w:rPr>
                <w:rFonts w:hint="eastAsia"/>
                <w:color w:val="auto"/>
                <w:sz w:val="21"/>
                <w:szCs w:val="21"/>
                <w:highlight w:val="none"/>
                <w:lang w:eastAsia="zh-CN"/>
              </w:rPr>
              <w:t>：</w:t>
            </w:r>
            <w:r>
              <w:rPr>
                <w:rFonts w:hint="eastAsia"/>
                <w:color w:val="auto"/>
                <w:sz w:val="21"/>
                <w:szCs w:val="21"/>
                <w:highlight w:val="none"/>
                <w:lang w:val="en-US" w:eastAsia="zh-CN"/>
              </w:rPr>
              <w:t>119</w:t>
            </w:r>
            <w:r>
              <w:rPr>
                <w:rFonts w:hint="eastAsia"/>
                <w:color w:val="auto"/>
                <w:sz w:val="21"/>
                <w:szCs w:val="21"/>
                <w:highlight w:val="none"/>
              </w:rPr>
              <w:t>°</w:t>
            </w:r>
            <w:r>
              <w:rPr>
                <w:rFonts w:hint="eastAsia"/>
                <w:color w:val="auto"/>
                <w:sz w:val="21"/>
                <w:szCs w:val="21"/>
                <w:highlight w:val="none"/>
                <w:lang w:val="en-US" w:eastAsia="zh-CN"/>
              </w:rPr>
              <w:t>32</w:t>
            </w:r>
            <w:r>
              <w:rPr>
                <w:rFonts w:hint="default" w:ascii="Times New Roman" w:hAnsi="Times New Roman" w:cs="Times New Roman"/>
                <w:color w:val="auto"/>
                <w:sz w:val="21"/>
                <w:szCs w:val="21"/>
                <w:highlight w:val="none"/>
                <w:lang w:val="en-US" w:eastAsia="zh-CN"/>
              </w:rPr>
              <w:t>′</w:t>
            </w:r>
            <w:r>
              <w:rPr>
                <w:rFonts w:hint="eastAsia"/>
                <w:color w:val="auto"/>
                <w:sz w:val="21"/>
                <w:szCs w:val="21"/>
                <w:highlight w:val="none"/>
                <w:lang w:val="en-US" w:eastAsia="zh-CN"/>
              </w:rPr>
              <w:t>40.875</w:t>
            </w:r>
            <w:r>
              <w:rPr>
                <w:rFonts w:hint="default" w:ascii="Times New Roman" w:hAnsi="Times New Roman" w:cs="Times New Roman"/>
                <w:color w:val="auto"/>
                <w:sz w:val="21"/>
                <w:szCs w:val="21"/>
                <w:highlight w:val="none"/>
                <w:lang w:val="en-US" w:eastAsia="zh-CN"/>
              </w:rPr>
              <w:t>″</w:t>
            </w:r>
            <w:r>
              <w:rPr>
                <w:color w:val="auto"/>
                <w:sz w:val="21"/>
                <w:szCs w:val="21"/>
                <w:highlight w:val="none"/>
              </w:rPr>
              <w:t>，</w:t>
            </w:r>
            <w:r>
              <w:rPr>
                <w:rFonts w:hint="eastAsia"/>
                <w:color w:val="auto"/>
                <w:sz w:val="21"/>
                <w:szCs w:val="21"/>
                <w:highlight w:val="none"/>
              </w:rPr>
              <w:t>纬度</w:t>
            </w:r>
            <w:r>
              <w:rPr>
                <w:rFonts w:hint="eastAsia"/>
                <w:color w:val="auto"/>
                <w:sz w:val="21"/>
                <w:szCs w:val="21"/>
                <w:highlight w:val="none"/>
                <w:lang w:eastAsia="zh-CN"/>
              </w:rPr>
              <w:t>：</w:t>
            </w:r>
            <w:r>
              <w:rPr>
                <w:rFonts w:hint="eastAsia"/>
                <w:color w:val="auto"/>
                <w:sz w:val="21"/>
                <w:szCs w:val="21"/>
                <w:highlight w:val="none"/>
                <w:lang w:val="en-US" w:eastAsia="zh-CN"/>
              </w:rPr>
              <w:t>26</w:t>
            </w:r>
            <w:r>
              <w:rPr>
                <w:rFonts w:hint="eastAsia"/>
                <w:color w:val="auto"/>
                <w:sz w:val="21"/>
                <w:szCs w:val="21"/>
                <w:highlight w:val="none"/>
              </w:rPr>
              <w:t>°</w:t>
            </w:r>
            <w:r>
              <w:rPr>
                <w:rFonts w:hint="eastAsia"/>
                <w:color w:val="auto"/>
                <w:sz w:val="21"/>
                <w:szCs w:val="21"/>
                <w:highlight w:val="none"/>
                <w:lang w:val="en-US" w:eastAsia="zh-CN"/>
              </w:rPr>
              <w:t>29</w:t>
            </w:r>
            <w:r>
              <w:rPr>
                <w:rFonts w:hint="default" w:ascii="Times New Roman" w:hAnsi="Times New Roman" w:cs="Times New Roman"/>
                <w:color w:val="auto"/>
                <w:sz w:val="21"/>
                <w:szCs w:val="21"/>
                <w:highlight w:val="none"/>
                <w:lang w:val="en-US" w:eastAsia="zh-CN"/>
              </w:rPr>
              <w:t>′</w:t>
            </w:r>
            <w:r>
              <w:rPr>
                <w:rFonts w:hint="eastAsia"/>
                <w:color w:val="auto"/>
                <w:sz w:val="21"/>
                <w:szCs w:val="21"/>
                <w:highlight w:val="none"/>
                <w:lang w:val="en-US" w:eastAsia="zh-CN"/>
              </w:rPr>
              <w:t>25.334</w:t>
            </w:r>
            <w:r>
              <w:rPr>
                <w:rFonts w:hint="default" w:ascii="Times New Roman" w:hAnsi="Times New Roman" w:cs="Times New Roman"/>
                <w:color w:val="auto"/>
                <w:sz w:val="21"/>
                <w:szCs w:val="21"/>
                <w:highlight w:val="none"/>
                <w:lang w:val="en-US" w:eastAsia="zh-CN"/>
              </w:rPr>
              <w:t>″</w:t>
            </w:r>
          </w:p>
        </w:tc>
      </w:tr>
      <w:tr w14:paraId="34F8D1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93" w:hRule="atLeast"/>
          <w:jc w:val="center"/>
        </w:trPr>
        <w:tc>
          <w:tcPr>
            <w:tcW w:w="1372" w:type="dxa"/>
            <w:tcMar>
              <w:top w:w="16" w:type="dxa"/>
              <w:left w:w="16" w:type="dxa"/>
              <w:right w:w="16" w:type="dxa"/>
            </w:tcMar>
            <w:vAlign w:val="center"/>
          </w:tcPr>
          <w:p w14:paraId="46CD548E">
            <w:pPr>
              <w:adjustRightInd w:val="0"/>
              <w:snapToGrid w:val="0"/>
              <w:jc w:val="center"/>
              <w:rPr>
                <w:color w:val="auto"/>
                <w:szCs w:val="21"/>
                <w:highlight w:val="none"/>
              </w:rPr>
            </w:pPr>
            <w:r>
              <w:rPr>
                <w:color w:val="auto"/>
                <w:szCs w:val="21"/>
                <w:highlight w:val="none"/>
              </w:rPr>
              <w:t>国民经济</w:t>
            </w:r>
          </w:p>
          <w:p w14:paraId="6BB37CD1">
            <w:pPr>
              <w:adjustRightInd w:val="0"/>
              <w:snapToGrid w:val="0"/>
              <w:jc w:val="center"/>
              <w:rPr>
                <w:color w:val="auto"/>
                <w:szCs w:val="21"/>
                <w:highlight w:val="none"/>
              </w:rPr>
            </w:pPr>
            <w:r>
              <w:rPr>
                <w:color w:val="auto"/>
                <w:szCs w:val="21"/>
                <w:highlight w:val="none"/>
              </w:rPr>
              <w:t>行业类别</w:t>
            </w:r>
          </w:p>
        </w:tc>
        <w:tc>
          <w:tcPr>
            <w:tcW w:w="2744" w:type="dxa"/>
            <w:vAlign w:val="center"/>
          </w:tcPr>
          <w:p w14:paraId="3E405EE1">
            <w:pPr>
              <w:pStyle w:val="46"/>
              <w:spacing w:line="240" w:lineRule="auto"/>
              <w:ind w:firstLine="0" w:firstLineChars="0"/>
              <w:jc w:val="center"/>
              <w:rPr>
                <w:rFonts w:hint="eastAsia"/>
                <w:color w:val="auto"/>
                <w:sz w:val="21"/>
                <w:szCs w:val="21"/>
                <w:highlight w:val="none"/>
              </w:rPr>
            </w:pPr>
            <w:r>
              <w:rPr>
                <w:rFonts w:hint="eastAsia"/>
                <w:color w:val="auto"/>
                <w:sz w:val="21"/>
                <w:szCs w:val="21"/>
                <w:highlight w:val="none"/>
              </w:rPr>
              <w:t>Q8412中医医院</w:t>
            </w:r>
          </w:p>
        </w:tc>
        <w:tc>
          <w:tcPr>
            <w:tcW w:w="1742" w:type="dxa"/>
            <w:vAlign w:val="center"/>
          </w:tcPr>
          <w:p w14:paraId="7E667204">
            <w:pPr>
              <w:adjustRightInd w:val="0"/>
              <w:snapToGrid w:val="0"/>
              <w:jc w:val="center"/>
              <w:rPr>
                <w:color w:val="auto"/>
                <w:szCs w:val="21"/>
                <w:highlight w:val="none"/>
              </w:rPr>
            </w:pPr>
            <w:bookmarkStart w:id="6" w:name="_Hlk49843745"/>
            <w:r>
              <w:rPr>
                <w:color w:val="auto"/>
                <w:szCs w:val="21"/>
                <w:highlight w:val="none"/>
              </w:rPr>
              <w:t>建设项目</w:t>
            </w:r>
          </w:p>
          <w:p w14:paraId="31240447">
            <w:pPr>
              <w:adjustRightInd w:val="0"/>
              <w:snapToGrid w:val="0"/>
              <w:jc w:val="center"/>
              <w:rPr>
                <w:color w:val="auto"/>
                <w:szCs w:val="21"/>
                <w:highlight w:val="none"/>
              </w:rPr>
            </w:pPr>
            <w:r>
              <w:rPr>
                <w:color w:val="auto"/>
                <w:szCs w:val="21"/>
                <w:highlight w:val="none"/>
              </w:rPr>
              <w:t>行业类别</w:t>
            </w:r>
            <w:bookmarkEnd w:id="6"/>
          </w:p>
        </w:tc>
        <w:tc>
          <w:tcPr>
            <w:tcW w:w="3012" w:type="dxa"/>
            <w:vAlign w:val="center"/>
          </w:tcPr>
          <w:p w14:paraId="575673E4">
            <w:pPr>
              <w:adjustRightInd w:val="0"/>
              <w:snapToGrid w:val="0"/>
              <w:jc w:val="center"/>
              <w:rPr>
                <w:rFonts w:hint="default"/>
                <w:color w:val="auto"/>
                <w:sz w:val="21"/>
                <w:szCs w:val="21"/>
                <w:highlight w:val="none"/>
                <w:lang w:val="en-US"/>
              </w:rPr>
            </w:pPr>
            <w:r>
              <w:rPr>
                <w:rFonts w:hint="default"/>
                <w:color w:val="auto"/>
                <w:sz w:val="21"/>
                <w:szCs w:val="21"/>
                <w:highlight w:val="none"/>
                <w:lang w:val="en-US"/>
              </w:rPr>
              <w:t>四十九、</w:t>
            </w:r>
            <w:r>
              <w:rPr>
                <w:rFonts w:hint="eastAsia"/>
                <w:color w:val="auto"/>
                <w:sz w:val="21"/>
                <w:szCs w:val="21"/>
                <w:highlight w:val="none"/>
                <w:lang w:val="en-US" w:eastAsia="zh-CN"/>
              </w:rPr>
              <w:t>“</w:t>
            </w:r>
            <w:r>
              <w:rPr>
                <w:rFonts w:hint="default"/>
                <w:color w:val="auto"/>
                <w:sz w:val="21"/>
                <w:szCs w:val="21"/>
                <w:highlight w:val="none"/>
                <w:lang w:val="en-US"/>
              </w:rPr>
              <w:t>108医院</w:t>
            </w:r>
            <w:r>
              <w:rPr>
                <w:rFonts w:hint="eastAsia"/>
                <w:color w:val="auto"/>
                <w:sz w:val="21"/>
                <w:szCs w:val="21"/>
                <w:highlight w:val="none"/>
                <w:lang w:val="en-US" w:eastAsia="zh-CN"/>
              </w:rPr>
              <w:t>”</w:t>
            </w:r>
            <w:r>
              <w:rPr>
                <w:rFonts w:hint="default"/>
                <w:color w:val="auto"/>
                <w:sz w:val="21"/>
                <w:szCs w:val="21"/>
                <w:highlight w:val="none"/>
                <w:lang w:val="en-US"/>
              </w:rPr>
              <w:t>中的</w:t>
            </w:r>
            <w:r>
              <w:rPr>
                <w:rFonts w:hint="eastAsia"/>
                <w:color w:val="auto"/>
                <w:sz w:val="21"/>
                <w:szCs w:val="21"/>
                <w:highlight w:val="none"/>
                <w:lang w:val="en-US" w:eastAsia="zh-CN"/>
              </w:rPr>
              <w:t>“</w:t>
            </w:r>
            <w:r>
              <w:rPr>
                <w:rFonts w:hint="default"/>
                <w:color w:val="auto"/>
                <w:sz w:val="21"/>
                <w:szCs w:val="21"/>
                <w:highlight w:val="none"/>
                <w:lang w:val="en-US"/>
              </w:rPr>
              <w:t>其他</w:t>
            </w:r>
            <w:r>
              <w:rPr>
                <w:rFonts w:hint="eastAsia"/>
                <w:color w:val="auto"/>
                <w:sz w:val="21"/>
                <w:szCs w:val="21"/>
                <w:highlight w:val="none"/>
                <w:lang w:val="en-US" w:eastAsia="zh-CN"/>
              </w:rPr>
              <w:t>（20张床位以下的除外）”</w:t>
            </w:r>
          </w:p>
        </w:tc>
      </w:tr>
      <w:tr w14:paraId="5D9805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372" w:type="dxa"/>
            <w:tcMar>
              <w:top w:w="16" w:type="dxa"/>
              <w:left w:w="16" w:type="dxa"/>
              <w:right w:w="16" w:type="dxa"/>
            </w:tcMar>
            <w:vAlign w:val="center"/>
          </w:tcPr>
          <w:p w14:paraId="50FB0603">
            <w:pPr>
              <w:adjustRightInd w:val="0"/>
              <w:snapToGrid w:val="0"/>
              <w:jc w:val="center"/>
              <w:rPr>
                <w:color w:val="auto"/>
                <w:szCs w:val="21"/>
                <w:highlight w:val="none"/>
              </w:rPr>
            </w:pPr>
            <w:r>
              <w:rPr>
                <w:color w:val="auto"/>
                <w:szCs w:val="21"/>
                <w:highlight w:val="none"/>
              </w:rPr>
              <w:t>建设性质</w:t>
            </w:r>
          </w:p>
        </w:tc>
        <w:tc>
          <w:tcPr>
            <w:tcW w:w="2744" w:type="dxa"/>
            <w:vAlign w:val="center"/>
          </w:tcPr>
          <w:p w14:paraId="0485FA96">
            <w:pPr>
              <w:jc w:val="left"/>
              <w:rPr>
                <w:color w:val="auto"/>
                <w:szCs w:val="21"/>
                <w:highlight w:val="none"/>
              </w:rPr>
            </w:pPr>
            <w:r>
              <w:rPr>
                <w:color w:val="auto"/>
                <w:szCs w:val="21"/>
                <w:highlight w:val="none"/>
              </w:rPr>
              <w:sym w:font="Wingdings 2" w:char="0052"/>
            </w:r>
            <w:r>
              <w:rPr>
                <w:color w:val="auto"/>
                <w:szCs w:val="21"/>
                <w:highlight w:val="none"/>
              </w:rPr>
              <w:t>新建（迁建）</w:t>
            </w:r>
          </w:p>
          <w:p w14:paraId="186A3F80">
            <w:pPr>
              <w:jc w:val="left"/>
              <w:rPr>
                <w:color w:val="auto"/>
                <w:szCs w:val="21"/>
                <w:highlight w:val="none"/>
              </w:rPr>
            </w:pPr>
            <w:r>
              <w:rPr>
                <w:color w:val="auto"/>
                <w:szCs w:val="21"/>
                <w:highlight w:val="none"/>
              </w:rPr>
              <w:sym w:font="Wingdings 2" w:char="00A3"/>
            </w:r>
            <w:r>
              <w:rPr>
                <w:color w:val="auto"/>
                <w:szCs w:val="21"/>
                <w:highlight w:val="none"/>
              </w:rPr>
              <w:t>改建</w:t>
            </w:r>
          </w:p>
          <w:p w14:paraId="6F91B070">
            <w:pPr>
              <w:jc w:val="left"/>
              <w:rPr>
                <w:color w:val="auto"/>
                <w:szCs w:val="21"/>
                <w:highlight w:val="none"/>
              </w:rPr>
            </w:pPr>
            <w:r>
              <w:rPr>
                <w:color w:val="auto"/>
                <w:szCs w:val="21"/>
                <w:highlight w:val="none"/>
              </w:rPr>
              <w:sym w:font="Wingdings 2" w:char="00A3"/>
            </w:r>
            <w:r>
              <w:rPr>
                <w:color w:val="auto"/>
                <w:szCs w:val="21"/>
                <w:highlight w:val="none"/>
              </w:rPr>
              <w:t>扩建</w:t>
            </w:r>
          </w:p>
          <w:p w14:paraId="5D9CFAAC">
            <w:pPr>
              <w:jc w:val="left"/>
              <w:rPr>
                <w:color w:val="auto"/>
                <w:szCs w:val="21"/>
                <w:highlight w:val="none"/>
              </w:rPr>
            </w:pPr>
            <w:r>
              <w:rPr>
                <w:color w:val="auto"/>
                <w:szCs w:val="21"/>
                <w:highlight w:val="none"/>
              </w:rPr>
              <w:sym w:font="Wingdings 2" w:char="00A3"/>
            </w:r>
            <w:r>
              <w:rPr>
                <w:color w:val="auto"/>
                <w:szCs w:val="21"/>
                <w:highlight w:val="none"/>
              </w:rPr>
              <w:t>技术改造</w:t>
            </w:r>
          </w:p>
        </w:tc>
        <w:tc>
          <w:tcPr>
            <w:tcW w:w="1742" w:type="dxa"/>
            <w:vAlign w:val="center"/>
          </w:tcPr>
          <w:p w14:paraId="4759937C">
            <w:pPr>
              <w:adjustRightInd w:val="0"/>
              <w:snapToGrid w:val="0"/>
              <w:jc w:val="center"/>
              <w:rPr>
                <w:color w:val="auto"/>
                <w:szCs w:val="21"/>
                <w:highlight w:val="none"/>
              </w:rPr>
            </w:pPr>
            <w:r>
              <w:rPr>
                <w:color w:val="auto"/>
                <w:szCs w:val="21"/>
                <w:highlight w:val="none"/>
              </w:rPr>
              <w:t>建设项目</w:t>
            </w:r>
          </w:p>
          <w:p w14:paraId="3F574711">
            <w:pPr>
              <w:adjustRightInd w:val="0"/>
              <w:snapToGrid w:val="0"/>
              <w:jc w:val="center"/>
              <w:rPr>
                <w:color w:val="auto"/>
                <w:szCs w:val="21"/>
                <w:highlight w:val="none"/>
              </w:rPr>
            </w:pPr>
            <w:r>
              <w:rPr>
                <w:color w:val="auto"/>
                <w:szCs w:val="21"/>
                <w:highlight w:val="none"/>
              </w:rPr>
              <w:t>申报情形</w:t>
            </w:r>
          </w:p>
        </w:tc>
        <w:tc>
          <w:tcPr>
            <w:tcW w:w="3012" w:type="dxa"/>
            <w:vAlign w:val="center"/>
          </w:tcPr>
          <w:p w14:paraId="36F5A680">
            <w:pPr>
              <w:jc w:val="left"/>
              <w:rPr>
                <w:color w:val="auto"/>
                <w:szCs w:val="21"/>
                <w:highlight w:val="none"/>
              </w:rPr>
            </w:pPr>
            <w:r>
              <w:rPr>
                <w:color w:val="auto"/>
                <w:szCs w:val="21"/>
                <w:highlight w:val="none"/>
              </w:rPr>
              <w:sym w:font="Wingdings 2" w:char="0052"/>
            </w:r>
            <w:r>
              <w:rPr>
                <w:color w:val="auto"/>
                <w:szCs w:val="21"/>
                <w:highlight w:val="none"/>
              </w:rPr>
              <w:t xml:space="preserve">首次申报项目             </w:t>
            </w:r>
          </w:p>
          <w:p w14:paraId="0CE8B9E2">
            <w:pPr>
              <w:jc w:val="left"/>
              <w:rPr>
                <w:color w:val="auto"/>
                <w:szCs w:val="21"/>
                <w:highlight w:val="none"/>
              </w:rPr>
            </w:pPr>
            <w:r>
              <w:rPr>
                <w:rFonts w:hint="eastAsia"/>
                <w:color w:val="auto"/>
                <w:szCs w:val="21"/>
                <w:highlight w:val="none"/>
              </w:rPr>
              <w:t>□</w:t>
            </w:r>
            <w:r>
              <w:rPr>
                <w:color w:val="auto"/>
                <w:szCs w:val="21"/>
                <w:highlight w:val="none"/>
              </w:rPr>
              <w:t>不予批准后再次申报项目</w:t>
            </w:r>
          </w:p>
          <w:p w14:paraId="08ECC8E8">
            <w:pPr>
              <w:jc w:val="left"/>
              <w:rPr>
                <w:color w:val="auto"/>
                <w:szCs w:val="21"/>
                <w:highlight w:val="none"/>
              </w:rPr>
            </w:pPr>
            <w:r>
              <w:rPr>
                <w:rFonts w:hint="eastAsia"/>
                <w:color w:val="auto"/>
                <w:szCs w:val="21"/>
                <w:highlight w:val="none"/>
                <w:lang w:eastAsia="zh-CN"/>
              </w:rPr>
              <w:t>□</w:t>
            </w:r>
            <w:r>
              <w:rPr>
                <w:color w:val="auto"/>
                <w:szCs w:val="21"/>
                <w:highlight w:val="none"/>
              </w:rPr>
              <w:t xml:space="preserve">超五年重新审核项目     </w:t>
            </w:r>
          </w:p>
          <w:p w14:paraId="1F1FDE41">
            <w:pPr>
              <w:jc w:val="left"/>
              <w:rPr>
                <w:color w:val="auto"/>
                <w:szCs w:val="21"/>
                <w:highlight w:val="none"/>
              </w:rPr>
            </w:pPr>
            <w:r>
              <w:rPr>
                <w:rFonts w:hint="eastAsia"/>
                <w:color w:val="auto"/>
                <w:szCs w:val="21"/>
                <w:highlight w:val="none"/>
                <w:lang w:eastAsia="zh-CN"/>
              </w:rPr>
              <w:t>□</w:t>
            </w:r>
            <w:r>
              <w:rPr>
                <w:color w:val="auto"/>
                <w:szCs w:val="21"/>
                <w:highlight w:val="none"/>
              </w:rPr>
              <w:t>重大变动重新报批项目</w:t>
            </w:r>
          </w:p>
        </w:tc>
      </w:tr>
      <w:tr w14:paraId="79A199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372" w:type="dxa"/>
            <w:tcMar>
              <w:top w:w="16" w:type="dxa"/>
              <w:left w:w="16" w:type="dxa"/>
              <w:right w:w="16" w:type="dxa"/>
            </w:tcMar>
            <w:vAlign w:val="center"/>
          </w:tcPr>
          <w:p w14:paraId="0B7E23FC">
            <w:pPr>
              <w:adjustRightInd w:val="0"/>
              <w:snapToGrid w:val="0"/>
              <w:jc w:val="center"/>
              <w:rPr>
                <w:color w:val="auto"/>
                <w:szCs w:val="21"/>
                <w:highlight w:val="none"/>
              </w:rPr>
            </w:pPr>
            <w:r>
              <w:rPr>
                <w:color w:val="auto"/>
                <w:szCs w:val="21"/>
                <w:highlight w:val="none"/>
              </w:rPr>
              <w:t>项目审批（核准/</w:t>
            </w:r>
          </w:p>
          <w:p w14:paraId="610895E3">
            <w:pPr>
              <w:adjustRightInd w:val="0"/>
              <w:snapToGrid w:val="0"/>
              <w:jc w:val="both"/>
              <w:rPr>
                <w:color w:val="auto"/>
                <w:szCs w:val="21"/>
                <w:highlight w:val="none"/>
              </w:rPr>
            </w:pPr>
            <w:r>
              <w:rPr>
                <w:color w:val="auto"/>
                <w:szCs w:val="21"/>
                <w:highlight w:val="none"/>
              </w:rPr>
              <w:t>备案）部门（选填）</w:t>
            </w:r>
          </w:p>
        </w:tc>
        <w:tc>
          <w:tcPr>
            <w:tcW w:w="2744" w:type="dxa"/>
            <w:vAlign w:val="center"/>
          </w:tcPr>
          <w:p w14:paraId="4659B6A9">
            <w:pPr>
              <w:pStyle w:val="46"/>
              <w:ind w:firstLine="0" w:firstLineChars="0"/>
              <w:jc w:val="center"/>
              <w:rPr>
                <w:rFonts w:hint="default" w:eastAsia="宋体"/>
                <w:color w:val="auto"/>
                <w:szCs w:val="21"/>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罗源县发展和改革局</w:t>
            </w:r>
          </w:p>
        </w:tc>
        <w:tc>
          <w:tcPr>
            <w:tcW w:w="1742" w:type="dxa"/>
            <w:vAlign w:val="center"/>
          </w:tcPr>
          <w:p w14:paraId="41BB4B7B">
            <w:pPr>
              <w:adjustRightInd w:val="0"/>
              <w:snapToGrid w:val="0"/>
              <w:jc w:val="center"/>
              <w:rPr>
                <w:color w:val="auto"/>
                <w:szCs w:val="21"/>
                <w:highlight w:val="none"/>
              </w:rPr>
            </w:pPr>
            <w:r>
              <w:rPr>
                <w:color w:val="auto"/>
                <w:szCs w:val="21"/>
                <w:highlight w:val="none"/>
              </w:rPr>
              <w:t>项目审批（核准/</w:t>
            </w:r>
          </w:p>
          <w:p w14:paraId="13D8C97C">
            <w:pPr>
              <w:adjustRightInd w:val="0"/>
              <w:snapToGrid w:val="0"/>
              <w:jc w:val="center"/>
              <w:rPr>
                <w:color w:val="auto"/>
                <w:szCs w:val="21"/>
                <w:highlight w:val="none"/>
              </w:rPr>
            </w:pPr>
            <w:r>
              <w:rPr>
                <w:color w:val="auto"/>
                <w:szCs w:val="21"/>
                <w:highlight w:val="none"/>
              </w:rPr>
              <w:t>备案）文号（选填）</w:t>
            </w:r>
          </w:p>
        </w:tc>
        <w:tc>
          <w:tcPr>
            <w:tcW w:w="3012" w:type="dxa"/>
            <w:vAlign w:val="center"/>
          </w:tcPr>
          <w:p w14:paraId="5981CEDA">
            <w:pPr>
              <w:adjustRightInd w:val="0"/>
              <w:snapToGrid w:val="0"/>
              <w:jc w:val="center"/>
              <w:rPr>
                <w:rFonts w:hint="default" w:eastAsia="宋体"/>
                <w:color w:val="auto"/>
                <w:szCs w:val="21"/>
                <w:highlight w:val="none"/>
                <w:lang w:val="en-US" w:eastAsia="zh-CN"/>
              </w:rPr>
            </w:pPr>
            <w:r>
              <w:rPr>
                <w:rFonts w:hint="default" w:eastAsia="宋体"/>
                <w:color w:val="auto"/>
                <w:szCs w:val="21"/>
                <w:highlight w:val="none"/>
                <w:lang w:val="en-US" w:eastAsia="zh-CN"/>
              </w:rPr>
              <w:t>罗发改投资</w:t>
            </w:r>
            <w:r>
              <w:rPr>
                <w:rFonts w:hint="eastAsia"/>
                <w:color w:val="auto"/>
                <w:szCs w:val="21"/>
                <w:highlight w:val="none"/>
                <w:lang w:val="en-US" w:eastAsia="zh-CN"/>
              </w:rPr>
              <w:t>〔2023〕111号</w:t>
            </w:r>
          </w:p>
        </w:tc>
      </w:tr>
      <w:tr w14:paraId="5F4540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72" w:type="dxa"/>
            <w:tcMar>
              <w:top w:w="16" w:type="dxa"/>
              <w:left w:w="16" w:type="dxa"/>
              <w:right w:w="16" w:type="dxa"/>
            </w:tcMar>
            <w:vAlign w:val="center"/>
          </w:tcPr>
          <w:p w14:paraId="276382E6">
            <w:pPr>
              <w:adjustRightInd w:val="0"/>
              <w:snapToGrid w:val="0"/>
              <w:jc w:val="center"/>
              <w:rPr>
                <w:color w:val="auto"/>
                <w:szCs w:val="21"/>
                <w:highlight w:val="none"/>
              </w:rPr>
            </w:pPr>
            <w:r>
              <w:rPr>
                <w:color w:val="auto"/>
                <w:szCs w:val="21"/>
                <w:highlight w:val="none"/>
              </w:rPr>
              <w:t>总投资（万元）</w:t>
            </w:r>
          </w:p>
        </w:tc>
        <w:tc>
          <w:tcPr>
            <w:tcW w:w="2744" w:type="dxa"/>
            <w:vAlign w:val="center"/>
          </w:tcPr>
          <w:p w14:paraId="1AD8CE22">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4000</w:t>
            </w:r>
          </w:p>
        </w:tc>
        <w:tc>
          <w:tcPr>
            <w:tcW w:w="1742" w:type="dxa"/>
            <w:tcMar>
              <w:top w:w="16" w:type="dxa"/>
              <w:left w:w="16" w:type="dxa"/>
              <w:right w:w="16" w:type="dxa"/>
            </w:tcMar>
            <w:vAlign w:val="center"/>
          </w:tcPr>
          <w:p w14:paraId="71BFF159">
            <w:pPr>
              <w:adjustRightInd w:val="0"/>
              <w:snapToGrid w:val="0"/>
              <w:jc w:val="center"/>
              <w:rPr>
                <w:color w:val="auto"/>
                <w:szCs w:val="21"/>
                <w:highlight w:val="none"/>
              </w:rPr>
            </w:pPr>
            <w:r>
              <w:rPr>
                <w:color w:val="auto"/>
                <w:szCs w:val="21"/>
                <w:highlight w:val="none"/>
              </w:rPr>
              <w:t>环保投资（万元）</w:t>
            </w:r>
          </w:p>
        </w:tc>
        <w:tc>
          <w:tcPr>
            <w:tcW w:w="3012" w:type="dxa"/>
            <w:vAlign w:val="center"/>
          </w:tcPr>
          <w:p w14:paraId="7545477C">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20</w:t>
            </w:r>
          </w:p>
        </w:tc>
      </w:tr>
      <w:tr w14:paraId="0CBF5D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72" w:type="dxa"/>
            <w:tcMar>
              <w:top w:w="16" w:type="dxa"/>
              <w:left w:w="16" w:type="dxa"/>
              <w:right w:w="16" w:type="dxa"/>
            </w:tcMar>
            <w:vAlign w:val="center"/>
          </w:tcPr>
          <w:p w14:paraId="5F503DD7">
            <w:pPr>
              <w:adjustRightInd w:val="0"/>
              <w:snapToGrid w:val="0"/>
              <w:jc w:val="center"/>
              <w:rPr>
                <w:color w:val="auto"/>
                <w:szCs w:val="21"/>
                <w:highlight w:val="none"/>
              </w:rPr>
            </w:pPr>
            <w:r>
              <w:rPr>
                <w:color w:val="auto"/>
                <w:szCs w:val="21"/>
                <w:highlight w:val="none"/>
              </w:rPr>
              <w:t>环保投资占比（%）</w:t>
            </w:r>
          </w:p>
        </w:tc>
        <w:tc>
          <w:tcPr>
            <w:tcW w:w="2744" w:type="dxa"/>
            <w:vAlign w:val="center"/>
          </w:tcPr>
          <w:p w14:paraId="42E1639C">
            <w:pPr>
              <w:adjustRightInd w:val="0"/>
              <w:snapToGrid w:val="0"/>
              <w:jc w:val="center"/>
              <w:rPr>
                <w:rFonts w:hint="default"/>
                <w:color w:val="auto"/>
                <w:szCs w:val="21"/>
                <w:highlight w:val="none"/>
                <w:lang w:val="en-US" w:eastAsia="zh-CN"/>
              </w:rPr>
            </w:pPr>
            <w:r>
              <w:rPr>
                <w:rFonts w:hint="eastAsia"/>
                <w:color w:val="auto"/>
                <w:szCs w:val="21"/>
                <w:highlight w:val="none"/>
                <w:shd w:val="clear"/>
                <w:lang w:val="en-US" w:eastAsia="zh-CN"/>
              </w:rPr>
              <w:t>0.5%</w:t>
            </w:r>
          </w:p>
        </w:tc>
        <w:tc>
          <w:tcPr>
            <w:tcW w:w="1742" w:type="dxa"/>
            <w:tcMar>
              <w:top w:w="16" w:type="dxa"/>
              <w:left w:w="16" w:type="dxa"/>
              <w:right w:w="16" w:type="dxa"/>
            </w:tcMar>
            <w:vAlign w:val="center"/>
          </w:tcPr>
          <w:p w14:paraId="6BCAA76E">
            <w:pPr>
              <w:adjustRightInd w:val="0"/>
              <w:snapToGrid w:val="0"/>
              <w:jc w:val="center"/>
              <w:rPr>
                <w:color w:val="auto"/>
                <w:szCs w:val="21"/>
                <w:highlight w:val="none"/>
              </w:rPr>
            </w:pPr>
            <w:r>
              <w:rPr>
                <w:color w:val="auto"/>
                <w:szCs w:val="21"/>
                <w:highlight w:val="none"/>
              </w:rPr>
              <w:t>施工工期</w:t>
            </w:r>
          </w:p>
        </w:tc>
        <w:tc>
          <w:tcPr>
            <w:tcW w:w="3012" w:type="dxa"/>
            <w:vAlign w:val="center"/>
          </w:tcPr>
          <w:p w14:paraId="2003A86A">
            <w:pPr>
              <w:adjustRightInd w:val="0"/>
              <w:snapToGrid w:val="0"/>
              <w:jc w:val="center"/>
              <w:rPr>
                <w:color w:val="auto"/>
                <w:szCs w:val="21"/>
                <w:highlight w:val="none"/>
              </w:rPr>
            </w:pPr>
            <w:r>
              <w:rPr>
                <w:rFonts w:hint="eastAsia"/>
                <w:color w:val="auto"/>
                <w:szCs w:val="21"/>
                <w:highlight w:val="none"/>
                <w:lang w:val="en-US" w:eastAsia="zh-CN"/>
              </w:rPr>
              <w:t>12</w:t>
            </w:r>
            <w:r>
              <w:rPr>
                <w:color w:val="auto"/>
                <w:szCs w:val="21"/>
                <w:highlight w:val="none"/>
              </w:rPr>
              <w:t>个月</w:t>
            </w:r>
          </w:p>
        </w:tc>
      </w:tr>
      <w:tr w14:paraId="49ED79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372" w:type="dxa"/>
            <w:tcMar>
              <w:top w:w="16" w:type="dxa"/>
              <w:left w:w="16" w:type="dxa"/>
              <w:right w:w="16" w:type="dxa"/>
            </w:tcMar>
            <w:vAlign w:val="center"/>
          </w:tcPr>
          <w:p w14:paraId="74E5DE5A">
            <w:pPr>
              <w:adjustRightInd w:val="0"/>
              <w:snapToGrid w:val="0"/>
              <w:jc w:val="center"/>
              <w:rPr>
                <w:color w:val="auto"/>
                <w:szCs w:val="21"/>
                <w:highlight w:val="none"/>
              </w:rPr>
            </w:pPr>
            <w:r>
              <w:rPr>
                <w:color w:val="auto"/>
                <w:szCs w:val="21"/>
                <w:highlight w:val="none"/>
              </w:rPr>
              <w:t>是否开工建设</w:t>
            </w:r>
          </w:p>
        </w:tc>
        <w:tc>
          <w:tcPr>
            <w:tcW w:w="2744" w:type="dxa"/>
            <w:vAlign w:val="center"/>
          </w:tcPr>
          <w:p w14:paraId="1D280373">
            <w:pPr>
              <w:adjustRightInd w:val="0"/>
              <w:snapToGrid w:val="0"/>
              <w:rPr>
                <w:color w:val="auto"/>
                <w:szCs w:val="21"/>
                <w:highlight w:val="none"/>
              </w:rPr>
            </w:pPr>
            <w:r>
              <w:rPr>
                <w:color w:val="auto"/>
                <w:szCs w:val="21"/>
                <w:highlight w:val="none"/>
              </w:rPr>
              <w:sym w:font="Wingdings 2" w:char="0052"/>
            </w:r>
            <w:r>
              <w:rPr>
                <w:color w:val="auto"/>
                <w:szCs w:val="21"/>
                <w:highlight w:val="none"/>
              </w:rPr>
              <w:t>否</w:t>
            </w:r>
          </w:p>
          <w:p w14:paraId="14C6402E">
            <w:pPr>
              <w:adjustRightInd w:val="0"/>
              <w:snapToGrid w:val="0"/>
              <w:rPr>
                <w:color w:val="auto"/>
                <w:szCs w:val="21"/>
                <w:highlight w:val="none"/>
              </w:rPr>
            </w:pPr>
            <w:r>
              <w:rPr>
                <w:color w:val="auto"/>
                <w:szCs w:val="21"/>
                <w:highlight w:val="none"/>
              </w:rPr>
              <w:sym w:font="Wingdings 2" w:char="00A3"/>
            </w:r>
            <w:r>
              <w:rPr>
                <w:color w:val="auto"/>
                <w:szCs w:val="21"/>
                <w:highlight w:val="none"/>
              </w:rPr>
              <w:t>是：</w:t>
            </w:r>
            <w:r>
              <w:rPr>
                <w:rFonts w:hint="eastAsia"/>
                <w:color w:val="auto"/>
                <w:szCs w:val="21"/>
                <w:highlight w:val="none"/>
                <w:u w:val="single"/>
              </w:rPr>
              <w:t xml:space="preserve">             </w:t>
            </w:r>
            <w:r>
              <w:rPr>
                <w:color w:val="auto"/>
                <w:szCs w:val="21"/>
                <w:highlight w:val="none"/>
                <w:u w:val="single"/>
              </w:rPr>
              <w:t xml:space="preserve">   </w:t>
            </w:r>
          </w:p>
        </w:tc>
        <w:tc>
          <w:tcPr>
            <w:tcW w:w="1742" w:type="dxa"/>
            <w:tcMar>
              <w:top w:w="16" w:type="dxa"/>
              <w:left w:w="16" w:type="dxa"/>
              <w:right w:w="16" w:type="dxa"/>
            </w:tcMar>
            <w:vAlign w:val="center"/>
          </w:tcPr>
          <w:p w14:paraId="6D3483ED">
            <w:pPr>
              <w:adjustRightInd w:val="0"/>
              <w:snapToGrid w:val="0"/>
              <w:jc w:val="center"/>
              <w:rPr>
                <w:color w:val="auto"/>
                <w:spacing w:val="-6"/>
                <w:szCs w:val="21"/>
                <w:highlight w:val="none"/>
              </w:rPr>
            </w:pPr>
            <w:r>
              <w:rPr>
                <w:color w:val="auto"/>
                <w:spacing w:val="-6"/>
                <w:szCs w:val="21"/>
                <w:highlight w:val="none"/>
              </w:rPr>
              <w:t>用地（用海）</w:t>
            </w:r>
          </w:p>
          <w:p w14:paraId="401A7FD1">
            <w:pPr>
              <w:adjustRightInd w:val="0"/>
              <w:snapToGrid w:val="0"/>
              <w:jc w:val="center"/>
              <w:rPr>
                <w:color w:val="auto"/>
                <w:szCs w:val="21"/>
                <w:highlight w:val="none"/>
              </w:rPr>
            </w:pPr>
            <w:r>
              <w:rPr>
                <w:color w:val="auto"/>
                <w:spacing w:val="-6"/>
                <w:szCs w:val="21"/>
                <w:highlight w:val="none"/>
              </w:rPr>
              <w:t>面积（m</w:t>
            </w:r>
            <w:r>
              <w:rPr>
                <w:color w:val="auto"/>
                <w:spacing w:val="-6"/>
                <w:szCs w:val="21"/>
                <w:highlight w:val="none"/>
                <w:vertAlign w:val="superscript"/>
              </w:rPr>
              <w:t>2</w:t>
            </w:r>
            <w:r>
              <w:rPr>
                <w:color w:val="auto"/>
                <w:spacing w:val="-6"/>
                <w:szCs w:val="21"/>
                <w:highlight w:val="none"/>
              </w:rPr>
              <w:t>）</w:t>
            </w:r>
          </w:p>
        </w:tc>
        <w:tc>
          <w:tcPr>
            <w:tcW w:w="3012" w:type="dxa"/>
            <w:vAlign w:val="center"/>
          </w:tcPr>
          <w:p w14:paraId="0E76C679">
            <w:pPr>
              <w:adjustRightInd w:val="0"/>
              <w:snapToGrid w:val="0"/>
              <w:jc w:val="center"/>
              <w:rPr>
                <w:rFonts w:hint="default" w:eastAsia="宋体"/>
                <w:color w:val="auto"/>
                <w:szCs w:val="21"/>
                <w:highlight w:val="none"/>
                <w:lang w:val="en-US" w:eastAsia="zh-CN"/>
              </w:rPr>
            </w:pPr>
            <w:r>
              <w:rPr>
                <w:rFonts w:hint="eastAsia"/>
                <w:color w:val="auto"/>
                <w:szCs w:val="21"/>
                <w:highlight w:val="none"/>
                <w:lang w:val="en-US" w:eastAsia="zh-CN"/>
              </w:rPr>
              <w:t>28300</w:t>
            </w:r>
          </w:p>
        </w:tc>
      </w:tr>
      <w:tr w14:paraId="37860A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27" w:hRule="atLeast"/>
          <w:jc w:val="center"/>
        </w:trPr>
        <w:tc>
          <w:tcPr>
            <w:tcW w:w="1372" w:type="dxa"/>
            <w:vAlign w:val="center"/>
          </w:tcPr>
          <w:p w14:paraId="27CE6FC7">
            <w:pPr>
              <w:autoSpaceDE w:val="0"/>
              <w:autoSpaceDN w:val="0"/>
              <w:adjustRightInd w:val="0"/>
              <w:snapToGrid w:val="0"/>
              <w:jc w:val="center"/>
              <w:rPr>
                <w:color w:val="auto"/>
                <w:kern w:val="0"/>
                <w:szCs w:val="21"/>
                <w:highlight w:val="none"/>
              </w:rPr>
            </w:pPr>
            <w:r>
              <w:rPr>
                <w:color w:val="auto"/>
                <w:kern w:val="0"/>
                <w:szCs w:val="21"/>
                <w:highlight w:val="none"/>
              </w:rPr>
              <w:t>专项评价设置情况</w:t>
            </w:r>
          </w:p>
        </w:tc>
        <w:tc>
          <w:tcPr>
            <w:tcW w:w="7498" w:type="dxa"/>
            <w:gridSpan w:val="3"/>
            <w:vAlign w:val="center"/>
          </w:tcPr>
          <w:p w14:paraId="07BE4D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对照《建设项目环境影响报告表编制</w:t>
            </w:r>
            <w:r>
              <w:rPr>
                <w:rFonts w:hint="eastAsia" w:ascii="Times New Roman" w:hAnsi="Times New Roman" w:eastAsia="宋体" w:cs="Times New Roman"/>
                <w:color w:val="auto"/>
                <w:sz w:val="24"/>
                <w:szCs w:val="24"/>
                <w:highlight w:val="none"/>
                <w:lang w:val="en-US" w:eastAsia="zh-CN"/>
              </w:rPr>
              <w:t>技术</w:t>
            </w:r>
            <w:r>
              <w:rPr>
                <w:rFonts w:hint="default" w:ascii="Times New Roman" w:hAnsi="Times New Roman" w:eastAsia="宋体" w:cs="Times New Roman"/>
                <w:color w:val="auto"/>
                <w:sz w:val="24"/>
                <w:szCs w:val="24"/>
                <w:highlight w:val="none"/>
              </w:rPr>
              <w:t>指南——污染影响类》专题评价设置原则表，本项目专题评价设置情况判定如下：</w:t>
            </w:r>
          </w:p>
          <w:p w14:paraId="5F22AB1C">
            <w:pPr>
              <w:pStyle w:val="44"/>
              <w:keepNext/>
              <w:keepLines/>
              <w:pageBreakBefore w:val="0"/>
              <w:widowControl w:val="0"/>
              <w:kinsoku/>
              <w:wordWrap/>
              <w:overflowPunct/>
              <w:topLinePunct w:val="0"/>
              <w:autoSpaceDE/>
              <w:autoSpaceDN/>
              <w:bidi w:val="0"/>
              <w:adjustRightInd/>
              <w:snapToGrid/>
              <w:spacing w:before="157" w:beforeLines="50" w:after="0"/>
              <w:ind w:left="420" w:leftChars="0" w:firstLineChars="0"/>
              <w:jc w:val="center"/>
              <w:textAlignment w:val="auto"/>
              <w:rPr>
                <w:rFonts w:hint="default" w:ascii="Times New Roman" w:hAnsi="Times New Roman" w:eastAsia="宋体" w:cs="宋体"/>
                <w:color w:val="auto"/>
                <w:highlight w:val="none"/>
                <w:lang w:val="en-US" w:eastAsia="zh-CN"/>
              </w:rPr>
            </w:pPr>
            <w:r>
              <w:rPr>
                <w:rFonts w:hint="eastAsia" w:ascii="Times New Roman" w:hAnsi="Times New Roman" w:eastAsia="宋体" w:cs="宋体"/>
                <w:color w:val="auto"/>
                <w:highlight w:val="none"/>
                <w:lang w:val="en-US" w:eastAsia="zh-CN"/>
              </w:rPr>
              <w:t>专项评价设置原则表</w:t>
            </w:r>
          </w:p>
          <w:tbl>
            <w:tblPr>
              <w:tblStyle w:val="34"/>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97"/>
              <w:gridCol w:w="3507"/>
              <w:gridCol w:w="2380"/>
              <w:gridCol w:w="698"/>
            </w:tblGrid>
            <w:tr w14:paraId="59E315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10" w:hRule="atLeast"/>
                <w:tblHeader/>
                <w:jc w:val="center"/>
              </w:trPr>
              <w:tc>
                <w:tcPr>
                  <w:tcW w:w="0" w:type="auto"/>
                  <w:tcBorders>
                    <w:tl2br w:val="nil"/>
                    <w:tr2bl w:val="nil"/>
                  </w:tcBorders>
                  <w:noWrap w:val="0"/>
                  <w:vAlign w:val="center"/>
                </w:tcPr>
                <w:p w14:paraId="2354258E">
                  <w:pPr>
                    <w:pStyle w:val="136"/>
                    <w:keepNext w:val="0"/>
                    <w:keepLines w:val="0"/>
                    <w:suppressLineNumbers w:val="0"/>
                    <w:bidi w:val="0"/>
                    <w:spacing w:before="0" w:beforeAutospacing="0" w:after="0" w:afterAutospacing="0"/>
                    <w:ind w:left="0" w:right="0"/>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专项评价类别</w:t>
                  </w:r>
                </w:p>
              </w:tc>
              <w:tc>
                <w:tcPr>
                  <w:tcW w:w="0" w:type="auto"/>
                  <w:tcBorders>
                    <w:tl2br w:val="nil"/>
                    <w:tr2bl w:val="nil"/>
                  </w:tcBorders>
                  <w:noWrap w:val="0"/>
                  <w:vAlign w:val="center"/>
                </w:tcPr>
                <w:p w14:paraId="1DEB2F73">
                  <w:pPr>
                    <w:pStyle w:val="136"/>
                    <w:keepNext w:val="0"/>
                    <w:keepLines w:val="0"/>
                    <w:suppressLineNumbers w:val="0"/>
                    <w:bidi w:val="0"/>
                    <w:spacing w:before="0" w:beforeAutospacing="0" w:after="0" w:afterAutospacing="0"/>
                    <w:ind w:left="0" w:right="0"/>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设置原则</w:t>
                  </w:r>
                </w:p>
              </w:tc>
              <w:tc>
                <w:tcPr>
                  <w:tcW w:w="0" w:type="auto"/>
                  <w:tcBorders>
                    <w:tl2br w:val="nil"/>
                    <w:tr2bl w:val="nil"/>
                  </w:tcBorders>
                  <w:noWrap w:val="0"/>
                  <w:vAlign w:val="center"/>
                </w:tcPr>
                <w:p w14:paraId="05E6C570">
                  <w:pPr>
                    <w:pStyle w:val="136"/>
                    <w:keepNext w:val="0"/>
                    <w:keepLines w:val="0"/>
                    <w:suppressLineNumbers w:val="0"/>
                    <w:bidi w:val="0"/>
                    <w:spacing w:before="0" w:beforeAutospacing="0" w:after="0" w:afterAutospacing="0"/>
                    <w:ind w:left="0" w:right="0"/>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项目情况</w:t>
                  </w:r>
                </w:p>
              </w:tc>
              <w:tc>
                <w:tcPr>
                  <w:tcW w:w="0" w:type="auto"/>
                  <w:tcBorders>
                    <w:tl2br w:val="nil"/>
                    <w:tr2bl w:val="nil"/>
                  </w:tcBorders>
                  <w:noWrap w:val="0"/>
                  <w:vAlign w:val="center"/>
                </w:tcPr>
                <w:p w14:paraId="0C95023E">
                  <w:pPr>
                    <w:pStyle w:val="136"/>
                    <w:keepNext w:val="0"/>
                    <w:keepLines w:val="0"/>
                    <w:suppressLineNumbers w:val="0"/>
                    <w:bidi w:val="0"/>
                    <w:spacing w:before="0" w:beforeAutospacing="0" w:after="0" w:afterAutospacing="0"/>
                    <w:ind w:left="0" w:right="0"/>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是否设置专项</w:t>
                  </w:r>
                </w:p>
              </w:tc>
            </w:tr>
            <w:tr w14:paraId="5E7941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189" w:hRule="atLeast"/>
                <w:tblHeader/>
                <w:jc w:val="center"/>
              </w:trPr>
              <w:tc>
                <w:tcPr>
                  <w:tcW w:w="0" w:type="auto"/>
                  <w:tcBorders>
                    <w:tl2br w:val="nil"/>
                    <w:tr2bl w:val="nil"/>
                  </w:tcBorders>
                  <w:noWrap w:val="0"/>
                  <w:vAlign w:val="center"/>
                </w:tcPr>
                <w:p w14:paraId="4A16F795">
                  <w:pPr>
                    <w:pStyle w:val="136"/>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大气</w:t>
                  </w:r>
                </w:p>
              </w:tc>
              <w:tc>
                <w:tcPr>
                  <w:tcW w:w="0" w:type="auto"/>
                  <w:tcBorders>
                    <w:tl2br w:val="nil"/>
                    <w:tr2bl w:val="nil"/>
                  </w:tcBorders>
                  <w:noWrap w:val="0"/>
                  <w:vAlign w:val="center"/>
                </w:tcPr>
                <w:p w14:paraId="0FED7F7A">
                  <w:pPr>
                    <w:pStyle w:val="136"/>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排放废气含有毒有害污染物、二噁英、</w:t>
                  </w:r>
                  <w:r>
                    <w:rPr>
                      <w:rFonts w:hint="eastAsia" w:cs="Times New Roman"/>
                      <w:color w:val="auto"/>
                      <w:sz w:val="21"/>
                      <w:szCs w:val="21"/>
                      <w:highlight w:val="none"/>
                      <w:lang w:eastAsia="zh-CN"/>
                    </w:rPr>
                    <w:t>苯并[a]芘</w:t>
                  </w:r>
                  <w:r>
                    <w:rPr>
                      <w:rFonts w:hint="default" w:ascii="Times New Roman" w:hAnsi="Times New Roman" w:eastAsia="宋体" w:cs="Times New Roman"/>
                      <w:color w:val="auto"/>
                      <w:sz w:val="21"/>
                      <w:szCs w:val="21"/>
                      <w:highlight w:val="none"/>
                    </w:rPr>
                    <w:t>、氰化物、氯气，且厂界外500米范围内有环境空气保护目标的项目</w:t>
                  </w:r>
                </w:p>
              </w:tc>
              <w:tc>
                <w:tcPr>
                  <w:tcW w:w="0" w:type="auto"/>
                  <w:tcBorders>
                    <w:tl2br w:val="nil"/>
                    <w:tr2bl w:val="nil"/>
                  </w:tcBorders>
                  <w:noWrap w:val="0"/>
                  <w:vAlign w:val="center"/>
                </w:tcPr>
                <w:p w14:paraId="7DC0639E">
                  <w:pPr>
                    <w:pStyle w:val="136"/>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本项目排放废气中不含有毒有害污染物、二噁英、苯并[a]芘、氰化物、氯气。</w:t>
                  </w:r>
                </w:p>
              </w:tc>
              <w:tc>
                <w:tcPr>
                  <w:tcW w:w="0" w:type="auto"/>
                  <w:tcBorders>
                    <w:tl2br w:val="nil"/>
                    <w:tr2bl w:val="nil"/>
                  </w:tcBorders>
                  <w:noWrap w:val="0"/>
                  <w:vAlign w:val="center"/>
                </w:tcPr>
                <w:p w14:paraId="607BC9B2">
                  <w:pPr>
                    <w:pStyle w:val="136"/>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否</w:t>
                  </w:r>
                </w:p>
              </w:tc>
            </w:tr>
            <w:tr w14:paraId="409871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0" w:type="auto"/>
                  <w:tcBorders>
                    <w:tl2br w:val="nil"/>
                    <w:tr2bl w:val="nil"/>
                  </w:tcBorders>
                  <w:noWrap w:val="0"/>
                  <w:vAlign w:val="center"/>
                </w:tcPr>
                <w:p w14:paraId="099FBFBD">
                  <w:pPr>
                    <w:pStyle w:val="136"/>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地表水</w:t>
                  </w:r>
                </w:p>
              </w:tc>
              <w:tc>
                <w:tcPr>
                  <w:tcW w:w="0" w:type="auto"/>
                  <w:tcBorders>
                    <w:tl2br w:val="nil"/>
                    <w:tr2bl w:val="nil"/>
                  </w:tcBorders>
                  <w:noWrap w:val="0"/>
                  <w:vAlign w:val="center"/>
                </w:tcPr>
                <w:p w14:paraId="319E6CBF">
                  <w:pPr>
                    <w:pStyle w:val="136"/>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新增工业废水直排建设项目（槽罐车外送污水处理厂的除外），新增废水直排的污水集中处理厂</w:t>
                  </w:r>
                </w:p>
              </w:tc>
              <w:tc>
                <w:tcPr>
                  <w:tcW w:w="0" w:type="auto"/>
                  <w:tcBorders>
                    <w:tl2br w:val="nil"/>
                    <w:tr2bl w:val="nil"/>
                  </w:tcBorders>
                  <w:noWrap w:val="0"/>
                  <w:vAlign w:val="center"/>
                </w:tcPr>
                <w:p w14:paraId="1FA707E6">
                  <w:pPr>
                    <w:pStyle w:val="136"/>
                    <w:keepNext w:val="0"/>
                    <w:keepLines w:val="0"/>
                    <w:suppressLineNumbers w:val="0"/>
                    <w:bidi w:val="0"/>
                    <w:spacing w:before="0" w:beforeAutospacing="0" w:after="0" w:afterAutospacing="0"/>
                    <w:ind w:left="0" w:right="0"/>
                    <w:jc w:val="both"/>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本项目不涉及新增工业废水直排</w:t>
                  </w:r>
                  <w:r>
                    <w:rPr>
                      <w:rFonts w:hint="eastAsia" w:ascii="Times New Roman" w:hAnsi="Times New Roman" w:eastAsia="宋体"/>
                      <w:bCs/>
                      <w:color w:val="auto"/>
                      <w:sz w:val="21"/>
                      <w:szCs w:val="21"/>
                      <w:highlight w:val="none"/>
                      <w:lang w:eastAsia="zh-CN"/>
                    </w:rPr>
                    <w:t>。</w:t>
                  </w:r>
                </w:p>
              </w:tc>
              <w:tc>
                <w:tcPr>
                  <w:tcW w:w="0" w:type="auto"/>
                  <w:tcBorders>
                    <w:tl2br w:val="nil"/>
                    <w:tr2bl w:val="nil"/>
                  </w:tcBorders>
                  <w:noWrap w:val="0"/>
                  <w:vAlign w:val="center"/>
                </w:tcPr>
                <w:p w14:paraId="07958A57">
                  <w:pPr>
                    <w:pStyle w:val="136"/>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否</w:t>
                  </w:r>
                </w:p>
              </w:tc>
            </w:tr>
            <w:tr w14:paraId="1B734FA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0" w:type="auto"/>
                  <w:tcBorders>
                    <w:tl2br w:val="nil"/>
                    <w:tr2bl w:val="nil"/>
                  </w:tcBorders>
                  <w:noWrap w:val="0"/>
                  <w:vAlign w:val="center"/>
                </w:tcPr>
                <w:p w14:paraId="1A0FDE2E">
                  <w:pPr>
                    <w:pStyle w:val="136"/>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w:t>
                  </w:r>
                </w:p>
                <w:p w14:paraId="5808C0E6">
                  <w:pPr>
                    <w:pStyle w:val="136"/>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风险</w:t>
                  </w:r>
                </w:p>
              </w:tc>
              <w:tc>
                <w:tcPr>
                  <w:tcW w:w="0" w:type="auto"/>
                  <w:tcBorders>
                    <w:tl2br w:val="nil"/>
                    <w:tr2bl w:val="nil"/>
                  </w:tcBorders>
                  <w:noWrap w:val="0"/>
                  <w:vAlign w:val="center"/>
                </w:tcPr>
                <w:p w14:paraId="1F7CD399">
                  <w:pPr>
                    <w:pStyle w:val="136"/>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有毒有害和易燃易爆危险物质存储量超过临界量的建设项目</w:t>
                  </w:r>
                </w:p>
              </w:tc>
              <w:tc>
                <w:tcPr>
                  <w:tcW w:w="0" w:type="auto"/>
                  <w:tcBorders>
                    <w:tl2br w:val="nil"/>
                    <w:tr2bl w:val="nil"/>
                  </w:tcBorders>
                  <w:noWrap w:val="0"/>
                  <w:vAlign w:val="center"/>
                </w:tcPr>
                <w:p w14:paraId="1DF988ED">
                  <w:pPr>
                    <w:pStyle w:val="136"/>
                    <w:keepNext w:val="0"/>
                    <w:keepLines w:val="0"/>
                    <w:suppressLineNumbers w:val="0"/>
                    <w:bidi w:val="0"/>
                    <w:spacing w:before="0" w:beforeAutospacing="0" w:after="0" w:afterAutospacing="0"/>
                    <w:ind w:left="0" w:right="0"/>
                    <w:jc w:val="both"/>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本</w:t>
                  </w:r>
                  <w:r>
                    <w:rPr>
                      <w:rFonts w:hint="eastAsia" w:ascii="Times New Roman" w:hAnsi="Times New Roman" w:eastAsia="宋体" w:cs="Times New Roman"/>
                      <w:color w:val="auto"/>
                      <w:sz w:val="21"/>
                      <w:szCs w:val="21"/>
                      <w:highlight w:val="none"/>
                      <w:lang w:val="en-US" w:eastAsia="zh-CN"/>
                    </w:rPr>
                    <w:t>项目有毒有害及易燃易爆危险物质的</w:t>
                  </w:r>
                  <w:r>
                    <w:rPr>
                      <w:rFonts w:hint="eastAsia" w:cs="Times New Roman"/>
                      <w:color w:val="auto"/>
                      <w:sz w:val="21"/>
                      <w:szCs w:val="21"/>
                      <w:highlight w:val="none"/>
                      <w:lang w:val="en-US" w:eastAsia="zh-CN"/>
                    </w:rPr>
                    <w:t>存储量未超过临界值，项目Q&lt;1</w:t>
                  </w:r>
                </w:p>
              </w:tc>
              <w:tc>
                <w:tcPr>
                  <w:tcW w:w="0" w:type="auto"/>
                  <w:tcBorders>
                    <w:tl2br w:val="nil"/>
                    <w:tr2bl w:val="nil"/>
                  </w:tcBorders>
                  <w:noWrap w:val="0"/>
                  <w:vAlign w:val="center"/>
                </w:tcPr>
                <w:p w14:paraId="36129731">
                  <w:pPr>
                    <w:pStyle w:val="136"/>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否</w:t>
                  </w:r>
                </w:p>
              </w:tc>
            </w:tr>
            <w:tr w14:paraId="565209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0" w:type="auto"/>
                  <w:tcBorders>
                    <w:tl2br w:val="nil"/>
                    <w:tr2bl w:val="nil"/>
                  </w:tcBorders>
                  <w:noWrap w:val="0"/>
                  <w:vAlign w:val="center"/>
                </w:tcPr>
                <w:p w14:paraId="6092DD64">
                  <w:pPr>
                    <w:pStyle w:val="136"/>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生态</w:t>
                  </w:r>
                </w:p>
              </w:tc>
              <w:tc>
                <w:tcPr>
                  <w:tcW w:w="0" w:type="auto"/>
                  <w:tcBorders>
                    <w:tl2br w:val="nil"/>
                    <w:tr2bl w:val="nil"/>
                  </w:tcBorders>
                  <w:noWrap w:val="0"/>
                  <w:vAlign w:val="center"/>
                </w:tcPr>
                <w:p w14:paraId="3F2D72F7">
                  <w:pPr>
                    <w:pStyle w:val="136"/>
                    <w:keepNext w:val="0"/>
                    <w:keepLines w:val="0"/>
                    <w:suppressLineNumbers w:val="0"/>
                    <w:bidi w:val="0"/>
                    <w:spacing w:before="0" w:beforeAutospacing="0" w:after="0" w:afterAutospacing="0"/>
                    <w:ind w:left="0" w:right="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取水口下游500米范围内有重要水生生物的自然产卵场、索饵场、越冬场和洄游通道的新增河道取水的污染类建设项目</w:t>
                  </w:r>
                </w:p>
              </w:tc>
              <w:tc>
                <w:tcPr>
                  <w:tcW w:w="0" w:type="auto"/>
                  <w:tcBorders>
                    <w:tl2br w:val="nil"/>
                    <w:tr2bl w:val="nil"/>
                  </w:tcBorders>
                  <w:noWrap w:val="0"/>
                  <w:vAlign w:val="center"/>
                </w:tcPr>
                <w:p w14:paraId="53964AA6">
                  <w:pPr>
                    <w:pStyle w:val="136"/>
                    <w:keepNext w:val="0"/>
                    <w:keepLines w:val="0"/>
                    <w:suppressLineNumbers w:val="0"/>
                    <w:bidi w:val="0"/>
                    <w:spacing w:before="0" w:beforeAutospacing="0" w:after="0" w:afterAutospacing="0"/>
                    <w:ind w:left="0" w:right="0"/>
                    <w:jc w:val="both"/>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本</w:t>
                  </w:r>
                  <w:r>
                    <w:rPr>
                      <w:rFonts w:hint="default" w:ascii="Times New Roman" w:hAnsi="Times New Roman" w:eastAsia="宋体" w:cs="Times New Roman"/>
                      <w:color w:val="auto"/>
                      <w:sz w:val="21"/>
                      <w:szCs w:val="21"/>
                      <w:highlight w:val="none"/>
                    </w:rPr>
                    <w:t>项目</w:t>
                  </w:r>
                  <w:r>
                    <w:rPr>
                      <w:rFonts w:hint="default" w:ascii="Times New Roman" w:hAnsi="Times New Roman" w:eastAsia="宋体" w:cs="Times New Roman"/>
                      <w:color w:val="auto"/>
                      <w:sz w:val="21"/>
                      <w:szCs w:val="21"/>
                      <w:highlight w:val="none"/>
                      <w:lang w:eastAsia="zh-CN"/>
                    </w:rPr>
                    <w:t>用水</w:t>
                  </w:r>
                  <w:r>
                    <w:rPr>
                      <w:rFonts w:hint="default" w:ascii="Times New Roman" w:hAnsi="Times New Roman" w:eastAsia="宋体" w:cs="Times New Roman"/>
                      <w:b w:val="0"/>
                      <w:bCs w:val="0"/>
                      <w:iCs/>
                      <w:color w:val="auto"/>
                      <w:kern w:val="2"/>
                      <w:sz w:val="21"/>
                      <w:szCs w:val="21"/>
                      <w:highlight w:val="none"/>
                      <w:lang w:val="en-US" w:eastAsia="zh-CN" w:bidi="ar-SA"/>
                    </w:rPr>
                    <w:t>由市政给水管</w:t>
                  </w:r>
                  <w:r>
                    <w:rPr>
                      <w:rFonts w:hint="eastAsia" w:cs="Times New Roman"/>
                      <w:b w:val="0"/>
                      <w:bCs w:val="0"/>
                      <w:iCs/>
                      <w:color w:val="auto"/>
                      <w:kern w:val="2"/>
                      <w:sz w:val="21"/>
                      <w:szCs w:val="21"/>
                      <w:highlight w:val="none"/>
                      <w:lang w:val="en-US" w:eastAsia="zh-CN" w:bidi="ar-SA"/>
                    </w:rPr>
                    <w:t>网</w:t>
                  </w:r>
                  <w:r>
                    <w:rPr>
                      <w:rFonts w:hint="default" w:ascii="Times New Roman" w:hAnsi="Times New Roman" w:eastAsia="宋体" w:cs="Times New Roman"/>
                      <w:b w:val="0"/>
                      <w:bCs w:val="0"/>
                      <w:iCs/>
                      <w:color w:val="auto"/>
                      <w:kern w:val="2"/>
                      <w:sz w:val="21"/>
                      <w:szCs w:val="21"/>
                      <w:highlight w:val="none"/>
                      <w:lang w:val="en-US" w:eastAsia="zh-CN" w:bidi="ar-SA"/>
                    </w:rPr>
                    <w:t>供给</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不</w:t>
                  </w:r>
                  <w:r>
                    <w:rPr>
                      <w:rFonts w:hint="default" w:ascii="Times New Roman" w:hAnsi="Times New Roman" w:eastAsia="宋体" w:cs="Times New Roman"/>
                      <w:color w:val="auto"/>
                      <w:sz w:val="21"/>
                      <w:szCs w:val="21"/>
                      <w:highlight w:val="none"/>
                    </w:rPr>
                    <w:t>设置取水口</w:t>
                  </w:r>
                  <w:r>
                    <w:rPr>
                      <w:rFonts w:hint="eastAsia" w:ascii="Times New Roman" w:hAnsi="Times New Roman" w:eastAsia="宋体" w:cs="Times New Roman"/>
                      <w:color w:val="auto"/>
                      <w:sz w:val="21"/>
                      <w:szCs w:val="21"/>
                      <w:highlight w:val="none"/>
                      <w:lang w:eastAsia="zh-CN"/>
                    </w:rPr>
                    <w:t>。</w:t>
                  </w:r>
                </w:p>
              </w:tc>
              <w:tc>
                <w:tcPr>
                  <w:tcW w:w="0" w:type="auto"/>
                  <w:tcBorders>
                    <w:tl2br w:val="nil"/>
                    <w:tr2bl w:val="nil"/>
                  </w:tcBorders>
                  <w:noWrap w:val="0"/>
                  <w:vAlign w:val="center"/>
                </w:tcPr>
                <w:p w14:paraId="24E9F48B">
                  <w:pPr>
                    <w:pStyle w:val="136"/>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否</w:t>
                  </w:r>
                </w:p>
              </w:tc>
            </w:tr>
            <w:tr w14:paraId="7A26A3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664" w:hRule="atLeast"/>
                <w:tblHeader/>
                <w:jc w:val="center"/>
              </w:trPr>
              <w:tc>
                <w:tcPr>
                  <w:tcW w:w="0" w:type="auto"/>
                  <w:tcBorders>
                    <w:tl2br w:val="nil"/>
                    <w:tr2bl w:val="nil"/>
                  </w:tcBorders>
                  <w:noWrap w:val="0"/>
                  <w:vAlign w:val="center"/>
                </w:tcPr>
                <w:p w14:paraId="4902C8B4">
                  <w:pPr>
                    <w:pStyle w:val="136"/>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海洋</w:t>
                  </w:r>
                </w:p>
              </w:tc>
              <w:tc>
                <w:tcPr>
                  <w:tcW w:w="0" w:type="auto"/>
                  <w:tcBorders>
                    <w:tl2br w:val="nil"/>
                    <w:tr2bl w:val="nil"/>
                  </w:tcBorders>
                  <w:noWrap w:val="0"/>
                  <w:vAlign w:val="center"/>
                </w:tcPr>
                <w:p w14:paraId="137429CF">
                  <w:pPr>
                    <w:pStyle w:val="136"/>
                    <w:keepNext w:val="0"/>
                    <w:keepLines w:val="0"/>
                    <w:suppressLineNumbers w:val="0"/>
                    <w:bidi w:val="0"/>
                    <w:spacing w:before="0" w:beforeAutospacing="0" w:after="0" w:afterAutospacing="0"/>
                    <w:ind w:left="0" w:right="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直接向海排放污染物的海洋工程建设项目</w:t>
                  </w:r>
                </w:p>
              </w:tc>
              <w:tc>
                <w:tcPr>
                  <w:tcW w:w="0" w:type="auto"/>
                  <w:tcBorders>
                    <w:tl2br w:val="nil"/>
                    <w:tr2bl w:val="nil"/>
                  </w:tcBorders>
                  <w:noWrap w:val="0"/>
                  <w:vAlign w:val="center"/>
                </w:tcPr>
                <w:p w14:paraId="5C456395">
                  <w:pPr>
                    <w:pStyle w:val="136"/>
                    <w:keepNext w:val="0"/>
                    <w:keepLines w:val="0"/>
                    <w:suppressLineNumbers w:val="0"/>
                    <w:bidi w:val="0"/>
                    <w:spacing w:before="0" w:beforeAutospacing="0" w:after="0" w:afterAutospacing="0"/>
                    <w:ind w:left="0" w:right="0"/>
                    <w:jc w:val="left"/>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本项目不属于海洋工程建设项目</w:t>
                  </w:r>
                  <w:r>
                    <w:rPr>
                      <w:rFonts w:hint="eastAsia" w:ascii="Times New Roman" w:hAnsi="Times New Roman" w:eastAsia="宋体" w:cs="Times New Roman"/>
                      <w:color w:val="auto"/>
                      <w:sz w:val="21"/>
                      <w:szCs w:val="21"/>
                      <w:highlight w:val="none"/>
                      <w:lang w:eastAsia="zh-CN"/>
                    </w:rPr>
                    <w:t>。</w:t>
                  </w:r>
                </w:p>
              </w:tc>
              <w:tc>
                <w:tcPr>
                  <w:tcW w:w="0" w:type="auto"/>
                  <w:tcBorders>
                    <w:tl2br w:val="nil"/>
                    <w:tr2bl w:val="nil"/>
                  </w:tcBorders>
                  <w:noWrap w:val="0"/>
                  <w:vAlign w:val="center"/>
                </w:tcPr>
                <w:p w14:paraId="6838B4CB">
                  <w:pPr>
                    <w:pStyle w:val="136"/>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否</w:t>
                  </w:r>
                </w:p>
              </w:tc>
            </w:tr>
          </w:tbl>
          <w:p w14:paraId="14D785AC">
            <w:pPr>
              <w:autoSpaceDE w:val="0"/>
              <w:autoSpaceDN w:val="0"/>
              <w:adjustRightInd w:val="0"/>
              <w:snapToGrid w:val="0"/>
              <w:jc w:val="both"/>
              <w:rPr>
                <w:color w:val="auto"/>
                <w:kern w:val="0"/>
                <w:szCs w:val="21"/>
                <w:highlight w:val="none"/>
              </w:rPr>
            </w:pPr>
          </w:p>
        </w:tc>
      </w:tr>
      <w:tr w14:paraId="604D8D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1372" w:type="dxa"/>
            <w:vAlign w:val="center"/>
          </w:tcPr>
          <w:p w14:paraId="4C7C24C8">
            <w:pPr>
              <w:autoSpaceDE w:val="0"/>
              <w:autoSpaceDN w:val="0"/>
              <w:adjustRightInd w:val="0"/>
              <w:snapToGrid w:val="0"/>
              <w:jc w:val="center"/>
              <w:rPr>
                <w:color w:val="auto"/>
                <w:kern w:val="0"/>
                <w:szCs w:val="21"/>
                <w:highlight w:val="none"/>
              </w:rPr>
            </w:pPr>
            <w:r>
              <w:rPr>
                <w:color w:val="auto"/>
                <w:szCs w:val="21"/>
                <w:highlight w:val="none"/>
              </w:rPr>
              <w:t>规划情况</w:t>
            </w:r>
          </w:p>
        </w:tc>
        <w:tc>
          <w:tcPr>
            <w:tcW w:w="7498" w:type="dxa"/>
            <w:gridSpan w:val="3"/>
            <w:vAlign w:val="center"/>
          </w:tcPr>
          <w:p w14:paraId="60704914">
            <w:pPr>
              <w:pStyle w:val="46"/>
              <w:spacing w:line="360" w:lineRule="auto"/>
              <w:ind w:firstLine="0" w:firstLineChars="0"/>
              <w:rPr>
                <w:rFonts w:hint="eastAsia"/>
                <w:color w:val="auto"/>
                <w:sz w:val="24"/>
                <w:szCs w:val="24"/>
                <w:highlight w:val="none"/>
              </w:rPr>
            </w:pPr>
            <w:r>
              <w:rPr>
                <w:rFonts w:hint="eastAsia"/>
                <w:color w:val="auto"/>
                <w:sz w:val="24"/>
                <w:szCs w:val="24"/>
                <w:highlight w:val="none"/>
              </w:rPr>
              <w:t>规划名称：</w:t>
            </w:r>
            <w:r>
              <w:rPr>
                <w:spacing w:val="-1"/>
                <w:sz w:val="24"/>
                <w:szCs w:val="24"/>
              </w:rPr>
              <w:t>《</w:t>
            </w:r>
            <w:r>
              <w:rPr>
                <w:spacing w:val="7"/>
              </w:rPr>
              <w:t>罗源县国土空间总体规划</w:t>
            </w:r>
            <w:r>
              <w:rPr>
                <w:rFonts w:hint="eastAsia"/>
                <w:spacing w:val="7"/>
                <w:lang w:eastAsia="zh-CN"/>
              </w:rPr>
              <w:t>（</w:t>
            </w:r>
            <w:r>
              <w:rPr>
                <w:spacing w:val="-1"/>
                <w:sz w:val="24"/>
                <w:szCs w:val="24"/>
              </w:rPr>
              <w:t>20</w:t>
            </w:r>
            <w:r>
              <w:rPr>
                <w:rFonts w:hint="eastAsia"/>
                <w:spacing w:val="-1"/>
                <w:sz w:val="24"/>
                <w:szCs w:val="24"/>
                <w:lang w:val="en-US" w:eastAsia="zh-CN"/>
              </w:rPr>
              <w:t>21</w:t>
            </w:r>
            <w:r>
              <w:rPr>
                <w:spacing w:val="-1"/>
                <w:sz w:val="24"/>
                <w:szCs w:val="24"/>
              </w:rPr>
              <w:t>-20</w:t>
            </w:r>
            <w:r>
              <w:rPr>
                <w:rFonts w:hint="eastAsia"/>
                <w:spacing w:val="-1"/>
                <w:sz w:val="24"/>
                <w:szCs w:val="24"/>
                <w:lang w:val="en-US" w:eastAsia="zh-CN"/>
              </w:rPr>
              <w:t>35</w:t>
            </w:r>
            <w:r>
              <w:rPr>
                <w:spacing w:val="-1"/>
                <w:sz w:val="24"/>
                <w:szCs w:val="24"/>
              </w:rPr>
              <w:t>年</w:t>
            </w:r>
            <w:r>
              <w:rPr>
                <w:rFonts w:hint="eastAsia"/>
                <w:spacing w:val="-1"/>
                <w:sz w:val="24"/>
                <w:szCs w:val="24"/>
                <w:lang w:eastAsia="zh-CN"/>
              </w:rPr>
              <w:t>）</w:t>
            </w:r>
            <w:r>
              <w:rPr>
                <w:spacing w:val="-1"/>
                <w:sz w:val="24"/>
                <w:szCs w:val="24"/>
              </w:rPr>
              <w:t>》</w:t>
            </w:r>
          </w:p>
          <w:p w14:paraId="12782A94">
            <w:pPr>
              <w:pStyle w:val="46"/>
              <w:spacing w:line="360" w:lineRule="auto"/>
              <w:ind w:firstLine="0" w:firstLineChars="0"/>
              <w:rPr>
                <w:rFonts w:hint="eastAsia"/>
                <w:color w:val="auto"/>
                <w:sz w:val="24"/>
                <w:szCs w:val="24"/>
                <w:highlight w:val="none"/>
                <w:lang w:eastAsia="zh-CN"/>
              </w:rPr>
            </w:pPr>
            <w:r>
              <w:rPr>
                <w:rFonts w:hint="eastAsia"/>
                <w:color w:val="auto"/>
                <w:sz w:val="24"/>
                <w:szCs w:val="24"/>
                <w:highlight w:val="none"/>
              </w:rPr>
              <w:t>审批机关</w:t>
            </w:r>
            <w:r>
              <w:rPr>
                <w:rFonts w:hint="eastAsia"/>
                <w:color w:val="auto"/>
                <w:sz w:val="24"/>
                <w:szCs w:val="24"/>
                <w:highlight w:val="none"/>
                <w:lang w:eastAsia="zh-CN"/>
              </w:rPr>
              <w:t>：福建省人民政府</w:t>
            </w:r>
          </w:p>
          <w:p w14:paraId="605F5019">
            <w:pPr>
              <w:pStyle w:val="46"/>
              <w:spacing w:line="360" w:lineRule="auto"/>
              <w:ind w:firstLine="0" w:firstLineChars="0"/>
              <w:rPr>
                <w:rFonts w:hint="eastAsia"/>
                <w:color w:val="auto"/>
                <w:sz w:val="24"/>
                <w:szCs w:val="24"/>
                <w:highlight w:val="none"/>
                <w:lang w:val="en-US" w:eastAsia="zh-CN"/>
              </w:rPr>
            </w:pPr>
            <w:r>
              <w:rPr>
                <w:rFonts w:hint="eastAsia"/>
                <w:color w:val="auto"/>
                <w:sz w:val="24"/>
                <w:szCs w:val="24"/>
                <w:highlight w:val="none"/>
                <w:lang w:val="en-US" w:eastAsia="zh-CN"/>
              </w:rPr>
              <w:t>审批文件名称及文号：《福建省人民政府关于福州市罗源县国土空间总体规划（2021—2035年）的批复》闽政文〔2024〕420号</w:t>
            </w:r>
          </w:p>
        </w:tc>
      </w:tr>
      <w:tr w14:paraId="7C4C22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2" w:type="dxa"/>
            <w:vAlign w:val="center"/>
          </w:tcPr>
          <w:p w14:paraId="7FB3C3DF">
            <w:pPr>
              <w:adjustRightInd w:val="0"/>
              <w:snapToGrid w:val="0"/>
              <w:jc w:val="center"/>
              <w:rPr>
                <w:color w:val="auto"/>
                <w:szCs w:val="21"/>
                <w:highlight w:val="none"/>
              </w:rPr>
            </w:pPr>
            <w:r>
              <w:rPr>
                <w:color w:val="auto"/>
                <w:szCs w:val="21"/>
                <w:highlight w:val="none"/>
              </w:rPr>
              <w:t>规划环境影响</w:t>
            </w:r>
          </w:p>
          <w:p w14:paraId="4E15478B">
            <w:pPr>
              <w:adjustRightInd w:val="0"/>
              <w:snapToGrid w:val="0"/>
              <w:jc w:val="center"/>
              <w:rPr>
                <w:color w:val="auto"/>
                <w:kern w:val="0"/>
                <w:szCs w:val="21"/>
                <w:highlight w:val="none"/>
              </w:rPr>
            </w:pPr>
            <w:r>
              <w:rPr>
                <w:color w:val="auto"/>
                <w:szCs w:val="21"/>
                <w:highlight w:val="none"/>
              </w:rPr>
              <w:t>评价情况</w:t>
            </w:r>
          </w:p>
        </w:tc>
        <w:tc>
          <w:tcPr>
            <w:tcW w:w="7498" w:type="dxa"/>
            <w:gridSpan w:val="3"/>
            <w:vAlign w:val="center"/>
          </w:tcPr>
          <w:p w14:paraId="743A67C4">
            <w:pPr>
              <w:pStyle w:val="46"/>
              <w:keepNext w:val="0"/>
              <w:keepLines w:val="0"/>
              <w:pageBreakBefore w:val="0"/>
              <w:widowControl w:val="0"/>
              <w:kinsoku/>
              <w:wordWrap/>
              <w:overflowPunct/>
              <w:topLinePunct w:val="0"/>
              <w:autoSpaceDE w:val="0"/>
              <w:autoSpaceDN w:val="0"/>
              <w:bidi w:val="0"/>
              <w:adjustRightInd/>
              <w:snapToGrid/>
              <w:spacing w:line="336" w:lineRule="auto"/>
              <w:ind w:left="0" w:leftChars="0" w:firstLine="0" w:firstLineChars="0"/>
              <w:textAlignment w:val="auto"/>
              <w:rPr>
                <w:rFonts w:hint="default" w:eastAsia="宋体"/>
                <w:color w:val="auto"/>
                <w:sz w:val="24"/>
                <w:szCs w:val="24"/>
                <w:highlight w:val="none"/>
                <w:lang w:val="en-US" w:eastAsia="zh-CN"/>
              </w:rPr>
            </w:pPr>
            <w:r>
              <w:rPr>
                <w:rFonts w:hint="eastAsia"/>
                <w:color w:val="auto"/>
                <w:sz w:val="24"/>
                <w:szCs w:val="24"/>
                <w:highlight w:val="none"/>
                <w:lang w:val="en-US" w:eastAsia="zh-CN"/>
              </w:rPr>
              <w:t>无</w:t>
            </w:r>
          </w:p>
        </w:tc>
      </w:tr>
      <w:tr w14:paraId="49CF4D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2" w:type="dxa"/>
            <w:vAlign w:val="center"/>
          </w:tcPr>
          <w:p w14:paraId="2DECAC81">
            <w:pPr>
              <w:autoSpaceDE w:val="0"/>
              <w:autoSpaceDN w:val="0"/>
              <w:adjustRightInd w:val="0"/>
              <w:snapToGrid w:val="0"/>
              <w:jc w:val="center"/>
              <w:rPr>
                <w:color w:val="auto"/>
                <w:szCs w:val="21"/>
                <w:highlight w:val="none"/>
              </w:rPr>
            </w:pPr>
            <w:r>
              <w:rPr>
                <w:color w:val="auto"/>
                <w:kern w:val="0"/>
                <w:szCs w:val="21"/>
                <w:highlight w:val="none"/>
              </w:rPr>
              <w:t>规划及规划环境影响评价符合性分析</w:t>
            </w:r>
          </w:p>
        </w:tc>
        <w:tc>
          <w:tcPr>
            <w:tcW w:w="7498" w:type="dxa"/>
            <w:gridSpan w:val="3"/>
            <w:vAlign w:val="center"/>
          </w:tcPr>
          <w:p w14:paraId="43C8B5EF">
            <w:pPr>
              <w:pStyle w:val="3"/>
              <w:numPr>
                <w:ilvl w:val="1"/>
                <w:numId w:val="0"/>
              </w:numPr>
              <w:bidi w:val="0"/>
              <w:ind w:leftChars="0"/>
              <w:rPr>
                <w:color w:val="auto"/>
              </w:rPr>
            </w:pPr>
            <w:r>
              <w:rPr>
                <w:rFonts w:hint="eastAsia"/>
                <w:color w:val="auto"/>
                <w:lang w:val="en-US" w:eastAsia="zh-CN"/>
              </w:rPr>
              <w:t>1.1</w:t>
            </w:r>
            <w:r>
              <w:rPr>
                <w:rFonts w:hint="eastAsia"/>
                <w:color w:val="auto"/>
              </w:rPr>
              <w:t>与《罗源县国土空间总体规划</w:t>
            </w:r>
            <w:r>
              <w:rPr>
                <w:rFonts w:hint="eastAsia"/>
                <w:color w:val="auto"/>
                <w:lang w:eastAsia="zh-CN"/>
              </w:rPr>
              <w:t>（</w:t>
            </w:r>
            <w:r>
              <w:rPr>
                <w:rFonts w:hint="eastAsia"/>
                <w:color w:val="auto"/>
              </w:rPr>
              <w:t>20</w:t>
            </w:r>
            <w:r>
              <w:rPr>
                <w:rFonts w:hint="eastAsia"/>
                <w:color w:val="auto"/>
                <w:lang w:val="en-US" w:eastAsia="zh-CN"/>
              </w:rPr>
              <w:t>21</w:t>
            </w:r>
            <w:r>
              <w:rPr>
                <w:rFonts w:hint="eastAsia"/>
                <w:color w:val="auto"/>
              </w:rPr>
              <w:t>-20</w:t>
            </w:r>
            <w:r>
              <w:rPr>
                <w:rFonts w:hint="eastAsia"/>
                <w:color w:val="auto"/>
                <w:lang w:val="en-US" w:eastAsia="zh-CN"/>
              </w:rPr>
              <w:t>35</w:t>
            </w:r>
            <w:r>
              <w:rPr>
                <w:rFonts w:hint="eastAsia"/>
                <w:color w:val="auto"/>
              </w:rPr>
              <w:t>年</w:t>
            </w:r>
            <w:r>
              <w:rPr>
                <w:rFonts w:hint="eastAsia"/>
                <w:color w:val="auto"/>
                <w:lang w:eastAsia="zh-CN"/>
              </w:rPr>
              <w:t>）</w:t>
            </w:r>
            <w:r>
              <w:rPr>
                <w:rFonts w:hint="eastAsia"/>
                <w:color w:val="auto"/>
              </w:rPr>
              <w:t>》符合性分析</w:t>
            </w:r>
          </w:p>
          <w:p w14:paraId="40553530">
            <w:pPr>
              <w:pStyle w:val="46"/>
              <w:keepNext w:val="0"/>
              <w:keepLines w:val="0"/>
              <w:pageBreakBefore w:val="0"/>
              <w:widowControl w:val="0"/>
              <w:kinsoku/>
              <w:wordWrap/>
              <w:overflowPunct/>
              <w:topLinePunct w:val="0"/>
              <w:bidi w:val="0"/>
              <w:adjustRightInd/>
              <w:snapToGrid/>
              <w:ind w:firstLine="480"/>
              <w:textAlignment w:val="auto"/>
              <w:rPr>
                <w:rFonts w:hint="eastAsia"/>
                <w:color w:val="auto"/>
                <w:sz w:val="24"/>
                <w:highlight w:val="none"/>
                <w:lang w:val="en-US" w:eastAsia="zh-CN"/>
              </w:rPr>
            </w:pPr>
            <w:r>
              <w:rPr>
                <w:rFonts w:hint="eastAsia"/>
                <w:color w:val="auto"/>
                <w:sz w:val="24"/>
                <w:highlight w:val="none"/>
                <w:lang w:val="en-US" w:eastAsia="zh-CN"/>
              </w:rPr>
              <w:t>（1）规划范围</w:t>
            </w:r>
          </w:p>
          <w:p w14:paraId="08777554">
            <w:pPr>
              <w:pStyle w:val="46"/>
              <w:keepNext w:val="0"/>
              <w:keepLines w:val="0"/>
              <w:pageBreakBefore w:val="0"/>
              <w:widowControl w:val="0"/>
              <w:kinsoku/>
              <w:wordWrap/>
              <w:overflowPunct/>
              <w:topLinePunct w:val="0"/>
              <w:bidi w:val="0"/>
              <w:adjustRightInd/>
              <w:snapToGrid/>
              <w:ind w:firstLine="480"/>
              <w:textAlignment w:val="auto"/>
              <w:rPr>
                <w:rFonts w:hint="eastAsia" w:ascii="Times New Roman" w:hAnsi="Times New Roman" w:eastAsia="宋体"/>
                <w:color w:val="auto"/>
                <w:sz w:val="24"/>
                <w:highlight w:val="none"/>
                <w:lang w:val="en-US" w:eastAsia="zh-CN"/>
              </w:rPr>
            </w:pPr>
            <w:r>
              <w:rPr>
                <w:rFonts w:hint="eastAsia" w:ascii="Times New Roman" w:hAnsi="Times New Roman" w:eastAsia="宋体"/>
                <w:color w:val="auto"/>
                <w:sz w:val="24"/>
                <w:highlight w:val="none"/>
                <w:lang w:val="en-US" w:eastAsia="zh-CN"/>
              </w:rPr>
              <w:t>罗源县行政辖区范围的陆域和海域空间</w:t>
            </w:r>
            <w:r>
              <w:rPr>
                <w:rFonts w:hint="eastAsia"/>
                <w:color w:val="auto"/>
                <w:sz w:val="24"/>
                <w:highlight w:val="none"/>
                <w:lang w:val="en-US" w:eastAsia="zh-CN"/>
              </w:rPr>
              <w:t>（由于福州市和宁德市海域行政界线未完全勘定，海域管理界线以后续官方勘定成果为准）</w:t>
            </w:r>
            <w:r>
              <w:rPr>
                <w:rFonts w:hint="eastAsia" w:ascii="Times New Roman" w:hAnsi="Times New Roman" w:eastAsia="宋体"/>
                <w:color w:val="auto"/>
                <w:sz w:val="24"/>
                <w:highlight w:val="none"/>
                <w:lang w:val="en-US" w:eastAsia="zh-CN"/>
              </w:rPr>
              <w:t>。规划范围包括县域和中心城区两个层次。</w:t>
            </w:r>
          </w:p>
          <w:p w14:paraId="4A74D503">
            <w:pPr>
              <w:pStyle w:val="46"/>
              <w:keepNext w:val="0"/>
              <w:keepLines w:val="0"/>
              <w:pageBreakBefore w:val="0"/>
              <w:widowControl w:val="0"/>
              <w:kinsoku/>
              <w:wordWrap/>
              <w:overflowPunct/>
              <w:topLinePunct w:val="0"/>
              <w:bidi w:val="0"/>
              <w:adjustRightInd/>
              <w:snapToGrid/>
              <w:ind w:firstLine="480"/>
              <w:textAlignment w:val="auto"/>
              <w:rPr>
                <w:rFonts w:hint="eastAsia" w:ascii="Times New Roman" w:hAnsi="Times New Roman" w:eastAsia="宋体"/>
                <w:color w:val="auto"/>
                <w:sz w:val="24"/>
                <w:highlight w:val="none"/>
                <w:lang w:val="en-US" w:eastAsia="zh-CN"/>
              </w:rPr>
            </w:pPr>
            <w:r>
              <w:rPr>
                <w:rFonts w:hint="eastAsia" w:ascii="Times New Roman" w:hAnsi="Times New Roman" w:eastAsia="宋体"/>
                <w:color w:val="auto"/>
                <w:sz w:val="24"/>
                <w:highlight w:val="none"/>
                <w:lang w:val="en-US" w:eastAsia="zh-CN"/>
              </w:rPr>
              <w:t>县域</w:t>
            </w:r>
            <w:r>
              <w:rPr>
                <w:rFonts w:hint="eastAsia"/>
                <w:color w:val="auto"/>
                <w:sz w:val="24"/>
                <w:highlight w:val="none"/>
                <w:lang w:val="en-US" w:eastAsia="zh-CN"/>
              </w:rPr>
              <w:t>：</w:t>
            </w:r>
            <w:r>
              <w:rPr>
                <w:rFonts w:hint="eastAsia" w:ascii="Times New Roman" w:hAnsi="Times New Roman" w:eastAsia="宋体"/>
                <w:color w:val="auto"/>
                <w:sz w:val="24"/>
                <w:highlight w:val="none"/>
                <w:lang w:val="en-US" w:eastAsia="zh-CN"/>
              </w:rPr>
              <w:t>范围为罗源县行政辖区内的陆域和海域空间，辖6个镇</w:t>
            </w:r>
            <w:r>
              <w:rPr>
                <w:rFonts w:hint="eastAsia"/>
                <w:color w:val="auto"/>
                <w:sz w:val="24"/>
                <w:highlight w:val="none"/>
                <w:lang w:val="en-US" w:eastAsia="zh-CN"/>
              </w:rPr>
              <w:t>、5</w:t>
            </w:r>
            <w:r>
              <w:rPr>
                <w:rFonts w:hint="eastAsia" w:ascii="Times New Roman" w:hAnsi="Times New Roman" w:eastAsia="宋体"/>
                <w:color w:val="auto"/>
                <w:sz w:val="24"/>
                <w:highlight w:val="none"/>
                <w:lang w:val="en-US" w:eastAsia="zh-CN"/>
              </w:rPr>
              <w:t>个乡。重点统筹全域全要素规划管理，侧重国土空间开发保护的战略部署与总体格局。</w:t>
            </w:r>
          </w:p>
          <w:p w14:paraId="102F57DE">
            <w:pPr>
              <w:pStyle w:val="46"/>
              <w:keepNext w:val="0"/>
              <w:keepLines w:val="0"/>
              <w:pageBreakBefore w:val="0"/>
              <w:widowControl w:val="0"/>
              <w:kinsoku/>
              <w:wordWrap/>
              <w:overflowPunct/>
              <w:topLinePunct w:val="0"/>
              <w:bidi w:val="0"/>
              <w:adjustRightInd/>
              <w:snapToGrid/>
              <w:ind w:firstLine="480"/>
              <w:textAlignment w:val="auto"/>
              <w:rPr>
                <w:rFonts w:hint="eastAsia" w:ascii="Times New Roman" w:hAnsi="Times New Roman" w:eastAsia="宋体"/>
                <w:color w:val="auto"/>
                <w:sz w:val="24"/>
                <w:highlight w:val="none"/>
                <w:lang w:val="en-US" w:eastAsia="zh-CN"/>
              </w:rPr>
            </w:pPr>
            <w:r>
              <w:rPr>
                <w:rFonts w:hint="eastAsia" w:ascii="Times New Roman" w:hAnsi="Times New Roman" w:eastAsia="宋体"/>
                <w:color w:val="auto"/>
                <w:sz w:val="24"/>
                <w:highlight w:val="none"/>
                <w:lang w:val="en-US" w:eastAsia="zh-CN"/>
              </w:rPr>
              <w:t>中心城区</w:t>
            </w:r>
            <w:r>
              <w:rPr>
                <w:rFonts w:hint="eastAsia"/>
                <w:color w:val="auto"/>
                <w:sz w:val="24"/>
                <w:highlight w:val="none"/>
                <w:lang w:val="en-US" w:eastAsia="zh-CN"/>
              </w:rPr>
              <w:t>：</w:t>
            </w:r>
            <w:r>
              <w:rPr>
                <w:rFonts w:hint="eastAsia" w:ascii="Times New Roman" w:hAnsi="Times New Roman" w:eastAsia="宋体"/>
                <w:color w:val="auto"/>
                <w:sz w:val="24"/>
                <w:highlight w:val="none"/>
                <w:lang w:val="en-US" w:eastAsia="zh-CN"/>
              </w:rPr>
              <w:t>包括</w:t>
            </w:r>
            <w:r>
              <w:rPr>
                <w:rFonts w:hint="eastAsia"/>
                <w:color w:val="auto"/>
                <w:sz w:val="24"/>
                <w:highlight w:val="none"/>
                <w:lang w:val="en-US" w:eastAsia="zh-CN"/>
              </w:rPr>
              <w:t>罗源县</w:t>
            </w:r>
            <w:r>
              <w:rPr>
                <w:rFonts w:hint="eastAsia" w:ascii="Times New Roman" w:hAnsi="Times New Roman" w:eastAsia="宋体"/>
                <w:b w:val="0"/>
                <w:bCs w:val="0"/>
                <w:color w:val="auto"/>
                <w:sz w:val="24"/>
                <w:highlight w:val="none"/>
                <w:lang w:val="en-US" w:eastAsia="zh-CN"/>
              </w:rPr>
              <w:t>凤山镇</w:t>
            </w:r>
            <w:r>
              <w:rPr>
                <w:rFonts w:hint="eastAsia" w:ascii="Times New Roman" w:hAnsi="Times New Roman" w:eastAsia="宋体"/>
                <w:color w:val="auto"/>
                <w:sz w:val="24"/>
                <w:highlight w:val="none"/>
                <w:lang w:val="en-US" w:eastAsia="zh-CN"/>
              </w:rPr>
              <w:t>的城关社区、南门社区、岐阳社区、余家塘社区、竹兜社区、管柄村、陈厝村，松山镇的金港片区、罗源湾开发区、松山镇国有土地、白水村、乘风村、大获村、渡头村、迹头村、吕洞村、南岐村、泥田村、岐后村、岐头村、上杭村、盛头村、树柄村、下土港村、小获村和起步镇</w:t>
            </w:r>
            <w:r>
              <w:rPr>
                <w:rFonts w:hint="eastAsia"/>
                <w:color w:val="auto"/>
                <w:sz w:val="24"/>
                <w:highlight w:val="none"/>
                <w:lang w:val="en-US" w:eastAsia="zh-CN"/>
              </w:rPr>
              <w:t>的港</w:t>
            </w:r>
            <w:r>
              <w:rPr>
                <w:rFonts w:hint="eastAsia" w:ascii="Times New Roman" w:hAnsi="Times New Roman" w:eastAsia="宋体"/>
                <w:color w:val="auto"/>
                <w:sz w:val="24"/>
                <w:highlight w:val="none"/>
                <w:lang w:val="en-US" w:eastAsia="zh-CN"/>
              </w:rPr>
              <w:t>头村、起步村，总面积为103.43平方千米，重点细化土地使用和空间布局，侧重功能完善和结构优化。</w:t>
            </w:r>
          </w:p>
          <w:p w14:paraId="441A1372">
            <w:pPr>
              <w:pStyle w:val="46"/>
              <w:keepNext w:val="0"/>
              <w:keepLines w:val="0"/>
              <w:pageBreakBefore w:val="0"/>
              <w:widowControl w:val="0"/>
              <w:kinsoku/>
              <w:wordWrap/>
              <w:overflowPunct/>
              <w:topLinePunct w:val="0"/>
              <w:bidi w:val="0"/>
              <w:adjustRightInd/>
              <w:snapToGrid/>
              <w:ind w:firstLine="480"/>
              <w:textAlignment w:val="auto"/>
              <w:rPr>
                <w:rFonts w:hint="eastAsia"/>
                <w:color w:val="auto"/>
                <w:sz w:val="24"/>
                <w:highlight w:val="none"/>
                <w:lang w:val="en-US" w:eastAsia="zh-CN"/>
              </w:rPr>
            </w:pPr>
            <w:r>
              <w:rPr>
                <w:rFonts w:hint="eastAsia"/>
                <w:color w:val="auto"/>
                <w:sz w:val="24"/>
                <w:highlight w:val="none"/>
                <w:lang w:val="en-US" w:eastAsia="zh-CN"/>
              </w:rPr>
              <w:t>（2）</w:t>
            </w:r>
            <w:r>
              <w:rPr>
                <w:rFonts w:hint="eastAsia" w:ascii="Times New Roman" w:hAnsi="Times New Roman" w:eastAsia="宋体"/>
                <w:color w:val="auto"/>
                <w:sz w:val="24"/>
                <w:highlight w:val="none"/>
                <w:lang w:val="en-US" w:eastAsia="zh-CN"/>
              </w:rPr>
              <w:t>规划分区</w:t>
            </w:r>
          </w:p>
          <w:p w14:paraId="7EDC772B">
            <w:pPr>
              <w:pStyle w:val="46"/>
              <w:keepNext w:val="0"/>
              <w:keepLines w:val="0"/>
              <w:pageBreakBefore w:val="0"/>
              <w:widowControl w:val="0"/>
              <w:kinsoku/>
              <w:wordWrap/>
              <w:overflowPunct/>
              <w:topLinePunct w:val="0"/>
              <w:bidi w:val="0"/>
              <w:adjustRightInd/>
              <w:snapToGrid/>
              <w:ind w:firstLine="480"/>
              <w:textAlignment w:val="auto"/>
              <w:rPr>
                <w:rFonts w:hint="eastAsia" w:ascii="Times New Roman" w:hAnsi="Times New Roman" w:eastAsia="宋体"/>
                <w:color w:val="auto"/>
                <w:sz w:val="24"/>
                <w:highlight w:val="none"/>
                <w:lang w:val="en-US" w:eastAsia="zh-CN"/>
              </w:rPr>
            </w:pPr>
            <w:r>
              <w:rPr>
                <w:rFonts w:hint="eastAsia" w:ascii="Times New Roman" w:hAnsi="Times New Roman" w:eastAsia="宋体"/>
                <w:color w:val="auto"/>
                <w:sz w:val="24"/>
                <w:highlight w:val="none"/>
                <w:lang w:val="en-US" w:eastAsia="zh-CN"/>
              </w:rPr>
              <w:t>落实中心城区空间结构，进一步细化中心城区范围内城镇集中建设区，划定居住生活区、综合服务区、商业商务区、工业发展区、物流仓储区、绿地休闲区和交通枢纽区七类规划分区。</w:t>
            </w:r>
          </w:p>
          <w:p w14:paraId="7C13D1F8">
            <w:pPr>
              <w:pStyle w:val="46"/>
              <w:keepNext w:val="0"/>
              <w:keepLines w:val="0"/>
              <w:pageBreakBefore w:val="0"/>
              <w:widowControl w:val="0"/>
              <w:kinsoku/>
              <w:wordWrap/>
              <w:overflowPunct/>
              <w:topLinePunct w:val="0"/>
              <w:bidi w:val="0"/>
              <w:adjustRightInd/>
              <w:snapToGrid/>
              <w:ind w:firstLine="480"/>
              <w:textAlignment w:val="auto"/>
              <w:rPr>
                <w:rFonts w:hint="default" w:ascii="Times New Roman" w:hAnsi="Times New Roman" w:eastAsia="宋体"/>
                <w:color w:val="auto"/>
                <w:sz w:val="24"/>
                <w:highlight w:val="none"/>
                <w:lang w:val="en-US" w:eastAsia="zh-CN"/>
              </w:rPr>
            </w:pPr>
            <w:r>
              <w:rPr>
                <w:rFonts w:hint="eastAsia"/>
                <w:color w:val="auto"/>
                <w:sz w:val="24"/>
                <w:highlight w:val="none"/>
                <w:lang w:val="en-US" w:eastAsia="zh-CN"/>
              </w:rPr>
              <w:t>其中，居住生活区</w:t>
            </w:r>
            <w:r>
              <w:rPr>
                <w:rFonts w:hint="eastAsia" w:ascii="Times New Roman" w:hAnsi="Times New Roman" w:eastAsia="宋体"/>
                <w:color w:val="auto"/>
                <w:sz w:val="24"/>
                <w:highlight w:val="none"/>
                <w:lang w:val="en-US" w:eastAsia="zh-CN"/>
              </w:rPr>
              <w:t>主要集中在凤山老城、起步组团及滨海新城，各组团统筹考虑职住平衡</w:t>
            </w:r>
            <w:r>
              <w:rPr>
                <w:rFonts w:hint="eastAsia"/>
                <w:color w:val="auto"/>
                <w:sz w:val="24"/>
                <w:highlight w:val="none"/>
                <w:lang w:val="en-US" w:eastAsia="zh-CN"/>
              </w:rPr>
              <w:t>，适量</w:t>
            </w:r>
            <w:r>
              <w:rPr>
                <w:rFonts w:hint="eastAsia" w:ascii="Times New Roman" w:hAnsi="Times New Roman" w:eastAsia="宋体"/>
                <w:color w:val="auto"/>
                <w:sz w:val="24"/>
                <w:highlight w:val="none"/>
                <w:lang w:val="en-US" w:eastAsia="zh-CN"/>
              </w:rPr>
              <w:t>布局。主要以城镇住宅用地、城镇社区服务设施用地为主，兼容公共管理与公共服务用地、绿地与开敞空间用地、商业服务业用地，构建15分钟生活圈，注重临街商业活力塑造以及社区服务中心、社区公园的建设。</w:t>
            </w:r>
          </w:p>
          <w:p w14:paraId="355709C0">
            <w:pPr>
              <w:pStyle w:val="46"/>
              <w:ind w:firstLine="480"/>
              <w:rPr>
                <w:rFonts w:hint="default"/>
                <w:color w:val="auto"/>
                <w:sz w:val="24"/>
                <w:highlight w:val="none"/>
                <w:lang w:val="en-US" w:eastAsia="zh-CN"/>
              </w:rPr>
            </w:pPr>
            <w:r>
              <w:rPr>
                <w:rFonts w:hint="eastAsia"/>
                <w:color w:val="auto"/>
                <w:sz w:val="24"/>
                <w:highlight w:val="none"/>
                <w:lang w:val="en-US" w:eastAsia="zh-CN"/>
              </w:rPr>
              <w:t>（3）医疗卫生设施</w:t>
            </w:r>
          </w:p>
          <w:p w14:paraId="6F2F11EC">
            <w:pPr>
              <w:pStyle w:val="46"/>
              <w:keepNext w:val="0"/>
              <w:keepLines w:val="0"/>
              <w:pageBreakBefore w:val="0"/>
              <w:widowControl w:val="0"/>
              <w:kinsoku/>
              <w:wordWrap/>
              <w:overflowPunct/>
              <w:topLinePunct w:val="0"/>
              <w:bidi w:val="0"/>
              <w:adjustRightInd/>
              <w:snapToGrid/>
              <w:ind w:firstLine="480"/>
              <w:textAlignment w:val="auto"/>
              <w:rPr>
                <w:rFonts w:hint="default"/>
                <w:color w:val="auto"/>
                <w:sz w:val="24"/>
                <w:highlight w:val="none"/>
                <w:lang w:val="en-US" w:eastAsia="zh-CN"/>
              </w:rPr>
            </w:pPr>
            <w:r>
              <w:rPr>
                <w:rFonts w:hint="default"/>
                <w:b w:val="0"/>
                <w:bCs w:val="0"/>
                <w:color w:val="auto"/>
                <w:sz w:val="24"/>
                <w:highlight w:val="none"/>
                <w:u w:val="single"/>
                <w:lang w:val="en-US" w:eastAsia="zh-CN"/>
              </w:rPr>
              <w:t>改善、提高综合性医院</w:t>
            </w:r>
            <w:r>
              <w:rPr>
                <w:rFonts w:hint="default"/>
                <w:color w:val="auto"/>
                <w:sz w:val="24"/>
                <w:highlight w:val="none"/>
                <w:lang w:val="en-US" w:eastAsia="zh-CN"/>
              </w:rPr>
              <w:t>、专科医院、妇幼保健院、疾病预防控制中心、卫生监督所等医疗机构的设施条件和医疗水平。完善基层医疗卫生服务设施建设，结合社区配套设置若干卫生服务站。至2035年，人均医疗卫生用地达到1.0平方米。</w:t>
            </w:r>
          </w:p>
          <w:p w14:paraId="113F84ED">
            <w:pPr>
              <w:pStyle w:val="46"/>
              <w:keepNext w:val="0"/>
              <w:keepLines w:val="0"/>
              <w:pageBreakBefore w:val="0"/>
              <w:widowControl w:val="0"/>
              <w:kinsoku/>
              <w:wordWrap/>
              <w:overflowPunct/>
              <w:topLinePunct w:val="0"/>
              <w:bidi w:val="0"/>
              <w:adjustRightInd/>
              <w:snapToGrid/>
              <w:ind w:firstLine="480"/>
              <w:textAlignment w:val="auto"/>
              <w:rPr>
                <w:rFonts w:hint="eastAsia"/>
                <w:color w:val="auto"/>
                <w:sz w:val="24"/>
                <w:szCs w:val="24"/>
                <w:highlight w:val="none"/>
                <w:lang w:val="en-US" w:eastAsia="zh-CN"/>
              </w:rPr>
            </w:pPr>
            <w:r>
              <w:rPr>
                <w:rFonts w:hint="default"/>
                <w:color w:val="auto"/>
                <w:sz w:val="24"/>
                <w:highlight w:val="none"/>
                <w:lang w:val="en-US" w:eastAsia="zh-CN"/>
              </w:rPr>
              <w:t>本项目位于福建省福州市罗源县凤山镇东大新村3号（2#楼、负压病房大楼以及1#楼1-3层），所处位置为</w:t>
            </w:r>
            <w:r>
              <w:rPr>
                <w:rFonts w:hint="eastAsia"/>
                <w:color w:val="auto"/>
                <w:sz w:val="24"/>
                <w:highlight w:val="none"/>
                <w:lang w:val="en-US" w:eastAsia="zh-CN"/>
              </w:rPr>
              <w:t>医疗卫生设施用地</w:t>
            </w:r>
            <w:r>
              <w:rPr>
                <w:rFonts w:hint="default"/>
                <w:color w:val="auto"/>
                <w:sz w:val="24"/>
                <w:highlight w:val="none"/>
                <w:lang w:val="en-US" w:eastAsia="zh-CN"/>
              </w:rPr>
              <w:t>（详见附图10规划位置示意）。从行业分类来看，项目属于</w:t>
            </w:r>
            <w:r>
              <w:rPr>
                <w:rFonts w:hint="eastAsia"/>
                <w:color w:val="auto"/>
                <w:sz w:val="24"/>
                <w:highlight w:val="none"/>
                <w:lang w:val="en-US" w:eastAsia="zh-CN"/>
              </w:rPr>
              <w:t>Q8412中医医院</w:t>
            </w:r>
            <w:r>
              <w:rPr>
                <w:rFonts w:hint="default"/>
                <w:color w:val="auto"/>
                <w:sz w:val="24"/>
                <w:highlight w:val="none"/>
                <w:lang w:val="en-US" w:eastAsia="zh-CN"/>
              </w:rPr>
              <w:t>范畴。经分析，该项目的选址及建设内容与《罗源县国土空间总体规划</w:t>
            </w:r>
            <w:r>
              <w:rPr>
                <w:rFonts w:hint="eastAsia"/>
                <w:color w:val="auto"/>
                <w:sz w:val="24"/>
                <w:highlight w:val="none"/>
                <w:lang w:val="en-US" w:eastAsia="zh-CN"/>
              </w:rPr>
              <w:t>（</w:t>
            </w:r>
            <w:r>
              <w:rPr>
                <w:rFonts w:hint="default"/>
                <w:color w:val="auto"/>
                <w:sz w:val="24"/>
                <w:highlight w:val="none"/>
                <w:lang w:val="en-US" w:eastAsia="zh-CN"/>
              </w:rPr>
              <w:t>2021-2035年</w:t>
            </w:r>
            <w:r>
              <w:rPr>
                <w:rFonts w:hint="eastAsia"/>
                <w:color w:val="auto"/>
                <w:sz w:val="24"/>
                <w:highlight w:val="none"/>
                <w:lang w:val="en-US" w:eastAsia="zh-CN"/>
              </w:rPr>
              <w:t>）</w:t>
            </w:r>
            <w:r>
              <w:rPr>
                <w:rFonts w:hint="default"/>
                <w:color w:val="auto"/>
                <w:sz w:val="24"/>
                <w:highlight w:val="none"/>
                <w:lang w:val="en-US" w:eastAsia="zh-CN"/>
              </w:rPr>
              <w:t>》的相关要求相契合，符合规划</w:t>
            </w:r>
            <w:r>
              <w:rPr>
                <w:rFonts w:hint="eastAsia"/>
                <w:color w:val="auto"/>
                <w:sz w:val="24"/>
                <w:highlight w:val="none"/>
                <w:lang w:val="en-US" w:eastAsia="zh-CN"/>
              </w:rPr>
              <w:t>对</w:t>
            </w:r>
            <w:r>
              <w:rPr>
                <w:rFonts w:hint="default"/>
                <w:color w:val="auto"/>
                <w:sz w:val="24"/>
                <w:highlight w:val="none"/>
                <w:lang w:val="en-US" w:eastAsia="zh-CN"/>
              </w:rPr>
              <w:t>中心城区医疗设施布局及综合医院建设的定位和导向，规划符合性良好。</w:t>
            </w:r>
          </w:p>
        </w:tc>
      </w:tr>
      <w:tr w14:paraId="2F90C8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87" w:hRule="atLeast"/>
          <w:jc w:val="center"/>
        </w:trPr>
        <w:tc>
          <w:tcPr>
            <w:tcW w:w="1372" w:type="dxa"/>
            <w:vAlign w:val="center"/>
          </w:tcPr>
          <w:p w14:paraId="2DDB3ACF">
            <w:pPr>
              <w:autoSpaceDE w:val="0"/>
              <w:autoSpaceDN w:val="0"/>
              <w:adjustRightInd w:val="0"/>
              <w:snapToGrid w:val="0"/>
              <w:jc w:val="center"/>
              <w:rPr>
                <w:color w:val="auto"/>
                <w:kern w:val="0"/>
                <w:szCs w:val="21"/>
                <w:highlight w:val="none"/>
              </w:rPr>
            </w:pPr>
            <w:r>
              <w:rPr>
                <w:color w:val="auto"/>
                <w:kern w:val="0"/>
                <w:szCs w:val="21"/>
                <w:highlight w:val="none"/>
              </w:rPr>
              <w:t>其他符合性分析</w:t>
            </w:r>
          </w:p>
        </w:tc>
        <w:tc>
          <w:tcPr>
            <w:tcW w:w="7498" w:type="dxa"/>
            <w:gridSpan w:val="3"/>
            <w:vAlign w:val="center"/>
          </w:tcPr>
          <w:p w14:paraId="0C0270EC">
            <w:pPr>
              <w:pStyle w:val="3"/>
              <w:bidi w:val="0"/>
              <w:rPr>
                <w:color w:val="auto"/>
              </w:rPr>
            </w:pPr>
            <w:r>
              <w:rPr>
                <w:rFonts w:hint="eastAsia"/>
                <w:color w:val="auto"/>
              </w:rPr>
              <w:t>产业政策</w:t>
            </w:r>
            <w:r>
              <w:rPr>
                <w:color w:val="auto"/>
              </w:rPr>
              <w:t>项目符合性分析</w:t>
            </w:r>
          </w:p>
          <w:p w14:paraId="75B09D45">
            <w:pPr>
              <w:spacing w:line="360" w:lineRule="auto"/>
              <w:ind w:firstLine="480" w:firstLineChars="200"/>
              <w:rPr>
                <w:rFonts w:hint="eastAsia"/>
                <w:color w:val="auto"/>
                <w:sz w:val="24"/>
                <w:szCs w:val="24"/>
                <w:highlight w:val="none"/>
              </w:rPr>
            </w:pPr>
            <w:r>
              <w:rPr>
                <w:rFonts w:hint="eastAsia"/>
                <w:color w:val="auto"/>
                <w:sz w:val="24"/>
                <w:szCs w:val="24"/>
                <w:highlight w:val="none"/>
              </w:rPr>
              <w:t>项目为</w:t>
            </w:r>
            <w:r>
              <w:rPr>
                <w:rFonts w:hint="eastAsia"/>
                <w:color w:val="auto"/>
                <w:sz w:val="24"/>
                <w:szCs w:val="24"/>
                <w:highlight w:val="none"/>
                <w:lang w:eastAsia="zh-CN"/>
              </w:rPr>
              <w:t>罗源县总医院中医分院病房改造及综合能力提升项目</w:t>
            </w:r>
            <w:r>
              <w:rPr>
                <w:rFonts w:hint="eastAsia"/>
                <w:color w:val="auto"/>
                <w:sz w:val="24"/>
                <w:szCs w:val="24"/>
                <w:highlight w:val="none"/>
              </w:rPr>
              <w:t>。根据《产业结构调整指导目录</w:t>
            </w:r>
            <w:r>
              <w:rPr>
                <w:rFonts w:hint="eastAsia"/>
                <w:color w:val="auto"/>
                <w:sz w:val="24"/>
                <w:szCs w:val="24"/>
                <w:highlight w:val="none"/>
                <w:lang w:eastAsia="zh-CN"/>
              </w:rPr>
              <w:t>（</w:t>
            </w:r>
            <w:r>
              <w:rPr>
                <w:rFonts w:hint="eastAsia"/>
                <w:color w:val="auto"/>
                <w:sz w:val="24"/>
                <w:szCs w:val="24"/>
                <w:highlight w:val="none"/>
              </w:rPr>
              <w:t>2024年本</w:t>
            </w:r>
            <w:r>
              <w:rPr>
                <w:rFonts w:hint="eastAsia"/>
                <w:color w:val="auto"/>
                <w:sz w:val="24"/>
                <w:szCs w:val="24"/>
                <w:highlight w:val="none"/>
                <w:lang w:eastAsia="zh-CN"/>
              </w:rPr>
              <w:t>）</w:t>
            </w:r>
            <w:r>
              <w:rPr>
                <w:rFonts w:hint="eastAsia"/>
                <w:color w:val="auto"/>
                <w:sz w:val="24"/>
                <w:szCs w:val="24"/>
                <w:highlight w:val="none"/>
              </w:rPr>
              <w:t>》</w:t>
            </w:r>
            <w:r>
              <w:rPr>
                <w:rFonts w:hint="eastAsia"/>
                <w:color w:val="auto"/>
                <w:sz w:val="24"/>
                <w:szCs w:val="24"/>
                <w:highlight w:val="none"/>
                <w:lang w:eastAsia="zh-CN"/>
              </w:rPr>
              <w:t>（</w:t>
            </w:r>
            <w:r>
              <w:rPr>
                <w:rFonts w:hint="eastAsia"/>
                <w:color w:val="auto"/>
                <w:sz w:val="24"/>
                <w:szCs w:val="24"/>
                <w:highlight w:val="none"/>
              </w:rPr>
              <w:t>2021年修订</w:t>
            </w:r>
            <w:r>
              <w:rPr>
                <w:rFonts w:hint="eastAsia"/>
                <w:color w:val="auto"/>
                <w:sz w:val="24"/>
                <w:szCs w:val="24"/>
                <w:highlight w:val="none"/>
                <w:lang w:eastAsia="zh-CN"/>
              </w:rPr>
              <w:t>）</w:t>
            </w:r>
            <w:r>
              <w:rPr>
                <w:rFonts w:hint="eastAsia"/>
                <w:color w:val="auto"/>
                <w:sz w:val="24"/>
                <w:szCs w:val="24"/>
                <w:highlight w:val="none"/>
              </w:rPr>
              <w:t>，项目属于鼓励类第三十七条“卫生健康”中的“5、医疗卫生服务设施建设”类</w:t>
            </w:r>
            <w:r>
              <w:rPr>
                <w:rFonts w:hint="eastAsia"/>
                <w:color w:val="auto"/>
                <w:sz w:val="24"/>
                <w:szCs w:val="24"/>
                <w:highlight w:val="none"/>
                <w:lang w:eastAsia="zh-CN"/>
              </w:rPr>
              <w:t>。</w:t>
            </w:r>
            <w:r>
              <w:rPr>
                <w:rFonts w:hint="eastAsia"/>
                <w:color w:val="auto"/>
                <w:sz w:val="24"/>
                <w:szCs w:val="24"/>
                <w:highlight w:val="none"/>
              </w:rPr>
              <w:t>同时项目也不属于《限制用地项目目录</w:t>
            </w:r>
            <w:r>
              <w:rPr>
                <w:rFonts w:hint="eastAsia"/>
                <w:color w:val="auto"/>
                <w:sz w:val="24"/>
                <w:szCs w:val="24"/>
                <w:highlight w:val="none"/>
                <w:lang w:eastAsia="zh-CN"/>
              </w:rPr>
              <w:t>（</w:t>
            </w:r>
            <w:r>
              <w:rPr>
                <w:rFonts w:hint="eastAsia"/>
                <w:color w:val="auto"/>
                <w:sz w:val="24"/>
                <w:szCs w:val="24"/>
                <w:highlight w:val="none"/>
              </w:rPr>
              <w:t>2012年本</w:t>
            </w:r>
            <w:r>
              <w:rPr>
                <w:rFonts w:hint="eastAsia"/>
                <w:color w:val="auto"/>
                <w:sz w:val="24"/>
                <w:szCs w:val="24"/>
                <w:highlight w:val="none"/>
                <w:lang w:eastAsia="zh-CN"/>
              </w:rPr>
              <w:t>）》和《</w:t>
            </w:r>
            <w:r>
              <w:rPr>
                <w:rFonts w:hint="eastAsia"/>
                <w:color w:val="auto"/>
                <w:sz w:val="24"/>
                <w:szCs w:val="24"/>
                <w:highlight w:val="none"/>
              </w:rPr>
              <w:t>禁止用地项目目录</w:t>
            </w:r>
            <w:r>
              <w:rPr>
                <w:rFonts w:hint="eastAsia"/>
                <w:color w:val="auto"/>
                <w:sz w:val="24"/>
                <w:szCs w:val="24"/>
                <w:highlight w:val="none"/>
                <w:lang w:eastAsia="zh-CN"/>
              </w:rPr>
              <w:t>（</w:t>
            </w:r>
            <w:r>
              <w:rPr>
                <w:rFonts w:hint="eastAsia"/>
                <w:color w:val="auto"/>
                <w:sz w:val="24"/>
                <w:szCs w:val="24"/>
                <w:highlight w:val="none"/>
              </w:rPr>
              <w:t>2012年本</w:t>
            </w:r>
            <w:r>
              <w:rPr>
                <w:rFonts w:hint="eastAsia"/>
                <w:color w:val="auto"/>
                <w:sz w:val="24"/>
                <w:szCs w:val="24"/>
                <w:highlight w:val="none"/>
                <w:lang w:eastAsia="zh-CN"/>
              </w:rPr>
              <w:t>）</w:t>
            </w:r>
            <w:r>
              <w:rPr>
                <w:rFonts w:hint="eastAsia"/>
                <w:color w:val="auto"/>
                <w:sz w:val="24"/>
                <w:szCs w:val="24"/>
                <w:highlight w:val="none"/>
              </w:rPr>
              <w:t>》中所列禁止或限制的工艺技术、装备的建设项目，符合国家产业政策要求。</w:t>
            </w:r>
          </w:p>
          <w:p w14:paraId="65BCB7EF">
            <w:pPr>
              <w:spacing w:line="360" w:lineRule="auto"/>
              <w:ind w:firstLine="480" w:firstLineChars="200"/>
              <w:rPr>
                <w:rFonts w:hint="eastAsia"/>
                <w:color w:val="auto"/>
                <w:sz w:val="24"/>
                <w:szCs w:val="24"/>
                <w:highlight w:val="none"/>
              </w:rPr>
            </w:pPr>
            <w:r>
              <w:rPr>
                <w:rFonts w:hint="eastAsia"/>
                <w:color w:val="auto"/>
                <w:sz w:val="24"/>
                <w:szCs w:val="24"/>
                <w:highlight w:val="none"/>
              </w:rPr>
              <w:t>项目已于20</w:t>
            </w:r>
            <w:r>
              <w:rPr>
                <w:rFonts w:hint="eastAsia"/>
                <w:color w:val="auto"/>
                <w:sz w:val="24"/>
                <w:szCs w:val="24"/>
                <w:highlight w:val="none"/>
                <w:lang w:val="en-US" w:eastAsia="zh-CN"/>
              </w:rPr>
              <w:t>23</w:t>
            </w:r>
            <w:r>
              <w:rPr>
                <w:rFonts w:hint="eastAsia"/>
                <w:color w:val="auto"/>
                <w:sz w:val="24"/>
                <w:szCs w:val="24"/>
                <w:highlight w:val="none"/>
              </w:rPr>
              <w:t>年</w:t>
            </w:r>
            <w:r>
              <w:rPr>
                <w:rFonts w:hint="eastAsia"/>
                <w:color w:val="auto"/>
                <w:sz w:val="24"/>
                <w:szCs w:val="24"/>
                <w:highlight w:val="none"/>
                <w:lang w:val="en-US" w:eastAsia="zh-CN"/>
              </w:rPr>
              <w:t>11</w:t>
            </w:r>
            <w:r>
              <w:rPr>
                <w:rFonts w:hint="eastAsia"/>
                <w:color w:val="auto"/>
                <w:sz w:val="24"/>
                <w:szCs w:val="24"/>
                <w:highlight w:val="none"/>
              </w:rPr>
              <w:t>月取得罗源县发展和改革局</w:t>
            </w:r>
            <w:r>
              <w:rPr>
                <w:rFonts w:hint="eastAsia"/>
                <w:color w:val="auto"/>
                <w:sz w:val="24"/>
                <w:szCs w:val="24"/>
                <w:highlight w:val="none"/>
                <w:lang w:eastAsia="zh-CN"/>
              </w:rPr>
              <w:t>《关于罗源县总医院中医分院病房改造及综合能力提升项目可行性研究报告的批复》（</w:t>
            </w:r>
            <w:r>
              <w:rPr>
                <w:rFonts w:hint="eastAsia"/>
                <w:color w:val="auto"/>
                <w:sz w:val="24"/>
                <w:szCs w:val="24"/>
                <w:highlight w:val="none"/>
                <w:lang w:val="en-US" w:eastAsia="zh-CN"/>
              </w:rPr>
              <w:t>罗发改投资〔2023〕111号）（详见附件8）；</w:t>
            </w:r>
            <w:r>
              <w:rPr>
                <w:rFonts w:hint="eastAsia"/>
                <w:color w:val="auto"/>
                <w:sz w:val="24"/>
                <w:szCs w:val="24"/>
                <w:highlight w:val="none"/>
              </w:rPr>
              <w:t>202</w:t>
            </w:r>
            <w:r>
              <w:rPr>
                <w:rFonts w:hint="eastAsia"/>
                <w:color w:val="auto"/>
                <w:sz w:val="24"/>
                <w:szCs w:val="24"/>
                <w:highlight w:val="none"/>
                <w:lang w:val="en-US" w:eastAsia="zh-CN"/>
              </w:rPr>
              <w:t>3</w:t>
            </w:r>
            <w:r>
              <w:rPr>
                <w:rFonts w:hint="eastAsia"/>
                <w:color w:val="auto"/>
                <w:sz w:val="24"/>
                <w:szCs w:val="24"/>
                <w:highlight w:val="none"/>
              </w:rPr>
              <w:t>年</w:t>
            </w:r>
            <w:r>
              <w:rPr>
                <w:rFonts w:hint="eastAsia"/>
                <w:color w:val="auto"/>
                <w:sz w:val="24"/>
                <w:szCs w:val="24"/>
                <w:highlight w:val="none"/>
                <w:lang w:val="en-US" w:eastAsia="zh-CN"/>
              </w:rPr>
              <w:t>10</w:t>
            </w:r>
            <w:r>
              <w:rPr>
                <w:rFonts w:hint="eastAsia"/>
                <w:color w:val="auto"/>
                <w:sz w:val="24"/>
                <w:szCs w:val="24"/>
                <w:highlight w:val="none"/>
              </w:rPr>
              <w:t>月通过罗源县人民政府专题会议</w:t>
            </w:r>
            <w:r>
              <w:rPr>
                <w:rFonts w:hint="eastAsia"/>
                <w:color w:val="auto"/>
                <w:sz w:val="24"/>
                <w:szCs w:val="24"/>
                <w:highlight w:val="none"/>
                <w:lang w:eastAsia="zh-CN"/>
              </w:rPr>
              <w:t>（会议纪要见附件7）</w:t>
            </w:r>
            <w:r>
              <w:rPr>
                <w:rFonts w:hint="eastAsia"/>
                <w:color w:val="auto"/>
                <w:sz w:val="24"/>
                <w:szCs w:val="24"/>
                <w:highlight w:val="none"/>
              </w:rPr>
              <w:t>。综上，本项目的建设符合国家和地方的有关产业政策。</w:t>
            </w:r>
          </w:p>
          <w:p w14:paraId="6EB838F4">
            <w:pPr>
              <w:pStyle w:val="3"/>
              <w:bidi w:val="0"/>
              <w:rPr>
                <w:color w:val="auto"/>
              </w:rPr>
            </w:pPr>
            <w:r>
              <w:rPr>
                <w:color w:val="auto"/>
              </w:rPr>
              <w:t>与城市土地利用规划符合性分析</w:t>
            </w:r>
          </w:p>
          <w:p w14:paraId="4BF035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olor w:val="auto"/>
                <w:sz w:val="24"/>
                <w:szCs w:val="24"/>
                <w:lang w:val="en-US" w:eastAsia="zh-CN"/>
              </w:rPr>
            </w:pPr>
            <w:r>
              <w:rPr>
                <w:rFonts w:hint="eastAsia" w:ascii="Times New Roman" w:hAnsi="Times New Roman" w:eastAsia="宋体" w:cs="宋体"/>
                <w:color w:val="auto"/>
                <w:kern w:val="2"/>
                <w:sz w:val="24"/>
                <w:szCs w:val="24"/>
                <w:lang w:val="en-US" w:eastAsia="zh-CN" w:bidi="ar-SA"/>
              </w:rPr>
              <w:t>本项目选址于福建省福州市罗源县凤山镇东大新村3号</w:t>
            </w:r>
            <w:r>
              <w:rPr>
                <w:rFonts w:hint="default" w:ascii="Times New Roman" w:hAnsi="Times New Roman"/>
                <w:color w:val="auto"/>
                <w:sz w:val="24"/>
                <w:highlight w:val="none"/>
                <w:lang w:val="en-US" w:eastAsia="zh-CN"/>
              </w:rPr>
              <w:t>（2#楼、负压病房大楼以及1#楼1-3层）</w:t>
            </w:r>
            <w:r>
              <w:rPr>
                <w:rFonts w:hint="eastAsia" w:ascii="Times New Roman" w:hAnsi="Times New Roman" w:eastAsia="宋体" w:cs="宋体"/>
                <w:color w:val="auto"/>
                <w:kern w:val="2"/>
                <w:sz w:val="24"/>
                <w:szCs w:val="24"/>
                <w:lang w:val="en-US" w:eastAsia="zh-CN" w:bidi="ar-SA"/>
              </w:rPr>
              <w:t>。项目于2023年10月15日通过罗源县人民政府专题会议审议，会议明确通过“县中医院搬迁至县医院2#楼、负压病房大楼以及1#楼1-3层，并设置急救中心，由县医院予以指导和支持”的方案。</w:t>
            </w:r>
            <w:r>
              <w:rPr>
                <w:rFonts w:hint="eastAsia" w:cs="宋体"/>
                <w:color w:val="auto"/>
                <w:kern w:val="2"/>
                <w:sz w:val="24"/>
                <w:szCs w:val="24"/>
                <w:lang w:val="en-US" w:eastAsia="zh-CN" w:bidi="ar-SA"/>
              </w:rPr>
              <w:t>基于</w:t>
            </w:r>
            <w:r>
              <w:rPr>
                <w:rFonts w:hint="eastAsia" w:ascii="Times New Roman" w:hAnsi="Times New Roman" w:eastAsia="宋体" w:cs="宋体"/>
                <w:color w:val="auto"/>
                <w:kern w:val="2"/>
                <w:sz w:val="24"/>
                <w:szCs w:val="24"/>
                <w:lang w:val="en-US" w:eastAsia="zh-CN" w:bidi="ar-SA"/>
              </w:rPr>
              <w:t>政府专题会议的决策，本项目的选址符合当地土地利用规划要求。</w:t>
            </w:r>
          </w:p>
          <w:p w14:paraId="0CF8303E">
            <w:pPr>
              <w:pStyle w:val="3"/>
              <w:bidi w:val="0"/>
              <w:rPr>
                <w:rFonts w:hint="eastAsia"/>
                <w:color w:val="auto"/>
              </w:rPr>
            </w:pPr>
            <w:r>
              <w:rPr>
                <w:rFonts w:hint="eastAsia"/>
                <w:color w:val="auto"/>
                <w:lang w:val="en-US" w:eastAsia="zh-CN"/>
              </w:rPr>
              <w:t>环境功能区划符合性分析</w:t>
            </w:r>
          </w:p>
          <w:p w14:paraId="68D62E4B">
            <w:pPr>
              <w:pStyle w:val="115"/>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eastAsia="宋体" w:cs="宋体"/>
                <w:snapToGrid w:val="0"/>
                <w:color w:val="auto"/>
                <w:kern w:val="18"/>
                <w:sz w:val="24"/>
                <w:szCs w:val="20"/>
                <w:u w:val="none"/>
                <w:shd w:val="clear"/>
                <w:lang w:val="en-US" w:eastAsia="zh-CN" w:bidi="ar-SA"/>
              </w:rPr>
            </w:pPr>
            <w:r>
              <w:rPr>
                <w:rFonts w:hint="eastAsia" w:ascii="Times New Roman" w:hAnsi="Times New Roman" w:eastAsia="宋体" w:cs="宋体"/>
                <w:snapToGrid w:val="0"/>
                <w:color w:val="auto"/>
                <w:kern w:val="18"/>
                <w:sz w:val="24"/>
                <w:szCs w:val="20"/>
                <w:u w:val="none"/>
                <w:lang w:val="en-US" w:eastAsia="zh-CN" w:bidi="ar-SA"/>
              </w:rPr>
              <w:t>项目运营期环境空气污染排放源强很低，对周围环境空气不会产生显著影响，符合《环境空气质量标准》</w:t>
            </w:r>
            <w:r>
              <w:rPr>
                <w:rFonts w:hint="eastAsia" w:ascii="Times New Roman" w:hAnsi="Times New Roman" w:cs="宋体"/>
                <w:snapToGrid w:val="0"/>
                <w:color w:val="auto"/>
                <w:kern w:val="18"/>
                <w:sz w:val="24"/>
                <w:szCs w:val="20"/>
                <w:u w:val="none"/>
                <w:lang w:val="en-US" w:eastAsia="zh-CN" w:bidi="ar-SA"/>
              </w:rPr>
              <w:t>（</w:t>
            </w:r>
            <w:r>
              <w:rPr>
                <w:rFonts w:hint="eastAsia" w:ascii="Times New Roman" w:hAnsi="Times New Roman" w:eastAsia="宋体" w:cs="宋体"/>
                <w:snapToGrid w:val="0"/>
                <w:color w:val="auto"/>
                <w:kern w:val="18"/>
                <w:sz w:val="24"/>
                <w:szCs w:val="20"/>
                <w:u w:val="none"/>
                <w:lang w:val="en-US" w:eastAsia="zh-CN" w:bidi="ar-SA"/>
              </w:rPr>
              <w:t>GB3095-20</w:t>
            </w:r>
            <w:r>
              <w:rPr>
                <w:rFonts w:hint="eastAsia" w:ascii="Times New Roman" w:hAnsi="Times New Roman" w:cs="宋体"/>
                <w:snapToGrid w:val="0"/>
                <w:color w:val="auto"/>
                <w:kern w:val="18"/>
                <w:sz w:val="24"/>
                <w:szCs w:val="20"/>
                <w:u w:val="none"/>
                <w:lang w:val="en-US" w:eastAsia="zh-CN" w:bidi="ar-SA"/>
              </w:rPr>
              <w:t>26）</w:t>
            </w:r>
            <w:r>
              <w:rPr>
                <w:rFonts w:hint="eastAsia" w:ascii="Times New Roman" w:hAnsi="Times New Roman" w:eastAsia="宋体" w:cs="宋体"/>
                <w:snapToGrid w:val="0"/>
                <w:color w:val="auto"/>
                <w:kern w:val="18"/>
                <w:sz w:val="24"/>
                <w:szCs w:val="20"/>
                <w:u w:val="none"/>
                <w:lang w:val="en-US" w:eastAsia="zh-CN" w:bidi="ar-SA"/>
              </w:rPr>
              <w:t>中二级标准；</w:t>
            </w:r>
            <w:r>
              <w:rPr>
                <w:rFonts w:hint="eastAsia" w:ascii="Times New Roman" w:hAnsi="Times New Roman" w:eastAsia="宋体" w:cs="宋体"/>
                <w:snapToGrid w:val="0"/>
                <w:color w:val="auto"/>
                <w:kern w:val="18"/>
                <w:sz w:val="24"/>
                <w:szCs w:val="20"/>
                <w:u w:val="none"/>
                <w:shd w:val="clear"/>
                <w:lang w:val="en-US" w:eastAsia="zh-CN" w:bidi="ar-SA"/>
              </w:rPr>
              <w:t>本项目运营期产生</w:t>
            </w:r>
            <w:r>
              <w:rPr>
                <w:rFonts w:hint="eastAsia" w:ascii="Times New Roman" w:hAnsi="Times New Roman" w:cs="宋体"/>
                <w:snapToGrid w:val="0"/>
                <w:color w:val="auto"/>
                <w:kern w:val="18"/>
                <w:sz w:val="24"/>
                <w:szCs w:val="20"/>
                <w:u w:val="none"/>
                <w:shd w:val="clear"/>
                <w:lang w:val="en-US" w:eastAsia="zh-CN" w:bidi="ar-SA"/>
              </w:rPr>
              <w:t>医疗废水和</w:t>
            </w:r>
            <w:r>
              <w:rPr>
                <w:rFonts w:hint="eastAsia" w:ascii="Times New Roman" w:hAnsi="Times New Roman" w:eastAsia="宋体" w:cs="宋体"/>
                <w:snapToGrid w:val="0"/>
                <w:color w:val="auto"/>
                <w:kern w:val="18"/>
                <w:sz w:val="24"/>
                <w:szCs w:val="20"/>
                <w:u w:val="none"/>
                <w:shd w:val="clear"/>
                <w:lang w:val="en-US" w:eastAsia="zh-CN" w:bidi="ar-SA"/>
              </w:rPr>
              <w:t>生活污水，生活污水</w:t>
            </w:r>
            <w:r>
              <w:rPr>
                <w:rFonts w:hint="eastAsia" w:ascii="Times New Roman" w:hAnsi="Times New Roman" w:cs="宋体"/>
                <w:snapToGrid w:val="0"/>
                <w:color w:val="auto"/>
                <w:kern w:val="18"/>
                <w:sz w:val="24"/>
                <w:szCs w:val="20"/>
                <w:u w:val="none"/>
                <w:shd w:val="clear"/>
                <w:lang w:val="en-US" w:eastAsia="zh-CN" w:bidi="ar-SA"/>
              </w:rPr>
              <w:t>、医疗废水经过</w:t>
            </w:r>
            <w:r>
              <w:rPr>
                <w:rFonts w:hint="eastAsia" w:ascii="Times New Roman" w:hAnsi="Times New Roman" w:eastAsia="宋体" w:cs="宋体"/>
                <w:snapToGrid w:val="0"/>
                <w:color w:val="auto"/>
                <w:kern w:val="18"/>
                <w:sz w:val="24"/>
                <w:szCs w:val="20"/>
                <w:u w:val="none"/>
                <w:shd w:val="clear"/>
                <w:lang w:val="en-US" w:eastAsia="zh-CN" w:bidi="ar-SA"/>
              </w:rPr>
              <w:t>化粪池</w:t>
            </w:r>
            <w:r>
              <w:rPr>
                <w:rFonts w:hint="eastAsia" w:ascii="Times New Roman" w:hAnsi="Times New Roman" w:cs="宋体"/>
                <w:snapToGrid w:val="0"/>
                <w:color w:val="auto"/>
                <w:kern w:val="18"/>
                <w:sz w:val="24"/>
                <w:szCs w:val="20"/>
                <w:u w:val="none"/>
                <w:shd w:val="clear"/>
                <w:lang w:val="en-US" w:eastAsia="zh-CN" w:bidi="ar-SA"/>
              </w:rPr>
              <w:t>预</w:t>
            </w:r>
            <w:r>
              <w:rPr>
                <w:rFonts w:hint="eastAsia" w:ascii="Times New Roman" w:hAnsi="Times New Roman" w:eastAsia="宋体" w:cs="宋体"/>
                <w:snapToGrid w:val="0"/>
                <w:color w:val="auto"/>
                <w:kern w:val="18"/>
                <w:sz w:val="24"/>
                <w:szCs w:val="20"/>
                <w:u w:val="none"/>
                <w:shd w:val="clear"/>
                <w:lang w:val="en-US" w:eastAsia="zh-CN" w:bidi="ar-SA"/>
              </w:rPr>
              <w:t>处理</w:t>
            </w:r>
            <w:r>
              <w:rPr>
                <w:rFonts w:hint="eastAsia" w:ascii="Times New Roman" w:hAnsi="Times New Roman" w:cs="宋体"/>
                <w:snapToGrid w:val="0"/>
                <w:color w:val="auto"/>
                <w:kern w:val="18"/>
                <w:sz w:val="24"/>
                <w:szCs w:val="20"/>
                <w:u w:val="none"/>
                <w:shd w:val="clear"/>
                <w:lang w:val="en-US" w:eastAsia="zh-CN" w:bidi="ar-SA"/>
              </w:rPr>
              <w:t>，再经过污水处理设施处理后</w:t>
            </w:r>
            <w:r>
              <w:rPr>
                <w:rFonts w:hint="eastAsia" w:ascii="Times New Roman" w:hAnsi="Times New Roman" w:eastAsia="宋体" w:cs="宋体"/>
                <w:snapToGrid w:val="0"/>
                <w:color w:val="auto"/>
                <w:kern w:val="18"/>
                <w:sz w:val="24"/>
                <w:szCs w:val="20"/>
                <w:u w:val="none"/>
                <w:shd w:val="clear"/>
                <w:lang w:val="en-US" w:eastAsia="zh-CN" w:bidi="ar-SA"/>
              </w:rPr>
              <w:t>进入市政污水管网，最终排入</w:t>
            </w:r>
            <w:r>
              <w:rPr>
                <w:rFonts w:hint="eastAsia" w:ascii="Times New Roman" w:hAnsi="Times New Roman" w:cs="宋体"/>
                <w:snapToGrid w:val="0"/>
                <w:color w:val="auto"/>
                <w:kern w:val="18"/>
                <w:sz w:val="24"/>
                <w:szCs w:val="20"/>
                <w:u w:val="none"/>
                <w:shd w:val="clear"/>
                <w:lang w:val="en-US" w:eastAsia="zh-CN" w:bidi="ar-SA"/>
              </w:rPr>
              <w:t>罗源城区污水处理厂</w:t>
            </w:r>
            <w:r>
              <w:rPr>
                <w:rFonts w:hint="eastAsia" w:ascii="Times New Roman" w:hAnsi="Times New Roman" w:eastAsia="宋体" w:cs="宋体"/>
                <w:snapToGrid w:val="0"/>
                <w:color w:val="auto"/>
                <w:kern w:val="18"/>
                <w:sz w:val="24"/>
                <w:szCs w:val="20"/>
                <w:u w:val="none"/>
                <w:shd w:val="clear"/>
                <w:lang w:val="en-US" w:eastAsia="zh-CN" w:bidi="ar-SA"/>
              </w:rPr>
              <w:t>统一处理后达标排放，不直接排入周边地表水体，纳污水域</w:t>
            </w:r>
            <w:r>
              <w:rPr>
                <w:rFonts w:hint="eastAsia" w:ascii="Times New Roman" w:hAnsi="Times New Roman" w:cs="宋体"/>
                <w:snapToGrid w:val="0"/>
                <w:color w:val="auto"/>
                <w:kern w:val="18"/>
                <w:sz w:val="24"/>
                <w:szCs w:val="20"/>
                <w:u w:val="none"/>
                <w:shd w:val="clear"/>
                <w:lang w:val="en-US" w:eastAsia="zh-CN" w:bidi="ar-SA"/>
              </w:rPr>
              <w:t>起步溪</w:t>
            </w:r>
            <w:r>
              <w:rPr>
                <w:rFonts w:hint="eastAsia" w:ascii="Times New Roman" w:hAnsi="Times New Roman" w:eastAsia="宋体" w:cs="宋体"/>
                <w:snapToGrid w:val="0"/>
                <w:color w:val="auto"/>
                <w:kern w:val="18"/>
                <w:sz w:val="24"/>
                <w:szCs w:val="20"/>
                <w:u w:val="none"/>
                <w:shd w:val="clear"/>
                <w:lang w:val="en-US" w:eastAsia="zh-CN" w:bidi="ar-SA"/>
              </w:rPr>
              <w:t>符合《地表水环境质量标准》</w:t>
            </w:r>
            <w:r>
              <w:rPr>
                <w:rFonts w:hint="eastAsia" w:ascii="Times New Roman" w:hAnsi="Times New Roman" w:cs="宋体"/>
                <w:snapToGrid w:val="0"/>
                <w:color w:val="auto"/>
                <w:kern w:val="18"/>
                <w:sz w:val="24"/>
                <w:szCs w:val="20"/>
                <w:u w:val="none"/>
                <w:shd w:val="clear"/>
                <w:lang w:val="en-US" w:eastAsia="zh-CN" w:bidi="ar-SA"/>
              </w:rPr>
              <w:t>（</w:t>
            </w:r>
            <w:r>
              <w:rPr>
                <w:rFonts w:hint="eastAsia" w:ascii="Times New Roman" w:hAnsi="Times New Roman" w:eastAsia="宋体" w:cs="宋体"/>
                <w:snapToGrid w:val="0"/>
                <w:color w:val="auto"/>
                <w:kern w:val="18"/>
                <w:sz w:val="24"/>
                <w:szCs w:val="20"/>
                <w:u w:val="none"/>
                <w:shd w:val="clear"/>
                <w:lang w:val="en-US" w:eastAsia="zh-CN" w:bidi="ar-SA"/>
              </w:rPr>
              <w:t>GB3838-2002</w:t>
            </w:r>
            <w:r>
              <w:rPr>
                <w:rFonts w:hint="eastAsia" w:ascii="Times New Roman" w:hAnsi="Times New Roman" w:cs="宋体"/>
                <w:snapToGrid w:val="0"/>
                <w:color w:val="auto"/>
                <w:kern w:val="18"/>
                <w:sz w:val="24"/>
                <w:szCs w:val="20"/>
                <w:u w:val="none"/>
                <w:shd w:val="clear"/>
                <w:lang w:val="en-US" w:eastAsia="zh-CN" w:bidi="ar-SA"/>
              </w:rPr>
              <w:t>）</w:t>
            </w:r>
            <w:r>
              <w:rPr>
                <w:rFonts w:hint="default" w:ascii="Times New Roman" w:hAnsi="Times New Roman" w:eastAsia="宋体" w:cs="Times New Roman"/>
                <w:color w:val="auto"/>
                <w:kern w:val="2"/>
                <w:sz w:val="24"/>
                <w:szCs w:val="20"/>
                <w:highlight w:val="none"/>
                <w:lang w:val="en-US" w:eastAsia="zh-CN" w:bidi="ar-SA"/>
              </w:rPr>
              <w:t>Ⅳ</w:t>
            </w:r>
            <w:r>
              <w:rPr>
                <w:rFonts w:hint="eastAsia" w:ascii="Times New Roman" w:hAnsi="Times New Roman" w:eastAsia="宋体" w:cs="宋体"/>
                <w:snapToGrid w:val="0"/>
                <w:color w:val="auto"/>
                <w:kern w:val="18"/>
                <w:sz w:val="24"/>
                <w:szCs w:val="20"/>
                <w:u w:val="none"/>
                <w:shd w:val="clear"/>
                <w:lang w:val="en-US" w:eastAsia="zh-CN" w:bidi="ar-SA"/>
              </w:rPr>
              <w:t>类标准；项目在采取一定的噪声污染防治措施后，项目产生的噪声不会对周围环境产生显著影响，项目所在区域的环境噪声符合《声环境质量标准》</w:t>
            </w:r>
            <w:r>
              <w:rPr>
                <w:rFonts w:hint="eastAsia" w:ascii="Times New Roman" w:hAnsi="Times New Roman" w:cs="宋体"/>
                <w:snapToGrid w:val="0"/>
                <w:color w:val="auto"/>
                <w:kern w:val="18"/>
                <w:sz w:val="24"/>
                <w:szCs w:val="20"/>
                <w:u w:val="none"/>
                <w:shd w:val="clear"/>
                <w:lang w:val="en-US" w:eastAsia="zh-CN" w:bidi="ar-SA"/>
              </w:rPr>
              <w:t>（</w:t>
            </w:r>
            <w:r>
              <w:rPr>
                <w:rFonts w:hint="eastAsia" w:ascii="Times New Roman" w:hAnsi="Times New Roman" w:eastAsia="宋体" w:cs="宋体"/>
                <w:snapToGrid w:val="0"/>
                <w:color w:val="auto"/>
                <w:kern w:val="18"/>
                <w:sz w:val="24"/>
                <w:szCs w:val="20"/>
                <w:u w:val="none"/>
                <w:shd w:val="clear"/>
                <w:lang w:val="en-US" w:eastAsia="zh-CN" w:bidi="ar-SA"/>
              </w:rPr>
              <w:t>GB3096-2008</w:t>
            </w:r>
            <w:r>
              <w:rPr>
                <w:rFonts w:hint="eastAsia" w:ascii="Times New Roman" w:hAnsi="Times New Roman" w:cs="宋体"/>
                <w:snapToGrid w:val="0"/>
                <w:color w:val="auto"/>
                <w:kern w:val="18"/>
                <w:sz w:val="24"/>
                <w:szCs w:val="20"/>
                <w:u w:val="none"/>
                <w:shd w:val="clear"/>
                <w:lang w:val="en-US" w:eastAsia="zh-CN" w:bidi="ar-SA"/>
              </w:rPr>
              <w:t>）</w:t>
            </w:r>
            <w:r>
              <w:rPr>
                <w:rFonts w:hint="eastAsia" w:ascii="Times New Roman" w:hAnsi="Times New Roman" w:eastAsia="宋体" w:cs="宋体"/>
                <w:snapToGrid w:val="0"/>
                <w:color w:val="auto"/>
                <w:kern w:val="18"/>
                <w:sz w:val="24"/>
                <w:szCs w:val="20"/>
                <w:u w:val="none"/>
                <w:shd w:val="clear"/>
                <w:lang w:val="en-US" w:eastAsia="zh-CN" w:bidi="ar-SA"/>
              </w:rPr>
              <w:t>的</w:t>
            </w:r>
            <w:r>
              <w:rPr>
                <w:rFonts w:hint="eastAsia" w:ascii="Times New Roman" w:hAnsi="Times New Roman" w:cs="宋体"/>
                <w:snapToGrid w:val="0"/>
                <w:color w:val="auto"/>
                <w:kern w:val="18"/>
                <w:sz w:val="24"/>
                <w:szCs w:val="20"/>
                <w:u w:val="none"/>
                <w:shd w:val="clear"/>
                <w:lang w:val="en-US" w:eastAsia="zh-CN" w:bidi="ar-SA"/>
              </w:rPr>
              <w:t>2</w:t>
            </w:r>
            <w:r>
              <w:rPr>
                <w:rFonts w:hint="eastAsia" w:ascii="Times New Roman" w:hAnsi="Times New Roman" w:eastAsia="宋体" w:cs="宋体"/>
                <w:snapToGrid w:val="0"/>
                <w:color w:val="auto"/>
                <w:kern w:val="18"/>
                <w:sz w:val="24"/>
                <w:szCs w:val="20"/>
                <w:u w:val="none"/>
                <w:shd w:val="clear"/>
                <w:lang w:val="en-US" w:eastAsia="zh-CN" w:bidi="ar-SA"/>
              </w:rPr>
              <w:t>类区标准，因此，项目建设符合环境功能规划。</w:t>
            </w:r>
          </w:p>
          <w:p w14:paraId="615931E1">
            <w:pPr>
              <w:pStyle w:val="3"/>
              <w:bidi w:val="0"/>
              <w:rPr>
                <w:rFonts w:hint="eastAsia"/>
                <w:color w:val="auto"/>
                <w:lang w:val="en-US" w:eastAsia="zh-CN"/>
              </w:rPr>
            </w:pPr>
            <w:r>
              <w:rPr>
                <w:rFonts w:hint="eastAsia"/>
                <w:color w:val="auto"/>
                <w:lang w:val="en-US" w:eastAsia="zh-CN"/>
              </w:rPr>
              <w:t>与周边相容性分析</w:t>
            </w:r>
          </w:p>
          <w:p w14:paraId="5B111653">
            <w:pPr>
              <w:pStyle w:val="115"/>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ascii="Times New Roman" w:hAnsi="Times New Roman"/>
                <w:color w:val="auto"/>
                <w:sz w:val="25"/>
                <w:szCs w:val="25"/>
              </w:rPr>
            </w:pPr>
            <w:r>
              <w:rPr>
                <w:rFonts w:hint="eastAsia" w:ascii="Times New Roman" w:hAnsi="Times New Roman" w:eastAsia="宋体" w:cs="宋体"/>
                <w:color w:val="auto"/>
                <w:kern w:val="0"/>
                <w:sz w:val="24"/>
                <w:szCs w:val="20"/>
                <w:highlight w:val="none"/>
                <w:lang w:val="zh-CN" w:eastAsia="zh-CN" w:bidi="ar-SA"/>
              </w:rPr>
              <w:t>本项目位</w:t>
            </w:r>
            <w:r>
              <w:rPr>
                <w:rFonts w:hint="eastAsia" w:ascii="Times New Roman" w:hAnsi="Times New Roman" w:eastAsia="宋体" w:cs="宋体"/>
                <w:color w:val="auto"/>
                <w:kern w:val="0"/>
                <w:sz w:val="24"/>
                <w:szCs w:val="20"/>
                <w:highlight w:val="none"/>
                <w:shd w:val="clear"/>
                <w:lang w:val="zh-CN" w:eastAsia="zh-CN" w:bidi="ar-SA"/>
              </w:rPr>
              <w:t>于</w:t>
            </w:r>
            <w:r>
              <w:rPr>
                <w:rFonts w:hint="eastAsia" w:ascii="Times New Roman" w:hAnsi="Times New Roman" w:cs="宋体"/>
                <w:color w:val="auto"/>
                <w:kern w:val="0"/>
                <w:sz w:val="24"/>
                <w:szCs w:val="20"/>
                <w:highlight w:val="none"/>
                <w:shd w:val="clear"/>
                <w:lang w:val="zh-CN" w:eastAsia="zh-CN" w:bidi="ar-SA"/>
              </w:rPr>
              <w:t>福建省福州市罗源县凤山镇东大新村3号（2#楼、负压病房大楼以及1#楼1-3层）</w:t>
            </w:r>
            <w:r>
              <w:rPr>
                <w:rFonts w:hint="eastAsia" w:ascii="Times New Roman" w:hAnsi="Times New Roman" w:eastAsia="宋体" w:cs="宋体"/>
                <w:color w:val="auto"/>
                <w:kern w:val="0"/>
                <w:sz w:val="24"/>
                <w:szCs w:val="20"/>
                <w:highlight w:val="none"/>
                <w:lang w:val="zh-CN" w:eastAsia="zh-CN" w:bidi="ar-SA"/>
              </w:rPr>
              <w:t>，根据现场勘查，周边以</w:t>
            </w:r>
            <w:r>
              <w:rPr>
                <w:rFonts w:hint="eastAsia" w:ascii="Times New Roman" w:hAnsi="Times New Roman" w:cs="宋体"/>
                <w:color w:val="auto"/>
                <w:kern w:val="0"/>
                <w:sz w:val="24"/>
                <w:szCs w:val="20"/>
                <w:highlight w:val="none"/>
                <w:lang w:val="en-US" w:eastAsia="zh-CN" w:bidi="ar-SA"/>
              </w:rPr>
              <w:t>居民楼</w:t>
            </w:r>
            <w:r>
              <w:rPr>
                <w:rFonts w:hint="eastAsia" w:ascii="Times New Roman" w:hAnsi="Times New Roman" w:eastAsia="宋体" w:cs="宋体"/>
                <w:color w:val="auto"/>
                <w:kern w:val="0"/>
                <w:sz w:val="24"/>
                <w:szCs w:val="20"/>
                <w:highlight w:val="none"/>
                <w:lang w:val="zh-CN" w:eastAsia="zh-CN" w:bidi="ar-SA"/>
              </w:rPr>
              <w:t>为主，项目周边</w:t>
            </w:r>
            <w:r>
              <w:rPr>
                <w:rFonts w:hint="eastAsia" w:ascii="Times New Roman" w:hAnsi="Times New Roman" w:eastAsia="宋体" w:cs="宋体"/>
                <w:color w:val="auto"/>
                <w:kern w:val="0"/>
                <w:sz w:val="24"/>
                <w:szCs w:val="20"/>
                <w:highlight w:val="none"/>
                <w:shd w:val="clear"/>
                <w:lang w:val="zh-CN" w:eastAsia="zh-CN" w:bidi="ar-SA"/>
              </w:rPr>
              <w:t>环境现</w:t>
            </w:r>
            <w:r>
              <w:rPr>
                <w:rFonts w:hint="eastAsia" w:ascii="Times New Roman" w:hAnsi="Times New Roman" w:cs="宋体"/>
                <w:color w:val="auto"/>
                <w:kern w:val="0"/>
                <w:sz w:val="24"/>
                <w:szCs w:val="20"/>
                <w:highlight w:val="none"/>
                <w:shd w:val="clear"/>
                <w:lang w:val="en-US" w:eastAsia="zh-CN" w:bidi="ar-SA"/>
              </w:rPr>
              <w:t>状</w:t>
            </w:r>
            <w:r>
              <w:rPr>
                <w:rFonts w:hint="eastAsia" w:ascii="Times New Roman" w:hAnsi="Times New Roman" w:eastAsia="宋体" w:cs="宋体"/>
                <w:color w:val="auto"/>
                <w:kern w:val="0"/>
                <w:sz w:val="24"/>
                <w:szCs w:val="20"/>
                <w:highlight w:val="none"/>
                <w:shd w:val="clear"/>
                <w:lang w:val="zh-CN" w:eastAsia="zh-CN" w:bidi="ar-SA"/>
              </w:rPr>
              <w:t>示意图详见附图2</w:t>
            </w:r>
            <w:r>
              <w:rPr>
                <w:rFonts w:hint="eastAsia" w:ascii="Times New Roman" w:hAnsi="Times New Roman" w:cs="宋体"/>
                <w:color w:val="auto"/>
                <w:kern w:val="0"/>
                <w:sz w:val="24"/>
                <w:szCs w:val="20"/>
                <w:highlight w:val="none"/>
                <w:shd w:val="clear"/>
                <w:lang w:val="zh-CN" w:eastAsia="zh-CN" w:bidi="ar-SA"/>
              </w:rPr>
              <w:t>，</w:t>
            </w:r>
            <w:r>
              <w:rPr>
                <w:rFonts w:hint="eastAsia" w:ascii="Times New Roman" w:hAnsi="Times New Roman" w:eastAsia="宋体" w:cs="宋体"/>
                <w:color w:val="auto"/>
                <w:kern w:val="0"/>
                <w:sz w:val="24"/>
                <w:szCs w:val="20"/>
                <w:highlight w:val="none"/>
                <w:shd w:val="clear"/>
                <w:lang w:val="zh-CN" w:eastAsia="zh-CN" w:bidi="ar-SA"/>
              </w:rPr>
              <w:t>项目周边环境现状拍摄图详见附图3</w:t>
            </w:r>
            <w:r>
              <w:rPr>
                <w:rFonts w:hint="eastAsia" w:ascii="Times New Roman" w:hAnsi="Times New Roman" w:cs="宋体"/>
                <w:color w:val="auto"/>
                <w:kern w:val="0"/>
                <w:sz w:val="24"/>
                <w:szCs w:val="20"/>
                <w:highlight w:val="none"/>
                <w:shd w:val="clear"/>
                <w:lang w:val="zh-CN" w:eastAsia="zh-CN" w:bidi="ar-SA"/>
              </w:rPr>
              <w:t>；</w:t>
            </w:r>
            <w:r>
              <w:rPr>
                <w:rFonts w:hint="eastAsia" w:ascii="Times New Roman" w:hAnsi="Times New Roman" w:eastAsia="宋体" w:cs="宋体"/>
                <w:color w:val="auto"/>
                <w:kern w:val="0"/>
                <w:sz w:val="24"/>
                <w:szCs w:val="20"/>
                <w:highlight w:val="none"/>
                <w:lang w:val="zh-CN" w:eastAsia="zh-CN" w:bidi="ar-SA"/>
              </w:rPr>
              <w:t>建设单位在</w:t>
            </w:r>
            <w:r>
              <w:rPr>
                <w:rFonts w:hint="eastAsia" w:ascii="Times New Roman" w:hAnsi="Times New Roman" w:cs="宋体"/>
                <w:color w:val="auto"/>
                <w:kern w:val="0"/>
                <w:sz w:val="24"/>
                <w:szCs w:val="20"/>
                <w:highlight w:val="none"/>
                <w:lang w:val="zh-CN" w:eastAsia="zh-CN" w:bidi="ar-SA"/>
              </w:rPr>
              <w:t>切实落实</w:t>
            </w:r>
            <w:r>
              <w:rPr>
                <w:rFonts w:hint="eastAsia" w:ascii="Times New Roman" w:hAnsi="Times New Roman" w:eastAsia="宋体" w:cs="宋体"/>
                <w:color w:val="auto"/>
                <w:kern w:val="0"/>
                <w:sz w:val="24"/>
                <w:szCs w:val="20"/>
                <w:highlight w:val="none"/>
                <w:lang w:val="zh-CN" w:eastAsia="zh-CN" w:bidi="ar-SA"/>
              </w:rPr>
              <w:t>本评价提出的各项污染治理措施的前提下，可实现污染物达标排放，且各污染物排放源强较低，运营期产生的“三废”及噪声对周边环境影响不明显，因此，项目建设与周边环境基本相容。</w:t>
            </w:r>
          </w:p>
          <w:p w14:paraId="693F1CC6">
            <w:pPr>
              <w:pStyle w:val="3"/>
              <w:bidi w:val="0"/>
              <w:rPr>
                <w:rFonts w:hint="eastAsia"/>
                <w:color w:val="auto"/>
              </w:rPr>
            </w:pPr>
            <w:r>
              <w:rPr>
                <w:rFonts w:hint="eastAsia"/>
                <w:color w:val="auto"/>
                <w:lang w:val="en-US" w:eastAsia="zh-CN"/>
              </w:rPr>
              <w:t>生态环境分区管控控制要求的符合性分析</w:t>
            </w:r>
          </w:p>
          <w:p w14:paraId="436EAE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textAlignment w:val="auto"/>
              <w:rPr>
                <w:rFonts w:hint="default"/>
                <w:color w:val="auto"/>
              </w:rPr>
            </w:pPr>
            <w:r>
              <w:rPr>
                <w:rFonts w:hint="eastAsia" w:ascii="Times New Roman" w:hAnsi="Times New Roman" w:eastAsia="宋体" w:cs="宋体"/>
                <w:color w:val="auto"/>
                <w:kern w:val="0"/>
                <w:sz w:val="24"/>
                <w:szCs w:val="20"/>
                <w:highlight w:val="none"/>
                <w:lang w:val="zh-CN" w:eastAsia="zh-CN" w:bidi="ar-SA"/>
              </w:rPr>
              <w:t>根据《关于以改善环境质量为核心加强环境影响评价管理的通知》</w:t>
            </w:r>
            <w:r>
              <w:rPr>
                <w:rFonts w:hint="eastAsia" w:cs="宋体"/>
                <w:color w:val="auto"/>
                <w:kern w:val="0"/>
                <w:sz w:val="24"/>
                <w:szCs w:val="20"/>
                <w:highlight w:val="none"/>
                <w:lang w:val="zh-CN" w:eastAsia="zh-CN" w:bidi="ar-SA"/>
              </w:rPr>
              <w:t>（</w:t>
            </w:r>
            <w:r>
              <w:rPr>
                <w:rFonts w:hint="eastAsia" w:ascii="Times New Roman" w:hAnsi="Times New Roman" w:eastAsia="宋体" w:cs="宋体"/>
                <w:color w:val="auto"/>
                <w:kern w:val="0"/>
                <w:sz w:val="24"/>
                <w:szCs w:val="20"/>
                <w:highlight w:val="none"/>
                <w:lang w:val="zh-CN" w:eastAsia="zh-CN" w:bidi="ar-SA"/>
              </w:rPr>
              <w:t>环评〔2016〕150号</w:t>
            </w:r>
            <w:r>
              <w:rPr>
                <w:rFonts w:hint="eastAsia" w:cs="宋体"/>
                <w:color w:val="auto"/>
                <w:kern w:val="0"/>
                <w:sz w:val="24"/>
                <w:szCs w:val="20"/>
                <w:highlight w:val="none"/>
                <w:lang w:val="zh-CN" w:eastAsia="zh-CN" w:bidi="ar-SA"/>
              </w:rPr>
              <w:t>），</w:t>
            </w:r>
            <w:r>
              <w:rPr>
                <w:rFonts w:hint="eastAsia" w:ascii="Times New Roman" w:hAnsi="Times New Roman" w:eastAsia="宋体" w:cs="宋体"/>
                <w:color w:val="auto"/>
                <w:kern w:val="0"/>
                <w:sz w:val="24"/>
                <w:szCs w:val="20"/>
                <w:highlight w:val="none"/>
                <w:lang w:val="zh-CN" w:eastAsia="zh-CN" w:bidi="ar-SA"/>
              </w:rPr>
              <w:t>“三线一单”即：“生态保护红线、环境质量底线、资源利用上线和生态环境准入清单”</w:t>
            </w:r>
            <w:r>
              <w:rPr>
                <w:rFonts w:hint="eastAsia" w:cs="宋体"/>
                <w:color w:val="auto"/>
                <w:kern w:val="0"/>
                <w:sz w:val="24"/>
                <w:szCs w:val="20"/>
                <w:highlight w:val="none"/>
                <w:lang w:val="zh-CN" w:eastAsia="zh-CN" w:bidi="ar-SA"/>
              </w:rPr>
              <w:t>，</w:t>
            </w:r>
            <w:r>
              <w:rPr>
                <w:rFonts w:hint="eastAsia" w:ascii="Times New Roman" w:hAnsi="Times New Roman" w:eastAsia="宋体" w:cs="宋体"/>
                <w:color w:val="auto"/>
                <w:kern w:val="0"/>
                <w:sz w:val="24"/>
                <w:szCs w:val="20"/>
                <w:highlight w:val="none"/>
                <w:lang w:val="zh-CN" w:eastAsia="zh-CN" w:bidi="ar-SA"/>
              </w:rPr>
              <w:t>项目建设应强化“三线一单”约束作用。</w:t>
            </w:r>
          </w:p>
          <w:p w14:paraId="61C94E01">
            <w:pPr>
              <w:pStyle w:val="4"/>
              <w:bidi w:val="0"/>
              <w:ind w:left="720" w:leftChars="0" w:hanging="720" w:firstLineChars="0"/>
              <w:rPr>
                <w:color w:val="auto"/>
                <w:highlight w:val="none"/>
              </w:rPr>
            </w:pPr>
            <w:r>
              <w:rPr>
                <w:color w:val="auto"/>
                <w:highlight w:val="none"/>
              </w:rPr>
              <w:t>生态保护红线</w:t>
            </w:r>
          </w:p>
          <w:p w14:paraId="66FAAC9B">
            <w:pPr>
              <w:pStyle w:val="4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textAlignment w:val="auto"/>
              <w:rPr>
                <w:rFonts w:hint="eastAsia" w:eastAsia="宋体" w:cs="宋体"/>
                <w:color w:val="auto"/>
              </w:rPr>
            </w:pPr>
            <w:r>
              <w:rPr>
                <w:rFonts w:hint="eastAsia" w:eastAsia="宋体" w:cs="宋体"/>
                <w:color w:val="auto"/>
              </w:rPr>
              <w:t>对照《福建省生态保护红线划定方案》及其调整方案</w:t>
            </w:r>
            <w:r>
              <w:rPr>
                <w:rFonts w:hint="eastAsia" w:cs="宋体"/>
                <w:color w:val="auto"/>
                <w:lang w:eastAsia="zh-CN"/>
              </w:rPr>
              <w:t>，</w:t>
            </w:r>
            <w:r>
              <w:rPr>
                <w:rFonts w:hint="eastAsia" w:eastAsia="宋体" w:cs="宋体"/>
                <w:color w:val="auto"/>
              </w:rPr>
              <w:t>本项目位于</w:t>
            </w:r>
            <w:r>
              <w:rPr>
                <w:rFonts w:hint="eastAsia" w:ascii="Times New Roman" w:hAnsi="Times New Roman" w:cs="宋体"/>
                <w:color w:val="auto"/>
                <w:kern w:val="0"/>
                <w:sz w:val="24"/>
                <w:szCs w:val="20"/>
                <w:highlight w:val="none"/>
                <w:shd w:val="clear"/>
                <w:lang w:val="zh-CN" w:eastAsia="zh-CN" w:bidi="ar-SA"/>
              </w:rPr>
              <w:t>福建省福州市罗源县</w:t>
            </w:r>
            <w:r>
              <w:rPr>
                <w:rFonts w:hint="eastAsia" w:eastAsia="宋体" w:cs="宋体"/>
                <w:color w:val="auto"/>
              </w:rPr>
              <w:t>。项目周边无国家公园、自然保护区、森林公园的生态保育区和核心景观区、风景名胜区的核心景区、地质公园的地质遗迹保护区、世界自然遗产的核心区和缓冲区、湿地公园的湿地保育区和恢复重建区、饮用水水源的一级保护区、水产种质资源保护区的核心区和其他需要特别保护或法律法规禁止开发建设的区域。</w:t>
            </w:r>
          </w:p>
          <w:p w14:paraId="74AC8BC2">
            <w:pPr>
              <w:pStyle w:val="4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textAlignment w:val="auto"/>
              <w:rPr>
                <w:rFonts w:hint="eastAsia" w:eastAsia="宋体" w:cs="宋体"/>
                <w:color w:val="auto"/>
              </w:rPr>
            </w:pPr>
            <w:r>
              <w:rPr>
                <w:rFonts w:hint="eastAsia" w:eastAsia="宋体" w:cs="宋体"/>
                <w:color w:val="auto"/>
              </w:rPr>
              <w:t>因此，项目建设符合生态红线控制的要求。</w:t>
            </w:r>
          </w:p>
          <w:p w14:paraId="12AE971F">
            <w:pPr>
              <w:pStyle w:val="4"/>
              <w:bidi w:val="0"/>
              <w:ind w:left="720" w:leftChars="0" w:hanging="720" w:firstLineChars="0"/>
              <w:rPr>
                <w:color w:val="auto"/>
                <w:highlight w:val="none"/>
              </w:rPr>
            </w:pPr>
            <w:r>
              <w:rPr>
                <w:color w:val="auto"/>
                <w:highlight w:val="none"/>
              </w:rPr>
              <w:t>环境质量底线</w:t>
            </w:r>
          </w:p>
          <w:p w14:paraId="2F73FA21">
            <w:pPr>
              <w:pStyle w:val="46"/>
              <w:keepNext w:val="0"/>
              <w:keepLines w:val="0"/>
              <w:pageBreakBefore w:val="0"/>
              <w:widowControl w:val="0"/>
              <w:kinsoku/>
              <w:wordWrap/>
              <w:overflowPunct/>
              <w:topLinePunct w:val="0"/>
              <w:autoSpaceDE w:val="0"/>
              <w:autoSpaceDN w:val="0"/>
              <w:bidi w:val="0"/>
              <w:adjustRightInd/>
              <w:snapToGrid/>
              <w:ind w:firstLine="480"/>
              <w:textAlignment w:val="auto"/>
              <w:rPr>
                <w:rFonts w:hint="eastAsia" w:eastAsia="宋体" w:cs="宋体"/>
                <w:color w:val="auto"/>
                <w:highlight w:val="none"/>
                <w:lang w:val="en-US" w:eastAsia="zh-CN"/>
              </w:rPr>
            </w:pPr>
            <w:r>
              <w:rPr>
                <w:rFonts w:hint="eastAsia" w:eastAsia="宋体" w:cs="宋体"/>
                <w:color w:val="auto"/>
                <w:highlight w:val="none"/>
                <w:lang w:val="en-US" w:eastAsia="zh-CN"/>
              </w:rPr>
              <w:t>目前，</w:t>
            </w:r>
            <w:r>
              <w:rPr>
                <w:rFonts w:hint="eastAsia" w:cs="宋体"/>
                <w:color w:val="auto"/>
                <w:highlight w:val="none"/>
                <w:shd w:val="clear"/>
                <w:lang w:val="en-US" w:eastAsia="zh-CN"/>
              </w:rPr>
              <w:t>起步溪</w:t>
            </w:r>
            <w:r>
              <w:rPr>
                <w:rFonts w:hint="eastAsia" w:eastAsia="宋体" w:cs="宋体"/>
                <w:color w:val="auto"/>
                <w:highlight w:val="none"/>
                <w:shd w:val="clear"/>
                <w:lang w:val="en-US" w:eastAsia="zh-CN"/>
              </w:rPr>
              <w:t>水质符合GB3838-2002《地表水环境质量标准》中</w:t>
            </w:r>
            <w:r>
              <w:rPr>
                <w:rFonts w:hint="default" w:ascii="Times New Roman" w:hAnsi="Times New Roman" w:eastAsia="宋体" w:cs="Times New Roman"/>
                <w:color w:val="auto"/>
                <w:kern w:val="2"/>
                <w:sz w:val="24"/>
                <w:szCs w:val="20"/>
                <w:highlight w:val="none"/>
                <w:lang w:val="en-US" w:eastAsia="zh-CN" w:bidi="ar-SA"/>
              </w:rPr>
              <w:t>Ⅳ</w:t>
            </w:r>
            <w:r>
              <w:rPr>
                <w:rFonts w:hint="eastAsia" w:eastAsia="宋体" w:cs="宋体"/>
                <w:color w:val="auto"/>
                <w:highlight w:val="none"/>
                <w:shd w:val="clear"/>
                <w:lang w:val="en-US" w:eastAsia="zh-CN"/>
              </w:rPr>
              <w:t>类标准；项目所在区域的环境空气质量现状符合《环境空气质量标准》</w:t>
            </w:r>
            <w:r>
              <w:rPr>
                <w:rFonts w:hint="eastAsia" w:cs="宋体"/>
                <w:color w:val="auto"/>
                <w:highlight w:val="none"/>
                <w:shd w:val="clear"/>
                <w:lang w:val="en-US" w:eastAsia="zh-CN"/>
              </w:rPr>
              <w:t>（GB 3095</w:t>
            </w:r>
            <w:r>
              <w:rPr>
                <w:rFonts w:hint="eastAsia" w:eastAsia="宋体" w:cs="宋体"/>
                <w:color w:val="auto"/>
                <w:highlight w:val="none"/>
                <w:shd w:val="clear"/>
                <w:lang w:val="en-US" w:eastAsia="zh-CN"/>
              </w:rPr>
              <w:t>-20</w:t>
            </w:r>
            <w:r>
              <w:rPr>
                <w:rFonts w:hint="eastAsia" w:cs="宋体"/>
                <w:color w:val="auto"/>
                <w:highlight w:val="none"/>
                <w:shd w:val="clear"/>
                <w:lang w:val="en-US" w:eastAsia="zh-CN"/>
              </w:rPr>
              <w:t>26）</w:t>
            </w:r>
            <w:r>
              <w:rPr>
                <w:rFonts w:hint="eastAsia" w:eastAsia="宋体" w:cs="宋体"/>
                <w:color w:val="auto"/>
                <w:highlight w:val="none"/>
                <w:shd w:val="clear"/>
                <w:lang w:val="en-US" w:eastAsia="zh-CN"/>
              </w:rPr>
              <w:t>中二级标准，</w:t>
            </w:r>
            <w:r>
              <w:rPr>
                <w:rFonts w:hint="eastAsia" w:eastAsia="宋体" w:cs="宋体"/>
                <w:color w:val="auto"/>
                <w:highlight w:val="none"/>
                <w:lang w:val="en-US" w:eastAsia="zh-CN"/>
              </w:rPr>
              <w:t>属于达标区；项目所在区域声环境质量现状</w:t>
            </w:r>
            <w:r>
              <w:rPr>
                <w:rFonts w:hint="eastAsia" w:eastAsia="宋体" w:cs="宋体"/>
                <w:color w:val="auto"/>
                <w:highlight w:val="none"/>
                <w:shd w:val="clear"/>
                <w:lang w:val="en-US" w:eastAsia="zh-CN"/>
              </w:rPr>
              <w:t>符合《声环境质量标准》</w:t>
            </w:r>
            <w:r>
              <w:rPr>
                <w:rFonts w:hint="eastAsia" w:cs="宋体"/>
                <w:color w:val="auto"/>
                <w:highlight w:val="none"/>
                <w:shd w:val="clear"/>
                <w:lang w:val="en-US" w:eastAsia="zh-CN"/>
              </w:rPr>
              <w:t>（GB 3096</w:t>
            </w:r>
            <w:r>
              <w:rPr>
                <w:rFonts w:hint="eastAsia" w:eastAsia="宋体" w:cs="宋体"/>
                <w:color w:val="auto"/>
                <w:highlight w:val="none"/>
                <w:shd w:val="clear"/>
                <w:lang w:val="en-US" w:eastAsia="zh-CN"/>
              </w:rPr>
              <w:t>-2008</w:t>
            </w:r>
            <w:r>
              <w:rPr>
                <w:rFonts w:hint="eastAsia" w:cs="宋体"/>
                <w:color w:val="auto"/>
                <w:highlight w:val="none"/>
                <w:shd w:val="clear"/>
                <w:lang w:val="en-US" w:eastAsia="zh-CN"/>
              </w:rPr>
              <w:t>）</w:t>
            </w:r>
            <w:r>
              <w:rPr>
                <w:rFonts w:hint="eastAsia" w:eastAsia="宋体" w:cs="宋体"/>
                <w:color w:val="auto"/>
                <w:highlight w:val="none"/>
                <w:shd w:val="clear"/>
                <w:lang w:val="en-US" w:eastAsia="zh-CN"/>
              </w:rPr>
              <w:t>中</w:t>
            </w:r>
            <w:r>
              <w:rPr>
                <w:rFonts w:hint="eastAsia" w:cs="宋体"/>
                <w:color w:val="auto"/>
                <w:highlight w:val="none"/>
                <w:shd w:val="clear"/>
                <w:lang w:val="en-US" w:eastAsia="zh-CN"/>
              </w:rPr>
              <w:t>2</w:t>
            </w:r>
            <w:r>
              <w:rPr>
                <w:rFonts w:hint="eastAsia" w:eastAsia="宋体" w:cs="宋体"/>
                <w:color w:val="auto"/>
                <w:highlight w:val="none"/>
                <w:shd w:val="clear"/>
                <w:lang w:val="en-US" w:eastAsia="zh-CN"/>
              </w:rPr>
              <w:t>类标准。</w:t>
            </w:r>
            <w:r>
              <w:rPr>
                <w:rFonts w:hint="eastAsia" w:eastAsia="宋体" w:cs="宋体"/>
                <w:color w:val="auto"/>
                <w:highlight w:val="none"/>
                <w:lang w:val="en-US" w:eastAsia="zh-CN"/>
              </w:rPr>
              <w:t>因此，项目所在区域环境现状质量良好。</w:t>
            </w:r>
          </w:p>
          <w:p w14:paraId="0C14879A">
            <w:pPr>
              <w:pStyle w:val="46"/>
              <w:keepNext w:val="0"/>
              <w:keepLines w:val="0"/>
              <w:pageBreakBefore w:val="0"/>
              <w:widowControl w:val="0"/>
              <w:kinsoku/>
              <w:wordWrap/>
              <w:overflowPunct/>
              <w:topLinePunct w:val="0"/>
              <w:autoSpaceDE w:val="0"/>
              <w:autoSpaceDN w:val="0"/>
              <w:bidi w:val="0"/>
              <w:adjustRightInd/>
              <w:snapToGrid/>
              <w:ind w:firstLine="480"/>
              <w:textAlignment w:val="auto"/>
              <w:rPr>
                <w:rFonts w:hint="eastAsia" w:eastAsia="宋体" w:cs="宋体"/>
                <w:color w:val="auto"/>
                <w:highlight w:val="none"/>
                <w:lang w:val="en-US" w:eastAsia="zh-CN"/>
              </w:rPr>
            </w:pPr>
            <w:r>
              <w:rPr>
                <w:rFonts w:hint="eastAsia" w:eastAsia="宋体" w:cs="宋体"/>
                <w:color w:val="auto"/>
                <w:highlight w:val="none"/>
                <w:lang w:val="en-US" w:eastAsia="zh-CN"/>
              </w:rPr>
              <w:t>本项目运营</w:t>
            </w:r>
            <w:r>
              <w:rPr>
                <w:rFonts w:hint="eastAsia" w:eastAsia="宋体" w:cs="宋体"/>
                <w:color w:val="auto"/>
                <w:highlight w:val="none"/>
                <w:shd w:val="clear"/>
                <w:lang w:val="en-US" w:eastAsia="zh-CN"/>
              </w:rPr>
              <w:t>期</w:t>
            </w:r>
            <w:r>
              <w:rPr>
                <w:rFonts w:hint="eastAsia" w:ascii="Times New Roman" w:hAnsi="Times New Roman" w:eastAsia="宋体" w:cs="宋体"/>
                <w:snapToGrid w:val="0"/>
                <w:color w:val="auto"/>
                <w:kern w:val="18"/>
                <w:sz w:val="24"/>
                <w:szCs w:val="20"/>
                <w:u w:val="none"/>
                <w:shd w:val="clear"/>
                <w:lang w:val="en-US" w:eastAsia="zh-CN" w:bidi="ar-SA"/>
              </w:rPr>
              <w:t>生活污水</w:t>
            </w:r>
            <w:r>
              <w:rPr>
                <w:rFonts w:hint="eastAsia" w:ascii="Times New Roman" w:hAnsi="Times New Roman" w:cs="宋体"/>
                <w:snapToGrid w:val="0"/>
                <w:color w:val="auto"/>
                <w:kern w:val="18"/>
                <w:sz w:val="24"/>
                <w:szCs w:val="20"/>
                <w:u w:val="none"/>
                <w:shd w:val="clear"/>
                <w:lang w:val="en-US" w:eastAsia="zh-CN" w:bidi="ar-SA"/>
              </w:rPr>
              <w:t>、医疗废水经过</w:t>
            </w:r>
            <w:r>
              <w:rPr>
                <w:rFonts w:hint="eastAsia" w:ascii="Times New Roman" w:hAnsi="Times New Roman" w:eastAsia="宋体" w:cs="宋体"/>
                <w:snapToGrid w:val="0"/>
                <w:color w:val="auto"/>
                <w:kern w:val="18"/>
                <w:sz w:val="24"/>
                <w:szCs w:val="20"/>
                <w:u w:val="none"/>
                <w:shd w:val="clear"/>
                <w:lang w:val="en-US" w:eastAsia="zh-CN" w:bidi="ar-SA"/>
              </w:rPr>
              <w:t>化粪池</w:t>
            </w:r>
            <w:r>
              <w:rPr>
                <w:rFonts w:hint="eastAsia" w:ascii="Times New Roman" w:hAnsi="Times New Roman" w:cs="宋体"/>
                <w:snapToGrid w:val="0"/>
                <w:color w:val="auto"/>
                <w:kern w:val="18"/>
                <w:sz w:val="24"/>
                <w:szCs w:val="20"/>
                <w:u w:val="none"/>
                <w:shd w:val="clear"/>
                <w:lang w:val="en-US" w:eastAsia="zh-CN" w:bidi="ar-SA"/>
              </w:rPr>
              <w:t>预</w:t>
            </w:r>
            <w:r>
              <w:rPr>
                <w:rFonts w:hint="eastAsia" w:ascii="Times New Roman" w:hAnsi="Times New Roman" w:eastAsia="宋体" w:cs="宋体"/>
                <w:snapToGrid w:val="0"/>
                <w:color w:val="auto"/>
                <w:kern w:val="18"/>
                <w:sz w:val="24"/>
                <w:szCs w:val="20"/>
                <w:u w:val="none"/>
                <w:shd w:val="clear"/>
                <w:lang w:val="en-US" w:eastAsia="zh-CN" w:bidi="ar-SA"/>
              </w:rPr>
              <w:t>处理</w:t>
            </w:r>
            <w:r>
              <w:rPr>
                <w:rFonts w:hint="eastAsia" w:cs="宋体"/>
                <w:snapToGrid w:val="0"/>
                <w:color w:val="auto"/>
                <w:kern w:val="18"/>
                <w:sz w:val="24"/>
                <w:szCs w:val="20"/>
                <w:u w:val="none"/>
                <w:shd w:val="clear"/>
                <w:lang w:val="en-US" w:eastAsia="zh-CN" w:bidi="ar-SA"/>
              </w:rPr>
              <w:t>，再</w:t>
            </w:r>
            <w:r>
              <w:rPr>
                <w:rFonts w:hint="eastAsia" w:ascii="Times New Roman" w:hAnsi="Times New Roman" w:cs="宋体"/>
                <w:snapToGrid w:val="0"/>
                <w:color w:val="auto"/>
                <w:kern w:val="18"/>
                <w:sz w:val="24"/>
                <w:szCs w:val="20"/>
                <w:u w:val="none"/>
                <w:shd w:val="clear"/>
                <w:lang w:val="en-US" w:eastAsia="zh-CN" w:bidi="ar-SA"/>
              </w:rPr>
              <w:t>经过污水处理设施处理</w:t>
            </w:r>
            <w:r>
              <w:rPr>
                <w:rFonts w:hint="eastAsia" w:cs="宋体"/>
                <w:snapToGrid w:val="0"/>
                <w:color w:val="auto"/>
                <w:kern w:val="18"/>
                <w:sz w:val="24"/>
                <w:szCs w:val="20"/>
                <w:u w:val="none"/>
                <w:shd w:val="clear"/>
                <w:lang w:val="en-US" w:eastAsia="zh-CN" w:bidi="ar-SA"/>
              </w:rPr>
              <w:t>，</w:t>
            </w:r>
            <w:r>
              <w:rPr>
                <w:rFonts w:hint="eastAsia" w:ascii="Times New Roman" w:hAnsi="Times New Roman" w:eastAsia="宋体" w:cs="宋体"/>
                <w:snapToGrid w:val="0"/>
                <w:color w:val="auto"/>
                <w:kern w:val="18"/>
                <w:sz w:val="24"/>
                <w:szCs w:val="20"/>
                <w:u w:val="none"/>
                <w:shd w:val="clear"/>
                <w:lang w:val="en-US" w:eastAsia="zh-CN" w:bidi="ar-SA"/>
              </w:rPr>
              <w:t>进入市政污水管网，最终排入</w:t>
            </w:r>
            <w:r>
              <w:rPr>
                <w:rFonts w:hint="eastAsia" w:ascii="Times New Roman" w:hAnsi="Times New Roman" w:cs="宋体"/>
                <w:snapToGrid w:val="0"/>
                <w:color w:val="auto"/>
                <w:kern w:val="18"/>
                <w:sz w:val="24"/>
                <w:szCs w:val="20"/>
                <w:u w:val="none"/>
                <w:shd w:val="clear"/>
                <w:lang w:val="en-US" w:eastAsia="zh-CN" w:bidi="ar-SA"/>
              </w:rPr>
              <w:t>罗源城区污水处理厂</w:t>
            </w:r>
            <w:r>
              <w:rPr>
                <w:rFonts w:hint="eastAsia" w:ascii="Times New Roman" w:hAnsi="Times New Roman" w:eastAsia="宋体" w:cs="宋体"/>
                <w:snapToGrid w:val="0"/>
                <w:color w:val="auto"/>
                <w:kern w:val="18"/>
                <w:sz w:val="24"/>
                <w:szCs w:val="20"/>
                <w:u w:val="none"/>
                <w:shd w:val="clear"/>
                <w:lang w:val="en-US" w:eastAsia="zh-CN" w:bidi="ar-SA"/>
              </w:rPr>
              <w:t>统一处理后达标排放</w:t>
            </w:r>
            <w:r>
              <w:rPr>
                <w:rFonts w:hint="eastAsia" w:eastAsia="宋体" w:cs="宋体"/>
                <w:color w:val="auto"/>
                <w:highlight w:val="none"/>
                <w:shd w:val="clear"/>
                <w:lang w:val="en-US" w:eastAsia="zh-CN"/>
              </w:rPr>
              <w:t>；</w:t>
            </w:r>
            <w:r>
              <w:rPr>
                <w:rFonts w:hint="eastAsia" w:eastAsia="宋体" w:cs="宋体"/>
                <w:color w:val="auto"/>
                <w:highlight w:val="none"/>
                <w:lang w:val="en-US" w:eastAsia="zh-CN"/>
              </w:rPr>
              <w:t>项目废气经处理达标后</w:t>
            </w:r>
            <w:r>
              <w:rPr>
                <w:rFonts w:hint="eastAsia" w:cs="宋体"/>
                <w:color w:val="auto"/>
                <w:highlight w:val="none"/>
                <w:lang w:val="en-US" w:eastAsia="zh-CN"/>
              </w:rPr>
              <w:t>排放，对</w:t>
            </w:r>
            <w:r>
              <w:rPr>
                <w:rFonts w:hint="eastAsia" w:eastAsia="宋体" w:cs="宋体"/>
                <w:color w:val="auto"/>
                <w:highlight w:val="none"/>
                <w:lang w:val="en-US" w:eastAsia="zh-CN"/>
              </w:rPr>
              <w:t>周围大气环境影响较小；各</w:t>
            </w:r>
            <w:r>
              <w:rPr>
                <w:rFonts w:hint="eastAsia" w:cs="宋体"/>
                <w:color w:val="auto"/>
                <w:highlight w:val="none"/>
                <w:lang w:val="en-US" w:eastAsia="zh-CN"/>
              </w:rPr>
              <w:t>医疗设备</w:t>
            </w:r>
            <w:r>
              <w:rPr>
                <w:rFonts w:hint="eastAsia" w:eastAsia="宋体" w:cs="宋体"/>
                <w:color w:val="auto"/>
                <w:highlight w:val="none"/>
                <w:lang w:val="en-US" w:eastAsia="zh-CN"/>
              </w:rPr>
              <w:t>产生的噪声经隔声、减振等降噪措施处理后也不会对周边声环境造成重大影响。综上分析，项目在采取本环评提出的防治措施后，运营期排放的污染物不会对区域环境质量底线造成冲击。</w:t>
            </w:r>
          </w:p>
          <w:p w14:paraId="44D2F44D">
            <w:pPr>
              <w:pStyle w:val="4"/>
              <w:bidi w:val="0"/>
              <w:ind w:left="720" w:leftChars="0" w:hanging="720" w:firstLineChars="0"/>
              <w:rPr>
                <w:color w:val="auto"/>
                <w:highlight w:val="none"/>
              </w:rPr>
            </w:pPr>
            <w:r>
              <w:rPr>
                <w:color w:val="auto"/>
                <w:highlight w:val="none"/>
              </w:rPr>
              <w:t>资源利用上线</w:t>
            </w:r>
          </w:p>
          <w:p w14:paraId="16C281F6">
            <w:pPr>
              <w:pStyle w:val="46"/>
              <w:keepNext w:val="0"/>
              <w:keepLines w:val="0"/>
              <w:pageBreakBefore w:val="0"/>
              <w:widowControl w:val="0"/>
              <w:kinsoku/>
              <w:wordWrap/>
              <w:overflowPunct/>
              <w:topLinePunct w:val="0"/>
              <w:autoSpaceDE w:val="0"/>
              <w:autoSpaceDN w:val="0"/>
              <w:bidi w:val="0"/>
              <w:adjustRightInd/>
              <w:snapToGrid/>
              <w:ind w:firstLine="480"/>
              <w:textAlignment w:val="auto"/>
              <w:rPr>
                <w:rFonts w:hint="eastAsia"/>
                <w:color w:val="auto"/>
                <w:highlight w:val="none"/>
              </w:rPr>
            </w:pPr>
            <w:r>
              <w:rPr>
                <w:rFonts w:hint="eastAsia"/>
                <w:color w:val="auto"/>
                <w:highlight w:val="none"/>
              </w:rPr>
              <w:t>项目用水、用电</w:t>
            </w:r>
            <w:r>
              <w:rPr>
                <w:rFonts w:hint="eastAsia"/>
                <w:color w:val="auto"/>
                <w:highlight w:val="none"/>
                <w:lang w:eastAsia="zh-CN"/>
              </w:rPr>
              <w:t>由</w:t>
            </w:r>
            <w:r>
              <w:rPr>
                <w:rFonts w:hint="eastAsia"/>
                <w:color w:val="auto"/>
                <w:highlight w:val="none"/>
              </w:rPr>
              <w:t>区域集中供应</w:t>
            </w:r>
            <w:r>
              <w:rPr>
                <w:rFonts w:hint="eastAsia"/>
                <w:color w:val="auto"/>
                <w:highlight w:val="none"/>
                <w:lang w:eastAsia="zh-CN"/>
              </w:rPr>
              <w:t>。</w:t>
            </w:r>
            <w:r>
              <w:rPr>
                <w:rFonts w:hint="eastAsia"/>
                <w:color w:val="auto"/>
                <w:highlight w:val="none"/>
              </w:rPr>
              <w:t>项目</w:t>
            </w:r>
            <w:r>
              <w:rPr>
                <w:rFonts w:hint="eastAsia"/>
                <w:color w:val="auto"/>
                <w:highlight w:val="none"/>
                <w:lang w:eastAsia="zh-CN"/>
              </w:rPr>
              <w:t>在运行</w:t>
            </w:r>
            <w:r>
              <w:rPr>
                <w:rFonts w:hint="eastAsia"/>
                <w:color w:val="auto"/>
                <w:highlight w:val="none"/>
              </w:rPr>
              <w:t>过程</w:t>
            </w:r>
            <w:r>
              <w:rPr>
                <w:rFonts w:hint="eastAsia"/>
                <w:color w:val="auto"/>
                <w:highlight w:val="none"/>
                <w:lang w:eastAsia="zh-CN"/>
              </w:rPr>
              <w:t>中，从</w:t>
            </w:r>
            <w:r>
              <w:rPr>
                <w:rFonts w:hint="eastAsia"/>
                <w:color w:val="auto"/>
                <w:highlight w:val="none"/>
              </w:rPr>
              <w:t>内部管理、设备选择、原辅材料的选用和管理、废物回收利用、污染治理等多方面采取合理可行的防治措施，以“节能、降耗、减污”为目标，</w:t>
            </w:r>
            <w:r>
              <w:rPr>
                <w:rFonts w:hint="eastAsia"/>
                <w:color w:val="auto"/>
                <w:highlight w:val="none"/>
                <w:lang w:eastAsia="zh-CN"/>
              </w:rPr>
              <w:t>有效</w:t>
            </w:r>
            <w:r>
              <w:rPr>
                <w:rFonts w:hint="eastAsia"/>
                <w:color w:val="auto"/>
                <w:highlight w:val="none"/>
              </w:rPr>
              <w:t>控制污染。项目运营期水、原料等资源利用不会突破区域的资源利用上线。</w:t>
            </w:r>
          </w:p>
          <w:p w14:paraId="401A6E7F">
            <w:pPr>
              <w:pStyle w:val="4"/>
              <w:bidi w:val="0"/>
              <w:ind w:left="720" w:leftChars="0" w:hanging="720" w:firstLineChars="0"/>
              <w:rPr>
                <w:color w:val="auto"/>
                <w:highlight w:val="none"/>
              </w:rPr>
            </w:pPr>
            <w:r>
              <w:rPr>
                <w:rFonts w:hint="eastAsia"/>
                <w:color w:val="auto"/>
                <w:highlight w:val="none"/>
              </w:rPr>
              <w:t>与生态环境准入清单要求符合性分析</w:t>
            </w:r>
          </w:p>
          <w:p w14:paraId="10A1A33A">
            <w:pPr>
              <w:pStyle w:val="46"/>
              <w:ind w:firstLine="480"/>
              <w:rPr>
                <w:rFonts w:hint="default" w:ascii="Times New Roman" w:hAnsi="Times New Roman" w:eastAsia="宋体" w:cs="宋体"/>
                <w:color w:val="auto"/>
                <w:kern w:val="0"/>
                <w:szCs w:val="21"/>
                <w:highlight w:val="none"/>
              </w:rPr>
            </w:pPr>
            <w:r>
              <w:rPr>
                <w:rFonts w:hint="eastAsia" w:ascii="Times New Roman" w:hAnsi="Times New Roman" w:eastAsia="宋体" w:cs="宋体"/>
                <w:color w:val="auto"/>
                <w:kern w:val="0"/>
                <w:szCs w:val="21"/>
                <w:highlight w:val="none"/>
              </w:rPr>
              <w:t>本项目不属于《产业结构调整指导目录</w:t>
            </w:r>
            <w:r>
              <w:rPr>
                <w:rFonts w:hint="eastAsia" w:cs="宋体"/>
                <w:color w:val="auto"/>
                <w:kern w:val="0"/>
                <w:szCs w:val="21"/>
                <w:highlight w:val="none"/>
                <w:lang w:eastAsia="zh-CN"/>
              </w:rPr>
              <w:t>（</w:t>
            </w:r>
            <w:r>
              <w:rPr>
                <w:rFonts w:hint="eastAsia" w:ascii="Times New Roman" w:hAnsi="Times New Roman" w:eastAsia="宋体" w:cs="宋体"/>
                <w:color w:val="auto"/>
                <w:kern w:val="0"/>
                <w:szCs w:val="21"/>
                <w:highlight w:val="none"/>
              </w:rPr>
              <w:t>2024</w:t>
            </w:r>
            <w:r>
              <w:rPr>
                <w:rFonts w:hint="eastAsia" w:cs="宋体"/>
                <w:color w:val="auto"/>
                <w:kern w:val="0"/>
                <w:szCs w:val="21"/>
                <w:highlight w:val="none"/>
                <w:lang w:eastAsia="zh-CN"/>
              </w:rPr>
              <w:t>）</w:t>
            </w:r>
            <w:r>
              <w:rPr>
                <w:rFonts w:hint="eastAsia" w:ascii="Times New Roman" w:hAnsi="Times New Roman" w:eastAsia="宋体" w:cs="宋体"/>
                <w:color w:val="auto"/>
                <w:kern w:val="0"/>
                <w:szCs w:val="21"/>
                <w:highlight w:val="none"/>
              </w:rPr>
              <w:t>》中限制或淘汰类；满足《市场准入负面清单草案</w:t>
            </w:r>
            <w:r>
              <w:rPr>
                <w:rFonts w:hint="eastAsia" w:cs="宋体"/>
                <w:color w:val="auto"/>
                <w:kern w:val="0"/>
                <w:szCs w:val="21"/>
                <w:highlight w:val="none"/>
                <w:lang w:eastAsia="zh-CN"/>
              </w:rPr>
              <w:t>（</w:t>
            </w:r>
            <w:r>
              <w:rPr>
                <w:rFonts w:hint="eastAsia" w:ascii="Times New Roman" w:hAnsi="Times New Roman" w:eastAsia="宋体" w:cs="宋体"/>
                <w:color w:val="auto"/>
                <w:kern w:val="0"/>
                <w:szCs w:val="21"/>
                <w:highlight w:val="none"/>
              </w:rPr>
              <w:t>试点版</w:t>
            </w:r>
            <w:r>
              <w:rPr>
                <w:rFonts w:hint="eastAsia" w:cs="宋体"/>
                <w:color w:val="auto"/>
                <w:kern w:val="0"/>
                <w:szCs w:val="21"/>
                <w:highlight w:val="none"/>
                <w:lang w:eastAsia="zh-CN"/>
              </w:rPr>
              <w:t>）</w:t>
            </w:r>
            <w:r>
              <w:rPr>
                <w:rFonts w:hint="eastAsia" w:ascii="Times New Roman" w:hAnsi="Times New Roman" w:eastAsia="宋体" w:cs="宋体"/>
                <w:color w:val="auto"/>
                <w:kern w:val="0"/>
                <w:szCs w:val="21"/>
                <w:highlight w:val="none"/>
              </w:rPr>
              <w:t>》</w:t>
            </w:r>
            <w:r>
              <w:rPr>
                <w:rFonts w:hint="eastAsia" w:cs="宋体"/>
                <w:color w:val="auto"/>
                <w:kern w:val="0"/>
                <w:szCs w:val="21"/>
                <w:highlight w:val="none"/>
                <w:lang w:eastAsia="zh-CN"/>
              </w:rPr>
              <w:t>（</w:t>
            </w:r>
            <w:r>
              <w:rPr>
                <w:rFonts w:hint="eastAsia" w:ascii="Times New Roman" w:hAnsi="Times New Roman" w:eastAsia="宋体" w:cs="宋体"/>
                <w:color w:val="auto"/>
                <w:kern w:val="0"/>
                <w:szCs w:val="21"/>
                <w:highlight w:val="none"/>
              </w:rPr>
              <w:t>发改经体〔2016〕442号</w:t>
            </w:r>
            <w:r>
              <w:rPr>
                <w:rFonts w:hint="eastAsia" w:cs="宋体"/>
                <w:color w:val="auto"/>
                <w:kern w:val="0"/>
                <w:szCs w:val="21"/>
                <w:highlight w:val="none"/>
                <w:lang w:eastAsia="zh-CN"/>
              </w:rPr>
              <w:t>）要求；</w:t>
            </w:r>
            <w:r>
              <w:rPr>
                <w:rFonts w:hint="eastAsia" w:ascii="Times New Roman" w:hAnsi="Times New Roman" w:eastAsia="宋体" w:cs="宋体"/>
                <w:color w:val="auto"/>
                <w:kern w:val="0"/>
                <w:szCs w:val="21"/>
                <w:highlight w:val="none"/>
              </w:rPr>
              <w:t>项目无行业准入条件；不属于福建省人民政府关于加强重点流域水环境</w:t>
            </w:r>
            <w:r>
              <w:rPr>
                <w:rFonts w:hint="eastAsia" w:cs="宋体"/>
                <w:color w:val="auto"/>
                <w:kern w:val="0"/>
                <w:szCs w:val="21"/>
                <w:highlight w:val="none"/>
                <w:lang w:eastAsia="zh-CN"/>
              </w:rPr>
              <w:t>综合</w:t>
            </w:r>
            <w:r>
              <w:rPr>
                <w:rFonts w:hint="eastAsia" w:ascii="Times New Roman" w:hAnsi="Times New Roman" w:eastAsia="宋体" w:cs="宋体"/>
                <w:color w:val="auto"/>
                <w:kern w:val="0"/>
                <w:szCs w:val="21"/>
                <w:highlight w:val="none"/>
              </w:rPr>
              <w:t>整治的意见</w:t>
            </w:r>
            <w:r>
              <w:rPr>
                <w:rFonts w:hint="eastAsia" w:cs="宋体"/>
                <w:color w:val="auto"/>
                <w:kern w:val="0"/>
                <w:szCs w:val="21"/>
                <w:highlight w:val="none"/>
                <w:lang w:eastAsia="zh-CN"/>
              </w:rPr>
              <w:t>中</w:t>
            </w:r>
            <w:r>
              <w:rPr>
                <w:rFonts w:hint="eastAsia" w:ascii="Times New Roman" w:hAnsi="Times New Roman" w:eastAsia="宋体" w:cs="宋体"/>
                <w:color w:val="auto"/>
                <w:kern w:val="0"/>
                <w:szCs w:val="21"/>
                <w:highlight w:val="none"/>
              </w:rPr>
              <w:t>禁止的产业；满足《福建省工业建设项目投资强度控制指标》相关要求；</w:t>
            </w:r>
            <w:r>
              <w:rPr>
                <w:rFonts w:hint="default" w:ascii="Times New Roman" w:hAnsi="Times New Roman" w:eastAsia="宋体" w:cs="宋体"/>
                <w:color w:val="auto"/>
                <w:kern w:val="0"/>
                <w:szCs w:val="21"/>
                <w:highlight w:val="none"/>
              </w:rPr>
              <w:t>项目符合国家产业政策，符合《福建省人民政府关于实施“三线一单”生态环境分区管控的通知(闽政〔2020〕12号</w:t>
            </w:r>
            <w:r>
              <w:rPr>
                <w:rFonts w:hint="eastAsia" w:cs="宋体"/>
                <w:color w:val="auto"/>
                <w:kern w:val="0"/>
                <w:szCs w:val="21"/>
                <w:highlight w:val="none"/>
                <w:lang w:eastAsia="zh-CN"/>
              </w:rPr>
              <w:t>》和</w:t>
            </w:r>
            <w:r>
              <w:rPr>
                <w:rFonts w:hint="default" w:ascii="Times New Roman" w:hAnsi="Times New Roman" w:eastAsia="宋体" w:cs="宋体"/>
                <w:color w:val="auto"/>
                <w:kern w:val="0"/>
                <w:szCs w:val="21"/>
                <w:highlight w:val="none"/>
              </w:rPr>
              <w:t>全省生态环境总体准入要求</w:t>
            </w:r>
            <w:r>
              <w:rPr>
                <w:rFonts w:hint="eastAsia" w:cs="宋体"/>
                <w:color w:val="auto"/>
                <w:kern w:val="0"/>
                <w:szCs w:val="21"/>
                <w:highlight w:val="none"/>
                <w:lang w:eastAsia="zh-CN"/>
              </w:rPr>
              <w:t>，以及</w:t>
            </w:r>
            <w:r>
              <w:rPr>
                <w:rFonts w:hint="default" w:ascii="Times New Roman" w:hAnsi="Times New Roman" w:eastAsia="宋体" w:cs="宋体"/>
                <w:color w:val="auto"/>
                <w:kern w:val="0"/>
                <w:szCs w:val="21"/>
                <w:highlight w:val="none"/>
              </w:rPr>
              <w:t>《福州市人民政府关于实施“三线一单”生态分区管控的通知》</w:t>
            </w:r>
            <w:r>
              <w:rPr>
                <w:rFonts w:hint="eastAsia" w:cs="宋体"/>
                <w:color w:val="auto"/>
                <w:kern w:val="0"/>
                <w:szCs w:val="21"/>
                <w:highlight w:val="none"/>
                <w:lang w:eastAsia="zh-CN"/>
              </w:rPr>
              <w:t>（</w:t>
            </w:r>
            <w:r>
              <w:rPr>
                <w:rFonts w:hint="default" w:ascii="Times New Roman" w:hAnsi="Times New Roman" w:eastAsia="宋体" w:cs="宋体"/>
                <w:color w:val="auto"/>
                <w:kern w:val="0"/>
                <w:szCs w:val="21"/>
                <w:highlight w:val="none"/>
              </w:rPr>
              <w:t>榕政综〔2021〕178号</w:t>
            </w:r>
            <w:r>
              <w:rPr>
                <w:rFonts w:hint="eastAsia" w:cs="宋体"/>
                <w:color w:val="auto"/>
                <w:kern w:val="0"/>
                <w:szCs w:val="21"/>
                <w:highlight w:val="none"/>
                <w:lang w:eastAsia="zh-CN"/>
              </w:rPr>
              <w:t>）</w:t>
            </w:r>
            <w:r>
              <w:rPr>
                <w:rFonts w:hint="default" w:ascii="Times New Roman" w:hAnsi="Times New Roman" w:eastAsia="宋体" w:cs="宋体"/>
                <w:color w:val="auto"/>
                <w:kern w:val="0"/>
                <w:szCs w:val="21"/>
                <w:highlight w:val="none"/>
              </w:rPr>
              <w:t>、《福州市生态环境准入清单</w:t>
            </w:r>
            <w:r>
              <w:rPr>
                <w:rFonts w:hint="eastAsia" w:cs="宋体"/>
                <w:color w:val="auto"/>
                <w:kern w:val="0"/>
                <w:szCs w:val="21"/>
                <w:highlight w:val="none"/>
                <w:lang w:eastAsia="zh-CN"/>
              </w:rPr>
              <w:t>（</w:t>
            </w:r>
            <w:r>
              <w:rPr>
                <w:rFonts w:hint="default" w:ascii="Times New Roman" w:hAnsi="Times New Roman" w:eastAsia="宋体" w:cs="宋体"/>
                <w:color w:val="auto"/>
                <w:kern w:val="0"/>
                <w:szCs w:val="21"/>
                <w:highlight w:val="none"/>
              </w:rPr>
              <w:t>2024版</w:t>
            </w:r>
            <w:r>
              <w:rPr>
                <w:rFonts w:hint="eastAsia" w:cs="宋体"/>
                <w:color w:val="auto"/>
                <w:kern w:val="0"/>
                <w:szCs w:val="21"/>
                <w:highlight w:val="none"/>
                <w:lang w:eastAsia="zh-CN"/>
              </w:rPr>
              <w:t>）</w:t>
            </w:r>
            <w:r>
              <w:rPr>
                <w:rFonts w:hint="default" w:ascii="Times New Roman" w:hAnsi="Times New Roman" w:eastAsia="宋体" w:cs="宋体"/>
                <w:color w:val="auto"/>
                <w:kern w:val="0"/>
                <w:szCs w:val="21"/>
                <w:highlight w:val="none"/>
              </w:rPr>
              <w:t>》的要求；不属于《市场准入负面清单》</w:t>
            </w:r>
            <w:r>
              <w:rPr>
                <w:rFonts w:hint="eastAsia" w:cs="宋体"/>
                <w:color w:val="auto"/>
                <w:kern w:val="0"/>
                <w:szCs w:val="21"/>
                <w:highlight w:val="none"/>
                <w:lang w:eastAsia="zh-CN"/>
              </w:rPr>
              <w:t>（</w:t>
            </w:r>
            <w:r>
              <w:rPr>
                <w:rFonts w:hint="default" w:ascii="Times New Roman" w:hAnsi="Times New Roman" w:eastAsia="宋体" w:cs="宋体"/>
                <w:color w:val="auto"/>
                <w:kern w:val="0"/>
                <w:szCs w:val="21"/>
                <w:highlight w:val="none"/>
              </w:rPr>
              <w:t>2025年版</w:t>
            </w:r>
            <w:r>
              <w:rPr>
                <w:rFonts w:hint="eastAsia" w:cs="宋体"/>
                <w:color w:val="auto"/>
                <w:kern w:val="0"/>
                <w:szCs w:val="21"/>
                <w:highlight w:val="none"/>
                <w:lang w:eastAsia="zh-CN"/>
              </w:rPr>
              <w:t>）</w:t>
            </w:r>
            <w:r>
              <w:rPr>
                <w:rFonts w:hint="default" w:ascii="Times New Roman" w:hAnsi="Times New Roman" w:eastAsia="宋体" w:cs="宋体"/>
                <w:color w:val="auto"/>
                <w:kern w:val="0"/>
                <w:szCs w:val="21"/>
                <w:highlight w:val="none"/>
              </w:rPr>
              <w:t>中禁止准入类的项目。</w:t>
            </w:r>
          </w:p>
          <w:p w14:paraId="4DA635B1">
            <w:pPr>
              <w:pStyle w:val="4"/>
              <w:bidi w:val="0"/>
              <w:ind w:left="720" w:leftChars="0" w:hanging="720" w:firstLineChars="0"/>
              <w:rPr>
                <w:rFonts w:hint="default" w:eastAsia="宋体"/>
                <w:color w:val="auto"/>
                <w:highlight w:val="none"/>
              </w:rPr>
            </w:pPr>
            <w:r>
              <w:rPr>
                <w:rFonts w:hint="default" w:eastAsia="宋体"/>
                <w:color w:val="auto"/>
                <w:highlight w:val="none"/>
              </w:rPr>
              <w:t>与</w:t>
            </w:r>
            <w:r>
              <w:rPr>
                <w:rFonts w:hint="eastAsia"/>
                <w:color w:val="auto"/>
                <w:highlight w:val="none"/>
                <w:lang w:val="en-US" w:eastAsia="zh-CN"/>
              </w:rPr>
              <w:t>福建省</w:t>
            </w:r>
            <w:r>
              <w:rPr>
                <w:rFonts w:hint="default" w:eastAsia="宋体"/>
                <w:color w:val="auto"/>
                <w:highlight w:val="none"/>
              </w:rPr>
              <w:t>生态环境分区管控的要求符合性分析</w:t>
            </w:r>
          </w:p>
          <w:p w14:paraId="69515DF1">
            <w:pPr>
              <w:pStyle w:val="46"/>
              <w:ind w:firstLine="480"/>
              <w:rPr>
                <w:rFonts w:hint="eastAsia" w:ascii="Times New Roman" w:hAnsi="Times New Roman" w:eastAsia="宋体" w:cs="宋体"/>
                <w:color w:val="auto"/>
                <w:kern w:val="0"/>
                <w:szCs w:val="21"/>
                <w:highlight w:val="none"/>
                <w:lang w:val="en-US" w:eastAsia="zh-CN"/>
              </w:rPr>
            </w:pPr>
            <w:r>
              <w:rPr>
                <w:rFonts w:hint="eastAsia"/>
                <w:color w:val="auto"/>
                <w:kern w:val="0"/>
                <w:szCs w:val="21"/>
                <w:highlight w:val="none"/>
              </w:rPr>
              <w:t>根据《福州市人民政府办公厅关于印发福州市生态环境分区管控方案</w:t>
            </w:r>
            <w:r>
              <w:rPr>
                <w:rFonts w:hint="eastAsia"/>
                <w:color w:val="auto"/>
                <w:kern w:val="0"/>
                <w:szCs w:val="21"/>
                <w:highlight w:val="none"/>
                <w:lang w:eastAsia="zh-CN"/>
              </w:rPr>
              <w:t>（</w:t>
            </w:r>
            <w:r>
              <w:rPr>
                <w:rFonts w:hint="eastAsia"/>
                <w:color w:val="auto"/>
                <w:kern w:val="0"/>
                <w:szCs w:val="21"/>
                <w:highlight w:val="none"/>
              </w:rPr>
              <w:t>2023年更新</w:t>
            </w:r>
            <w:r>
              <w:rPr>
                <w:rFonts w:hint="eastAsia"/>
                <w:color w:val="auto"/>
                <w:kern w:val="0"/>
                <w:szCs w:val="21"/>
                <w:highlight w:val="none"/>
                <w:lang w:eastAsia="zh-CN"/>
              </w:rPr>
              <w:t>）的通知》（</w:t>
            </w:r>
            <w:r>
              <w:rPr>
                <w:rFonts w:hint="eastAsia"/>
                <w:color w:val="auto"/>
                <w:kern w:val="0"/>
                <w:szCs w:val="21"/>
                <w:highlight w:val="none"/>
              </w:rPr>
              <w:t>榕政办规</w:t>
            </w:r>
            <w:r>
              <w:rPr>
                <w:rFonts w:hint="eastAsia"/>
                <w:color w:val="auto"/>
                <w:kern w:val="0"/>
                <w:szCs w:val="21"/>
                <w:highlight w:val="none"/>
                <w:lang w:eastAsia="zh-CN"/>
              </w:rPr>
              <w:t>〔2024〕20号）</w:t>
            </w:r>
            <w:r>
              <w:rPr>
                <w:rFonts w:hint="eastAsia"/>
                <w:color w:val="auto"/>
                <w:kern w:val="0"/>
                <w:szCs w:val="21"/>
                <w:highlight w:val="none"/>
              </w:rPr>
              <w:t>及</w:t>
            </w:r>
            <w:r>
              <w:rPr>
                <w:rFonts w:hint="eastAsia"/>
                <w:color w:val="auto"/>
                <w:sz w:val="24"/>
                <w:szCs w:val="24"/>
                <w:lang w:val="en-US" w:eastAsia="zh-CN"/>
              </w:rPr>
              <w:t>福建省生态环境分区管控综合查询报告</w:t>
            </w:r>
            <w:r>
              <w:rPr>
                <w:rFonts w:hint="eastAsia"/>
                <w:color w:val="auto"/>
                <w:kern w:val="0"/>
                <w:szCs w:val="21"/>
                <w:highlight w:val="none"/>
                <w:shd w:val="clear"/>
              </w:rPr>
              <w:t>（附件</w:t>
            </w:r>
            <w:r>
              <w:rPr>
                <w:rFonts w:hint="eastAsia"/>
                <w:color w:val="auto"/>
                <w:kern w:val="0"/>
                <w:szCs w:val="21"/>
                <w:highlight w:val="none"/>
                <w:shd w:val="clear"/>
                <w:lang w:val="en-US" w:eastAsia="zh-CN"/>
              </w:rPr>
              <w:t>5</w:t>
            </w:r>
            <w:r>
              <w:rPr>
                <w:rFonts w:hint="eastAsia"/>
                <w:color w:val="auto"/>
                <w:kern w:val="0"/>
                <w:szCs w:val="21"/>
                <w:highlight w:val="none"/>
                <w:shd w:val="clear"/>
              </w:rPr>
              <w:t>）</w:t>
            </w:r>
            <w:r>
              <w:rPr>
                <w:rFonts w:hint="eastAsia"/>
                <w:color w:val="auto"/>
                <w:kern w:val="0"/>
                <w:szCs w:val="21"/>
                <w:highlight w:val="none"/>
              </w:rPr>
              <w:t>，本项目所在地管控单位类别为重点管控单元（环境管控单元编码：</w:t>
            </w:r>
            <w:r>
              <w:rPr>
                <w:rFonts w:hint="eastAsia"/>
                <w:color w:val="auto"/>
                <w:kern w:val="0"/>
                <w:szCs w:val="21"/>
                <w:highlight w:val="none"/>
                <w:lang w:val="en-US" w:eastAsia="zh-CN"/>
              </w:rPr>
              <w:t>ZH35012320011</w:t>
            </w:r>
            <w:r>
              <w:rPr>
                <w:rFonts w:hint="eastAsia"/>
                <w:color w:val="auto"/>
                <w:kern w:val="0"/>
                <w:szCs w:val="21"/>
                <w:highlight w:val="none"/>
              </w:rPr>
              <w:t>），空间布局约束管控要求。</w:t>
            </w:r>
            <w:r>
              <w:rPr>
                <w:rFonts w:hint="default" w:ascii="Times New Roman" w:hAnsi="Times New Roman" w:eastAsia="宋体" w:cs="宋体"/>
                <w:color w:val="auto"/>
                <w:kern w:val="0"/>
                <w:szCs w:val="21"/>
                <w:highlight w:val="none"/>
              </w:rPr>
              <w:t>项目位于</w:t>
            </w:r>
            <w:r>
              <w:rPr>
                <w:rFonts w:hint="eastAsia" w:cs="宋体"/>
                <w:color w:val="auto"/>
                <w:kern w:val="0"/>
                <w:sz w:val="24"/>
                <w:szCs w:val="20"/>
                <w:highlight w:val="none"/>
                <w:shd w:val="clear"/>
                <w:lang w:val="zh-CN" w:eastAsia="zh-CN" w:bidi="ar-SA"/>
              </w:rPr>
              <w:t>福建省福州市罗源县凤山镇东大新村3号（2#楼、负压病房大楼以及1#楼1-3层）</w:t>
            </w:r>
            <w:r>
              <w:rPr>
                <w:rFonts w:hint="default" w:ascii="Times New Roman" w:hAnsi="Times New Roman" w:eastAsia="宋体" w:cs="宋体"/>
                <w:color w:val="auto"/>
                <w:kern w:val="0"/>
                <w:szCs w:val="21"/>
                <w:highlight w:val="none"/>
              </w:rPr>
              <w:t>，属于</w:t>
            </w:r>
            <w:r>
              <w:rPr>
                <w:rFonts w:hint="eastAsia" w:cs="宋体"/>
                <w:color w:val="auto"/>
                <w:kern w:val="0"/>
                <w:szCs w:val="21"/>
                <w:highlight w:val="none"/>
                <w:lang w:val="en-US" w:eastAsia="zh-CN"/>
              </w:rPr>
              <w:t>卫生医疗用地</w:t>
            </w:r>
            <w:r>
              <w:rPr>
                <w:rFonts w:hint="eastAsia" w:ascii="Times New Roman" w:hAnsi="Times New Roman" w:eastAsia="宋体" w:cs="宋体"/>
                <w:color w:val="auto"/>
                <w:kern w:val="0"/>
                <w:szCs w:val="21"/>
                <w:highlight w:val="none"/>
                <w:lang w:val="en-US" w:eastAsia="zh-CN"/>
              </w:rPr>
              <w:t>，</w:t>
            </w:r>
            <w:r>
              <w:rPr>
                <w:rFonts w:hint="eastAsia" w:cs="宋体"/>
                <w:color w:val="auto"/>
                <w:kern w:val="0"/>
                <w:szCs w:val="21"/>
                <w:highlight w:val="none"/>
                <w:lang w:val="en-US" w:eastAsia="zh-CN"/>
              </w:rPr>
              <w:t>属于“</w:t>
            </w:r>
            <w:r>
              <w:rPr>
                <w:rFonts w:hint="eastAsia"/>
                <w:color w:val="auto"/>
                <w:kern w:val="0"/>
                <w:szCs w:val="21"/>
                <w:highlight w:val="none"/>
                <w:lang w:val="en-US" w:eastAsia="zh-CN"/>
              </w:rPr>
              <w:t>四十九、108医院”中的“其他（20张床位以下的除外）”</w:t>
            </w:r>
            <w:r>
              <w:rPr>
                <w:rFonts w:hint="default" w:ascii="Times New Roman" w:hAnsi="Times New Roman" w:eastAsia="宋体" w:cs="宋体"/>
                <w:color w:val="auto"/>
                <w:kern w:val="0"/>
                <w:szCs w:val="21"/>
                <w:highlight w:val="none"/>
              </w:rPr>
              <w:t>。项目</w:t>
            </w:r>
            <w:r>
              <w:rPr>
                <w:rFonts w:hint="eastAsia" w:ascii="Times New Roman" w:hAnsi="Times New Roman" w:eastAsia="宋体" w:cs="宋体"/>
                <w:snapToGrid w:val="0"/>
                <w:color w:val="auto"/>
                <w:kern w:val="18"/>
                <w:sz w:val="24"/>
                <w:szCs w:val="20"/>
                <w:u w:val="none"/>
                <w:shd w:val="clear"/>
                <w:lang w:val="en-US" w:eastAsia="zh-CN" w:bidi="ar-SA"/>
              </w:rPr>
              <w:t>生活污水</w:t>
            </w:r>
            <w:r>
              <w:rPr>
                <w:rFonts w:hint="eastAsia" w:ascii="Times New Roman" w:hAnsi="Times New Roman" w:cs="宋体"/>
                <w:snapToGrid w:val="0"/>
                <w:color w:val="auto"/>
                <w:kern w:val="18"/>
                <w:sz w:val="24"/>
                <w:szCs w:val="20"/>
                <w:u w:val="none"/>
                <w:shd w:val="clear"/>
                <w:lang w:val="en-US" w:eastAsia="zh-CN" w:bidi="ar-SA"/>
              </w:rPr>
              <w:t>、医疗废水经过</w:t>
            </w:r>
            <w:r>
              <w:rPr>
                <w:rFonts w:hint="eastAsia" w:ascii="Times New Roman" w:hAnsi="Times New Roman" w:eastAsia="宋体" w:cs="宋体"/>
                <w:snapToGrid w:val="0"/>
                <w:color w:val="auto"/>
                <w:kern w:val="18"/>
                <w:sz w:val="24"/>
                <w:szCs w:val="20"/>
                <w:u w:val="none"/>
                <w:shd w:val="clear"/>
                <w:lang w:val="en-US" w:eastAsia="zh-CN" w:bidi="ar-SA"/>
              </w:rPr>
              <w:t>化粪池</w:t>
            </w:r>
            <w:r>
              <w:rPr>
                <w:rFonts w:hint="eastAsia" w:ascii="Times New Roman" w:hAnsi="Times New Roman" w:cs="宋体"/>
                <w:snapToGrid w:val="0"/>
                <w:color w:val="auto"/>
                <w:kern w:val="18"/>
                <w:sz w:val="24"/>
                <w:szCs w:val="20"/>
                <w:u w:val="none"/>
                <w:shd w:val="clear"/>
                <w:lang w:val="en-US" w:eastAsia="zh-CN" w:bidi="ar-SA"/>
              </w:rPr>
              <w:t>预</w:t>
            </w:r>
            <w:r>
              <w:rPr>
                <w:rFonts w:hint="eastAsia" w:ascii="Times New Roman" w:hAnsi="Times New Roman" w:eastAsia="宋体" w:cs="宋体"/>
                <w:snapToGrid w:val="0"/>
                <w:color w:val="auto"/>
                <w:kern w:val="18"/>
                <w:sz w:val="24"/>
                <w:szCs w:val="20"/>
                <w:u w:val="none"/>
                <w:shd w:val="clear"/>
                <w:lang w:val="en-US" w:eastAsia="zh-CN" w:bidi="ar-SA"/>
              </w:rPr>
              <w:t>处理</w:t>
            </w:r>
            <w:r>
              <w:rPr>
                <w:rFonts w:hint="eastAsia" w:cs="宋体"/>
                <w:snapToGrid w:val="0"/>
                <w:color w:val="auto"/>
                <w:kern w:val="18"/>
                <w:sz w:val="24"/>
                <w:szCs w:val="20"/>
                <w:u w:val="none"/>
                <w:shd w:val="clear"/>
                <w:lang w:val="en-US" w:eastAsia="zh-CN" w:bidi="ar-SA"/>
              </w:rPr>
              <w:t>，再</w:t>
            </w:r>
            <w:r>
              <w:rPr>
                <w:rFonts w:hint="eastAsia" w:ascii="Times New Roman" w:hAnsi="Times New Roman" w:cs="宋体"/>
                <w:snapToGrid w:val="0"/>
                <w:color w:val="auto"/>
                <w:kern w:val="18"/>
                <w:sz w:val="24"/>
                <w:szCs w:val="20"/>
                <w:u w:val="none"/>
                <w:shd w:val="clear"/>
                <w:lang w:val="en-US" w:eastAsia="zh-CN" w:bidi="ar-SA"/>
              </w:rPr>
              <w:t>经过污水处理设施处理</w:t>
            </w:r>
            <w:r>
              <w:rPr>
                <w:rFonts w:hint="eastAsia" w:cs="宋体"/>
                <w:snapToGrid w:val="0"/>
                <w:color w:val="auto"/>
                <w:kern w:val="18"/>
                <w:sz w:val="24"/>
                <w:szCs w:val="20"/>
                <w:u w:val="none"/>
                <w:shd w:val="clear"/>
                <w:lang w:val="en-US" w:eastAsia="zh-CN" w:bidi="ar-SA"/>
              </w:rPr>
              <w:t>，</w:t>
            </w:r>
            <w:r>
              <w:rPr>
                <w:rFonts w:hint="eastAsia" w:ascii="Times New Roman" w:hAnsi="Times New Roman" w:eastAsia="宋体" w:cs="宋体"/>
                <w:snapToGrid w:val="0"/>
                <w:color w:val="auto"/>
                <w:kern w:val="18"/>
                <w:sz w:val="24"/>
                <w:szCs w:val="20"/>
                <w:u w:val="none"/>
                <w:shd w:val="clear"/>
                <w:lang w:val="en-US" w:eastAsia="zh-CN" w:bidi="ar-SA"/>
              </w:rPr>
              <w:t>进入市政污水管网，最终排入</w:t>
            </w:r>
            <w:r>
              <w:rPr>
                <w:rFonts w:hint="eastAsia" w:ascii="Times New Roman" w:hAnsi="Times New Roman" w:cs="宋体"/>
                <w:snapToGrid w:val="0"/>
                <w:color w:val="auto"/>
                <w:kern w:val="18"/>
                <w:sz w:val="24"/>
                <w:szCs w:val="20"/>
                <w:u w:val="none"/>
                <w:shd w:val="clear"/>
                <w:lang w:val="en-US" w:eastAsia="zh-CN" w:bidi="ar-SA"/>
              </w:rPr>
              <w:t>罗源城区污水处理厂</w:t>
            </w:r>
            <w:r>
              <w:rPr>
                <w:rFonts w:hint="eastAsia" w:ascii="Times New Roman" w:hAnsi="Times New Roman" w:eastAsia="宋体" w:cs="宋体"/>
                <w:snapToGrid w:val="0"/>
                <w:color w:val="auto"/>
                <w:kern w:val="18"/>
                <w:sz w:val="24"/>
                <w:szCs w:val="20"/>
                <w:u w:val="none"/>
                <w:shd w:val="clear"/>
                <w:lang w:val="en-US" w:eastAsia="zh-CN" w:bidi="ar-SA"/>
              </w:rPr>
              <w:t>统一处理后达标排放，</w:t>
            </w:r>
            <w:r>
              <w:rPr>
                <w:rFonts w:hint="default" w:ascii="Times New Roman" w:hAnsi="Times New Roman" w:eastAsia="宋体" w:cs="宋体"/>
                <w:color w:val="auto"/>
                <w:kern w:val="0"/>
                <w:szCs w:val="21"/>
                <w:highlight w:val="none"/>
              </w:rPr>
              <w:t>不属于以上约束管控的禁止项目，与生态环境准入条件不冲突。</w:t>
            </w:r>
          </w:p>
          <w:p w14:paraId="606B05FD">
            <w:pPr>
              <w:pStyle w:val="46"/>
              <w:ind w:firstLine="480"/>
              <w:rPr>
                <w:rFonts w:hint="eastAsia" w:eastAsia="宋体"/>
                <w:color w:val="auto"/>
                <w:kern w:val="0"/>
                <w:szCs w:val="21"/>
                <w:highlight w:val="none"/>
                <w:lang w:eastAsia="zh-CN"/>
              </w:rPr>
            </w:pPr>
            <w:r>
              <w:rPr>
                <w:rFonts w:hint="eastAsia"/>
                <w:color w:val="auto"/>
                <w:kern w:val="0"/>
                <w:szCs w:val="21"/>
                <w:highlight w:val="none"/>
                <w:lang w:eastAsia="zh-CN"/>
              </w:rPr>
              <w:t>（1）</w:t>
            </w:r>
            <w:r>
              <w:rPr>
                <w:rFonts w:hint="eastAsia"/>
                <w:color w:val="auto"/>
                <w:kern w:val="0"/>
                <w:szCs w:val="21"/>
                <w:highlight w:val="none"/>
              </w:rPr>
              <w:t>与</w:t>
            </w:r>
            <w:r>
              <w:rPr>
                <w:rFonts w:hint="eastAsia"/>
                <w:color w:val="auto"/>
                <w:kern w:val="0"/>
                <w:szCs w:val="21"/>
                <w:highlight w:val="none"/>
                <w:lang w:val="en-GB"/>
              </w:rPr>
              <w:t>《福建省人民政府关于实施“三线一单”生态环境分区管控的通知》</w:t>
            </w:r>
            <w:r>
              <w:rPr>
                <w:rFonts w:hint="eastAsia"/>
                <w:color w:val="auto"/>
                <w:kern w:val="0"/>
                <w:szCs w:val="21"/>
                <w:highlight w:val="none"/>
              </w:rPr>
              <w:t>符合性分析</w:t>
            </w:r>
          </w:p>
          <w:p w14:paraId="6B9FF40B">
            <w:pPr>
              <w:pStyle w:val="46"/>
              <w:ind w:firstLine="480"/>
              <w:rPr>
                <w:rFonts w:hint="default" w:ascii="Times New Roman" w:hAnsi="Times New Roman" w:eastAsia="宋体" w:cs="宋体"/>
                <w:color w:val="auto"/>
                <w:kern w:val="0"/>
                <w:szCs w:val="21"/>
                <w:highlight w:val="none"/>
                <w:lang w:val="en-US" w:eastAsia="zh-CN"/>
              </w:rPr>
            </w:pPr>
            <w:r>
              <w:rPr>
                <w:rFonts w:hint="eastAsia"/>
                <w:color w:val="auto"/>
                <w:kern w:val="0"/>
                <w:szCs w:val="21"/>
                <w:highlight w:val="none"/>
                <w:lang w:val="en-US" w:eastAsia="zh-CN"/>
              </w:rPr>
              <w:t>项目与</w:t>
            </w:r>
            <w:r>
              <w:rPr>
                <w:rFonts w:hint="eastAsia"/>
                <w:color w:val="auto"/>
                <w:kern w:val="0"/>
                <w:szCs w:val="21"/>
                <w:highlight w:val="none"/>
              </w:rPr>
              <w:t>《福建省人民政府关于实施“三线一单”生态环境分区管控的通知》</w:t>
            </w:r>
            <w:r>
              <w:rPr>
                <w:rFonts w:hint="eastAsia"/>
                <w:color w:val="auto"/>
                <w:kern w:val="0"/>
                <w:szCs w:val="21"/>
                <w:highlight w:val="none"/>
                <w:lang w:eastAsia="zh-CN"/>
              </w:rPr>
              <w:t>（</w:t>
            </w:r>
            <w:r>
              <w:rPr>
                <w:rFonts w:hint="eastAsia"/>
                <w:color w:val="auto"/>
                <w:kern w:val="0"/>
                <w:szCs w:val="21"/>
                <w:highlight w:val="none"/>
              </w:rPr>
              <w:t>闽政</w:t>
            </w:r>
            <w:r>
              <w:rPr>
                <w:rFonts w:hint="eastAsia"/>
                <w:color w:val="auto"/>
                <w:kern w:val="0"/>
                <w:szCs w:val="21"/>
                <w:highlight w:val="none"/>
                <w:lang w:eastAsia="zh-CN"/>
              </w:rPr>
              <w:t>〔2020〕12号）</w:t>
            </w:r>
            <w:r>
              <w:rPr>
                <w:rFonts w:hint="eastAsia"/>
                <w:color w:val="auto"/>
                <w:kern w:val="0"/>
                <w:szCs w:val="21"/>
                <w:highlight w:val="none"/>
              </w:rPr>
              <w:t>相关要求</w:t>
            </w:r>
            <w:r>
              <w:rPr>
                <w:rFonts w:hint="eastAsia"/>
                <w:color w:val="auto"/>
                <w:kern w:val="0"/>
                <w:szCs w:val="21"/>
                <w:highlight w:val="none"/>
                <w:lang w:val="en-US" w:eastAsia="zh-CN"/>
              </w:rPr>
              <w:t>符合性分析</w:t>
            </w:r>
            <w:r>
              <w:rPr>
                <w:rFonts w:hint="eastAsia"/>
                <w:color w:val="auto"/>
                <w:kern w:val="0"/>
                <w:szCs w:val="21"/>
                <w:highlight w:val="none"/>
              </w:rPr>
              <w:t>见</w:t>
            </w:r>
            <w:r>
              <w:rPr>
                <w:rFonts w:hint="eastAsia"/>
                <w:color w:val="auto"/>
                <w:kern w:val="0"/>
                <w:szCs w:val="21"/>
                <w:highlight w:val="none"/>
                <w:lang w:val="en-US" w:eastAsia="zh-CN"/>
              </w:rPr>
              <w:t>下表。</w:t>
            </w:r>
          </w:p>
          <w:p w14:paraId="3C3FD174">
            <w:pPr>
              <w:pStyle w:val="44"/>
              <w:keepNext w:val="0"/>
              <w:keepLines w:val="0"/>
              <w:pageBreakBefore w:val="0"/>
              <w:widowControl w:val="0"/>
              <w:suppressLineNumbers w:val="0"/>
              <w:tabs>
                <w:tab w:val="left" w:pos="0"/>
                <w:tab w:val="clear" w:pos="420"/>
              </w:tabs>
              <w:kinsoku/>
              <w:wordWrap/>
              <w:overflowPunct/>
              <w:topLinePunct w:val="0"/>
              <w:autoSpaceDE/>
              <w:autoSpaceDN/>
              <w:bidi w:val="0"/>
              <w:adjustRightInd/>
              <w:snapToGrid/>
              <w:spacing w:beforeAutospacing="0" w:after="0" w:afterAutospacing="0"/>
              <w:ind w:left="210" w:leftChars="0" w:right="0" w:firstLineChars="0"/>
              <w:jc w:val="center"/>
              <w:textAlignment w:val="auto"/>
              <w:rPr>
                <w:rFonts w:hint="eastAsia" w:ascii="Times New Roman" w:hAnsi="Times New Roman" w:eastAsia="宋体" w:cs="宋体"/>
                <w:color w:val="auto"/>
                <w:lang w:eastAsia="zh-CN"/>
              </w:rPr>
            </w:pPr>
            <w:r>
              <w:rPr>
                <w:rFonts w:hint="eastAsia" w:ascii="Times New Roman" w:hAnsi="Times New Roman" w:eastAsia="宋体" w:cs="宋体"/>
                <w:color w:val="auto"/>
                <w:lang w:eastAsia="zh-CN"/>
              </w:rPr>
              <w:t>与全省生态环境总体准入要求的符合性分析</w:t>
            </w:r>
          </w:p>
          <w:tbl>
            <w:tblPr>
              <w:tblStyle w:val="34"/>
              <w:tblW w:w="0" w:type="auto"/>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57" w:type="dxa"/>
                <w:bottom w:w="0" w:type="dxa"/>
                <w:right w:w="57" w:type="dxa"/>
              </w:tblCellMar>
            </w:tblPr>
            <w:tblGrid>
              <w:gridCol w:w="691"/>
              <w:gridCol w:w="324"/>
              <w:gridCol w:w="3636"/>
              <w:gridCol w:w="1727"/>
              <w:gridCol w:w="662"/>
            </w:tblGrid>
            <w:tr w14:paraId="35CDD0F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69" w:hRule="atLeast"/>
                <w:jc w:val="center"/>
              </w:trPr>
              <w:tc>
                <w:tcPr>
                  <w:tcW w:w="691" w:type="dxa"/>
                  <w:tcBorders>
                    <w:bottom w:val="single" w:color="000000" w:sz="12" w:space="0"/>
                  </w:tcBorders>
                  <w:noWrap w:val="0"/>
                  <w:vAlign w:val="center"/>
                </w:tcPr>
                <w:p w14:paraId="74E659AC">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适用范围</w:t>
                  </w:r>
                </w:p>
              </w:tc>
              <w:tc>
                <w:tcPr>
                  <w:tcW w:w="3960" w:type="dxa"/>
                  <w:gridSpan w:val="2"/>
                  <w:tcBorders>
                    <w:bottom w:val="single" w:color="000000" w:sz="12" w:space="0"/>
                  </w:tcBorders>
                  <w:noWrap w:val="0"/>
                  <w:vAlign w:val="center"/>
                </w:tcPr>
                <w:p w14:paraId="3383B81D">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准入要求</w:t>
                  </w:r>
                </w:p>
              </w:tc>
              <w:tc>
                <w:tcPr>
                  <w:tcW w:w="1727" w:type="dxa"/>
                  <w:tcBorders>
                    <w:bottom w:val="single" w:color="000000" w:sz="12" w:space="0"/>
                  </w:tcBorders>
                  <w:noWrap w:val="0"/>
                  <w:vAlign w:val="center"/>
                </w:tcPr>
                <w:p w14:paraId="6AA09C47">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本项目情况</w:t>
                  </w:r>
                </w:p>
              </w:tc>
              <w:tc>
                <w:tcPr>
                  <w:tcW w:w="662" w:type="dxa"/>
                  <w:tcBorders>
                    <w:bottom w:val="single" w:color="000000" w:sz="12" w:space="0"/>
                  </w:tcBorders>
                  <w:noWrap w:val="0"/>
                  <w:vAlign w:val="center"/>
                </w:tcPr>
                <w:p w14:paraId="0E36602E">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符合性</w:t>
                  </w:r>
                </w:p>
              </w:tc>
            </w:tr>
            <w:tr w14:paraId="700F39B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69" w:hRule="atLeast"/>
                <w:jc w:val="center"/>
              </w:trPr>
              <w:tc>
                <w:tcPr>
                  <w:tcW w:w="691" w:type="dxa"/>
                  <w:vMerge w:val="restart"/>
                  <w:tcBorders>
                    <w:top w:val="single" w:color="000000" w:sz="12" w:space="0"/>
                  </w:tcBorders>
                  <w:noWrap w:val="0"/>
                  <w:vAlign w:val="center"/>
                </w:tcPr>
                <w:p w14:paraId="3F44E4A7">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全省陆域</w:t>
                  </w:r>
                </w:p>
              </w:tc>
              <w:tc>
                <w:tcPr>
                  <w:tcW w:w="324" w:type="dxa"/>
                  <w:tcBorders>
                    <w:top w:val="single" w:color="000000" w:sz="12" w:space="0"/>
                  </w:tcBorders>
                  <w:noWrap w:val="0"/>
                  <w:vAlign w:val="center"/>
                </w:tcPr>
                <w:p w14:paraId="1CD6CB3F">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空间布局约束</w:t>
                  </w:r>
                </w:p>
              </w:tc>
              <w:tc>
                <w:tcPr>
                  <w:tcW w:w="3636" w:type="dxa"/>
                  <w:tcBorders>
                    <w:top w:val="single" w:color="000000" w:sz="12" w:space="0"/>
                  </w:tcBorders>
                  <w:noWrap w:val="0"/>
                  <w:vAlign w:val="center"/>
                </w:tcPr>
                <w:p w14:paraId="6C89B961">
                  <w:pPr>
                    <w:rPr>
                      <w:rFonts w:hint="eastAsia"/>
                      <w:vertAlign w:val="baseline"/>
                      <w:lang w:val="en-US" w:eastAsia="zh-CN"/>
                    </w:rPr>
                  </w:pPr>
                  <w:r>
                    <w:rPr>
                      <w:rFonts w:hint="eastAsia"/>
                      <w:vertAlign w:val="baseline"/>
                      <w:lang w:val="en-US" w:eastAsia="zh-CN"/>
                    </w:rPr>
                    <w:t>1.石化、汽车、船舶、冶金、水泥、制浆造纸、印染等重点产业，要符合全省规划布局要求。</w:t>
                  </w:r>
                </w:p>
                <w:p w14:paraId="150122DE">
                  <w:pPr>
                    <w:rPr>
                      <w:rFonts w:hint="eastAsia"/>
                      <w:vertAlign w:val="baseline"/>
                      <w:lang w:val="en-US" w:eastAsia="zh-CN"/>
                    </w:rPr>
                  </w:pPr>
                  <w:r>
                    <w:rPr>
                      <w:rFonts w:hint="eastAsia"/>
                      <w:vertAlign w:val="baseline"/>
                      <w:lang w:val="en-US" w:eastAsia="zh-CN"/>
                    </w:rPr>
                    <w:t>2.严控钢铁、水泥、平板玻璃等产能过剩行业新增产能，新增产能应实施产能等量或减量置换。</w:t>
                  </w:r>
                </w:p>
                <w:p w14:paraId="61B75E14">
                  <w:pPr>
                    <w:rPr>
                      <w:rFonts w:hint="eastAsia"/>
                      <w:vertAlign w:val="baseline"/>
                      <w:lang w:val="en-US" w:eastAsia="zh-CN"/>
                    </w:rPr>
                  </w:pPr>
                  <w:r>
                    <w:rPr>
                      <w:rFonts w:hint="eastAsia"/>
                      <w:vertAlign w:val="baseline"/>
                      <w:lang w:val="en-US" w:eastAsia="zh-CN"/>
                    </w:rPr>
                    <w:t>3.除列入国家规划的大型煤电和符合相关要求的等容量替代项目，以及以供热为主的热电联产项目外，原则上不再建设新的煤电项目。</w:t>
                  </w:r>
                </w:p>
                <w:p w14:paraId="3FA877D3">
                  <w:pPr>
                    <w:rPr>
                      <w:rFonts w:hint="eastAsia"/>
                      <w:vertAlign w:val="baseline"/>
                      <w:lang w:val="en-US" w:eastAsia="zh-CN"/>
                    </w:rPr>
                  </w:pPr>
                  <w:r>
                    <w:rPr>
                      <w:rFonts w:hint="eastAsia"/>
                      <w:vertAlign w:val="baseline"/>
                      <w:lang w:val="en-US" w:eastAsia="zh-CN"/>
                    </w:rPr>
                    <w:t>4.氟化工产业应集中布局在《关于促进我省氟化工产业绿色高效发展的若干意见》中确定的园区，在上述园区之外不再新建氟化工项目，园区之外现有氟化工项目不再扩大规模。</w:t>
                  </w:r>
                </w:p>
                <w:p w14:paraId="6DAEF9AD">
                  <w:pPr>
                    <w:rPr>
                      <w:rFonts w:hint="eastAsia"/>
                      <w:vertAlign w:val="baseline"/>
                      <w:lang w:val="en-US" w:eastAsia="zh-CN"/>
                    </w:rPr>
                  </w:pPr>
                  <w:r>
                    <w:rPr>
                      <w:rFonts w:hint="eastAsia"/>
                      <w:vertAlign w:val="baseline"/>
                      <w:lang w:val="en-US" w:eastAsia="zh-CN"/>
                    </w:rPr>
                    <w:t>5.禁止在水环境质量不能稳定达标的区域内，建设新增相应不达标污染物指标排放量的工业项目。</w:t>
                  </w:r>
                </w:p>
                <w:p w14:paraId="13CB05AC">
                  <w:pPr>
                    <w:rPr>
                      <w:rFonts w:hint="eastAsia"/>
                      <w:vertAlign w:val="baseline"/>
                      <w:lang w:val="en-US" w:eastAsia="zh-CN"/>
                    </w:rPr>
                  </w:pPr>
                  <w:r>
                    <w:rPr>
                      <w:rFonts w:hint="eastAsia"/>
                      <w:vertAlign w:val="baseline"/>
                      <w:lang w:val="en-US" w:eastAsia="zh-CN"/>
                    </w:rPr>
                    <w:t>6.禁止在通风廊道和主导风向的上风向布局大气重污染企业，推进建成区大气重污染企业搬迁或升级改造、环境风险企业搬迁或关闭退出。</w:t>
                  </w:r>
                </w:p>
                <w:p w14:paraId="7D0DF2F5">
                  <w:pPr>
                    <w:rPr>
                      <w:rFonts w:hint="default" w:ascii="Times New Roman" w:hAnsi="Times New Roman" w:eastAsia="宋体" w:cs="Times New Roman"/>
                      <w:color w:val="auto"/>
                      <w:sz w:val="21"/>
                      <w:szCs w:val="21"/>
                    </w:rPr>
                  </w:pPr>
                  <w:r>
                    <w:rPr>
                      <w:rFonts w:hint="eastAsia"/>
                      <w:vertAlign w:val="baseline"/>
                      <w:lang w:val="en-US" w:eastAsia="zh-CN"/>
                    </w:rPr>
                    <w:t>7.新建、扩建的涉及重点重金属污染物［1］的有色金属冶炼、电镀、制革、铅蓄电池制造企业布局应符合《福建省进一步加强重金属污染防控实施方案》（闽环保固体〔2022〕17号）要求。禁止低端落后产能向闽江中上游地区、九起步溪北溪江东北引桥闸以上、西溪桥闸以上流域、晋江流域上游转移。禁止新建用汞的电石法（聚）氯乙烯生产工艺。</w:t>
                  </w:r>
                </w:p>
              </w:tc>
              <w:tc>
                <w:tcPr>
                  <w:tcW w:w="1727" w:type="dxa"/>
                  <w:tcBorders>
                    <w:top w:val="single" w:color="000000" w:sz="12" w:space="0"/>
                  </w:tcBorders>
                  <w:noWrap w:val="0"/>
                  <w:vAlign w:val="center"/>
                </w:tcPr>
                <w:p w14:paraId="2A5302C7">
                  <w:pPr>
                    <w:pBdr>
                      <w:top w:val="none" w:color="auto" w:sz="0" w:space="1"/>
                      <w:left w:val="none" w:color="auto" w:sz="0" w:space="4"/>
                      <w:bottom w:val="none" w:color="auto" w:sz="0" w:space="1"/>
                      <w:right w:val="none" w:color="auto" w:sz="0" w:space="4"/>
                    </w:pBdr>
                    <w:spacing w:line="340" w:lineRule="exact"/>
                    <w:jc w:val="left"/>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w:t>
                  </w:r>
                  <w:r>
                    <w:rPr>
                      <w:rFonts w:hint="eastAsia" w:ascii="Times New Roman" w:hAnsi="Times New Roman" w:eastAsia="宋体" w:cs="Times New Roman"/>
                      <w:color w:val="auto"/>
                      <w:sz w:val="21"/>
                      <w:szCs w:val="21"/>
                      <w:lang w:val="en-US" w:eastAsia="zh-CN"/>
                    </w:rPr>
                    <w:t>项目不属于</w:t>
                  </w:r>
                  <w:r>
                    <w:rPr>
                      <w:rFonts w:hint="default" w:ascii="Times New Roman" w:hAnsi="Times New Roman" w:eastAsia="宋体" w:cs="Times New Roman"/>
                      <w:color w:val="auto"/>
                      <w:sz w:val="21"/>
                      <w:szCs w:val="21"/>
                    </w:rPr>
                    <w:t>石化、汽车、船舶、冶金、水泥、制浆造纸、印染</w:t>
                  </w:r>
                  <w:r>
                    <w:rPr>
                      <w:rFonts w:hint="eastAsia" w:ascii="Times New Roman" w:hAnsi="Times New Roman" w:eastAsia="宋体" w:cs="Times New Roman"/>
                      <w:color w:val="auto"/>
                      <w:sz w:val="21"/>
                      <w:szCs w:val="21"/>
                      <w:lang w:val="en-US" w:eastAsia="zh-CN"/>
                    </w:rPr>
                    <w:t>等产业。</w:t>
                  </w:r>
                </w:p>
                <w:p w14:paraId="3412659D">
                  <w:pPr>
                    <w:pBdr>
                      <w:top w:val="none" w:color="auto" w:sz="0" w:space="1"/>
                      <w:left w:val="none" w:color="auto" w:sz="0" w:space="4"/>
                      <w:bottom w:val="none" w:color="auto" w:sz="0" w:space="1"/>
                      <w:right w:val="none" w:color="auto" w:sz="0" w:space="4"/>
                    </w:pBdr>
                    <w:spacing w:line="340" w:lineRule="exact"/>
                    <w:jc w:val="left"/>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2.</w:t>
                  </w:r>
                  <w:r>
                    <w:rPr>
                      <w:rFonts w:hint="eastAsia" w:ascii="Times New Roman" w:hAnsi="Times New Roman" w:eastAsia="宋体" w:cs="Times New Roman"/>
                      <w:color w:val="auto"/>
                      <w:sz w:val="21"/>
                      <w:szCs w:val="21"/>
                      <w:lang w:val="en-US" w:eastAsia="zh-CN"/>
                    </w:rPr>
                    <w:t>项目不属于</w:t>
                  </w:r>
                  <w:r>
                    <w:rPr>
                      <w:rFonts w:hint="default" w:ascii="Times New Roman" w:hAnsi="Times New Roman" w:eastAsia="宋体" w:cs="Times New Roman"/>
                      <w:color w:val="auto"/>
                      <w:sz w:val="21"/>
                      <w:szCs w:val="21"/>
                    </w:rPr>
                    <w:t>钢铁、水泥、平板玻璃</w:t>
                  </w:r>
                  <w:r>
                    <w:rPr>
                      <w:rFonts w:hint="eastAsia" w:ascii="Times New Roman" w:hAnsi="Times New Roman" w:eastAsia="宋体" w:cs="Times New Roman"/>
                      <w:color w:val="auto"/>
                      <w:sz w:val="21"/>
                      <w:szCs w:val="21"/>
                      <w:lang w:val="en-US" w:eastAsia="zh-CN"/>
                    </w:rPr>
                    <w:t>等行业</w:t>
                  </w:r>
                  <w:r>
                    <w:rPr>
                      <w:rFonts w:hint="eastAsia" w:ascii="Times New Roman" w:hAnsi="Times New Roman" w:eastAsia="宋体" w:cs="Times New Roman"/>
                      <w:color w:val="auto"/>
                      <w:sz w:val="21"/>
                      <w:szCs w:val="21"/>
                      <w:lang w:eastAsia="zh-CN"/>
                    </w:rPr>
                    <w:t>。</w:t>
                  </w:r>
                </w:p>
                <w:p w14:paraId="08EB3BE4">
                  <w:pPr>
                    <w:pBdr>
                      <w:top w:val="none" w:color="auto" w:sz="0" w:space="1"/>
                      <w:left w:val="none" w:color="auto" w:sz="0" w:space="4"/>
                      <w:bottom w:val="none" w:color="auto" w:sz="0" w:space="1"/>
                      <w:right w:val="none" w:color="auto" w:sz="0" w:space="4"/>
                    </w:pBdr>
                    <w:spacing w:line="340" w:lineRule="exact"/>
                    <w:jc w:val="left"/>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3.</w:t>
                  </w:r>
                  <w:r>
                    <w:rPr>
                      <w:rFonts w:hint="eastAsia" w:ascii="Times New Roman" w:hAnsi="Times New Roman" w:eastAsia="宋体" w:cs="Times New Roman"/>
                      <w:color w:val="auto"/>
                      <w:sz w:val="21"/>
                      <w:szCs w:val="21"/>
                      <w:lang w:val="en-US" w:eastAsia="zh-CN"/>
                    </w:rPr>
                    <w:t>项目不属于</w:t>
                  </w:r>
                  <w:r>
                    <w:rPr>
                      <w:rFonts w:hint="default" w:ascii="Times New Roman" w:hAnsi="Times New Roman" w:eastAsia="宋体" w:cs="Times New Roman"/>
                      <w:color w:val="auto"/>
                      <w:sz w:val="21"/>
                      <w:szCs w:val="21"/>
                    </w:rPr>
                    <w:t>热电联产</w:t>
                  </w:r>
                  <w:r>
                    <w:rPr>
                      <w:rFonts w:hint="eastAsia"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煤电项目</w:t>
                  </w:r>
                  <w:r>
                    <w:rPr>
                      <w:rFonts w:hint="eastAsia" w:ascii="Times New Roman" w:hAnsi="Times New Roman" w:eastAsia="宋体" w:cs="Times New Roman"/>
                      <w:color w:val="auto"/>
                      <w:sz w:val="21"/>
                      <w:szCs w:val="21"/>
                      <w:lang w:eastAsia="zh-CN"/>
                    </w:rPr>
                    <w:t>。</w:t>
                  </w:r>
                </w:p>
                <w:p w14:paraId="190F816C">
                  <w:pPr>
                    <w:pBdr>
                      <w:top w:val="none" w:color="auto" w:sz="0" w:space="1"/>
                      <w:left w:val="none" w:color="auto" w:sz="0" w:space="4"/>
                      <w:bottom w:val="none" w:color="auto" w:sz="0" w:space="1"/>
                      <w:right w:val="none" w:color="auto" w:sz="0" w:space="4"/>
                    </w:pBdr>
                    <w:spacing w:line="340" w:lineRule="exact"/>
                    <w:jc w:val="left"/>
                    <w:rPr>
                      <w:rFonts w:hint="eastAsia" w:ascii="Times New Roman" w:hAnsi="Times New Roman" w:eastAsia="宋体" w:cs="Times New Roman"/>
                      <w:color w:val="auto"/>
                      <w:sz w:val="21"/>
                      <w:szCs w:val="21"/>
                      <w:lang w:eastAsia="zh-CN"/>
                    </w:rPr>
                  </w:pPr>
                  <w:r>
                    <w:rPr>
                      <w:rFonts w:hint="eastAsia" w:cs="Times New Roman"/>
                      <w:color w:val="auto"/>
                      <w:sz w:val="21"/>
                      <w:szCs w:val="21"/>
                      <w:lang w:val="en-US" w:eastAsia="zh-CN"/>
                    </w:rPr>
                    <w:t>4.</w:t>
                  </w:r>
                  <w:r>
                    <w:rPr>
                      <w:rFonts w:hint="eastAsia" w:ascii="Times New Roman" w:hAnsi="Times New Roman" w:eastAsia="宋体" w:cs="Times New Roman"/>
                      <w:color w:val="auto"/>
                      <w:sz w:val="21"/>
                      <w:szCs w:val="21"/>
                      <w:lang w:val="en-US" w:eastAsia="zh-CN"/>
                    </w:rPr>
                    <w:t>项目不属于</w:t>
                  </w:r>
                  <w:r>
                    <w:rPr>
                      <w:rFonts w:hint="default" w:ascii="Times New Roman" w:hAnsi="Times New Roman" w:eastAsia="宋体" w:cs="Times New Roman"/>
                      <w:color w:val="auto"/>
                      <w:sz w:val="21"/>
                      <w:szCs w:val="21"/>
                    </w:rPr>
                    <w:t>氟化工产业</w:t>
                  </w:r>
                  <w:r>
                    <w:rPr>
                      <w:rFonts w:hint="eastAsia" w:ascii="Times New Roman" w:hAnsi="Times New Roman" w:eastAsia="宋体" w:cs="Times New Roman"/>
                      <w:color w:val="auto"/>
                      <w:sz w:val="21"/>
                      <w:szCs w:val="21"/>
                      <w:lang w:eastAsia="zh-CN"/>
                    </w:rPr>
                    <w:t>。</w:t>
                  </w:r>
                </w:p>
                <w:p w14:paraId="0F1E5150">
                  <w:pPr>
                    <w:pBdr>
                      <w:top w:val="none" w:color="auto" w:sz="0" w:space="1"/>
                      <w:left w:val="none" w:color="auto" w:sz="0" w:space="4"/>
                      <w:bottom w:val="none" w:color="auto" w:sz="0" w:space="1"/>
                      <w:right w:val="none" w:color="auto" w:sz="0" w:space="4"/>
                    </w:pBdr>
                    <w:spacing w:line="340" w:lineRule="exact"/>
                    <w:jc w:val="left"/>
                    <w:rPr>
                      <w:rFonts w:hint="eastAsia" w:cs="Times New Roman"/>
                      <w:color w:val="auto"/>
                      <w:sz w:val="21"/>
                      <w:szCs w:val="21"/>
                      <w:lang w:val="en-US" w:eastAsia="zh-CN"/>
                    </w:rPr>
                  </w:pPr>
                  <w:r>
                    <w:rPr>
                      <w:rFonts w:hint="eastAsia" w:cs="Times New Roman"/>
                      <w:color w:val="auto"/>
                      <w:sz w:val="21"/>
                      <w:szCs w:val="21"/>
                      <w:lang w:val="en-US" w:eastAsia="zh-CN"/>
                    </w:rPr>
                    <w:t>5.</w:t>
                  </w:r>
                  <w:r>
                    <w:rPr>
                      <w:rFonts w:hint="default" w:ascii="Times New Roman" w:hAnsi="Times New Roman" w:eastAsia="宋体" w:cs="Times New Roman"/>
                      <w:color w:val="auto"/>
                      <w:sz w:val="21"/>
                      <w:szCs w:val="21"/>
                    </w:rPr>
                    <w:t>项目所在区域水环境质量能稳定达标排放，</w:t>
                  </w:r>
                  <w:r>
                    <w:rPr>
                      <w:rFonts w:hint="eastAsia" w:ascii="Times New Roman" w:hAnsi="Times New Roman" w:eastAsia="宋体" w:cs="Times New Roman"/>
                      <w:color w:val="auto"/>
                      <w:sz w:val="21"/>
                      <w:szCs w:val="21"/>
                      <w:lang w:val="en-US" w:eastAsia="zh-CN"/>
                    </w:rPr>
                    <w:t>项目生活污水、医疗废水经过化粪池预处理后</w:t>
                  </w:r>
                  <w:r>
                    <w:rPr>
                      <w:rFonts w:hint="eastAsia" w:cs="Times New Roman"/>
                      <w:color w:val="auto"/>
                      <w:sz w:val="21"/>
                      <w:szCs w:val="21"/>
                      <w:lang w:val="en-US" w:eastAsia="zh-CN"/>
                    </w:rPr>
                    <w:t>进入</w:t>
                  </w:r>
                  <w:r>
                    <w:rPr>
                      <w:rFonts w:hint="eastAsia" w:ascii="Times New Roman" w:hAnsi="Times New Roman" w:eastAsia="宋体" w:cs="Times New Roman"/>
                      <w:color w:val="auto"/>
                      <w:sz w:val="21"/>
                      <w:szCs w:val="21"/>
                      <w:lang w:val="en-US" w:eastAsia="zh-CN"/>
                    </w:rPr>
                    <w:t>污水处理设施处理</w:t>
                  </w:r>
                  <w:r>
                    <w:rPr>
                      <w:rFonts w:hint="eastAsia" w:cs="Times New Roman"/>
                      <w:color w:val="auto"/>
                      <w:sz w:val="21"/>
                      <w:szCs w:val="21"/>
                      <w:lang w:val="en-US" w:eastAsia="zh-CN"/>
                    </w:rPr>
                    <w:t>，再</w:t>
                  </w:r>
                  <w:r>
                    <w:rPr>
                      <w:rFonts w:hint="eastAsia" w:ascii="Times New Roman" w:hAnsi="Times New Roman" w:eastAsia="宋体" w:cs="Times New Roman"/>
                      <w:color w:val="auto"/>
                      <w:sz w:val="21"/>
                      <w:szCs w:val="21"/>
                      <w:lang w:val="en-US" w:eastAsia="zh-CN"/>
                    </w:rPr>
                    <w:t>进入市政污水管网，最终排入罗源城区污水处理厂统一处理后达标排放</w:t>
                  </w:r>
                  <w:r>
                    <w:rPr>
                      <w:rFonts w:hint="eastAsia" w:cs="Times New Roman"/>
                      <w:color w:val="auto"/>
                      <w:sz w:val="21"/>
                      <w:szCs w:val="21"/>
                      <w:lang w:val="en-US" w:eastAsia="zh-CN"/>
                    </w:rPr>
                    <w:t>。</w:t>
                  </w:r>
                </w:p>
                <w:p w14:paraId="456CBB01">
                  <w:pPr>
                    <w:pBdr>
                      <w:top w:val="none" w:color="auto" w:sz="0" w:space="1"/>
                      <w:left w:val="none" w:color="auto" w:sz="0" w:space="4"/>
                      <w:bottom w:val="none" w:color="auto" w:sz="0" w:space="1"/>
                      <w:right w:val="none" w:color="auto" w:sz="0" w:space="4"/>
                    </w:pBdr>
                    <w:spacing w:line="340" w:lineRule="exact"/>
                    <w:jc w:val="left"/>
                    <w:rPr>
                      <w:rFonts w:hint="eastAsia" w:cs="Times New Roman"/>
                      <w:color w:val="auto"/>
                      <w:sz w:val="21"/>
                      <w:szCs w:val="21"/>
                      <w:lang w:val="en-US" w:eastAsia="zh-CN"/>
                    </w:rPr>
                  </w:pPr>
                  <w:r>
                    <w:rPr>
                      <w:rFonts w:hint="eastAsia" w:cs="Times New Roman"/>
                      <w:color w:val="auto"/>
                      <w:sz w:val="21"/>
                      <w:szCs w:val="21"/>
                      <w:lang w:val="en-US" w:eastAsia="zh-CN"/>
                    </w:rPr>
                    <w:t>6.项目不属于大气重污染企业。</w:t>
                  </w:r>
                </w:p>
                <w:p w14:paraId="2D27BFB3">
                  <w:pPr>
                    <w:pBdr>
                      <w:top w:val="none" w:color="auto" w:sz="0" w:space="1"/>
                      <w:left w:val="none" w:color="auto" w:sz="0" w:space="4"/>
                      <w:bottom w:val="none" w:color="auto" w:sz="0" w:space="1"/>
                      <w:right w:val="none" w:color="auto" w:sz="0" w:space="4"/>
                    </w:pBdr>
                    <w:spacing w:line="340" w:lineRule="exact"/>
                    <w:jc w:val="left"/>
                    <w:rPr>
                      <w:rFonts w:hint="default" w:cs="Times New Roman"/>
                      <w:color w:val="auto"/>
                      <w:sz w:val="21"/>
                      <w:szCs w:val="21"/>
                      <w:lang w:val="en-US" w:eastAsia="zh-CN"/>
                    </w:rPr>
                  </w:pPr>
                  <w:r>
                    <w:rPr>
                      <w:rFonts w:hint="eastAsia" w:cs="Times New Roman"/>
                      <w:color w:val="auto"/>
                      <w:sz w:val="21"/>
                      <w:szCs w:val="21"/>
                      <w:lang w:val="en-US" w:eastAsia="zh-CN"/>
                    </w:rPr>
                    <w:t>7.项目不涉及重点重金属污染物排放。</w:t>
                  </w:r>
                </w:p>
              </w:tc>
              <w:tc>
                <w:tcPr>
                  <w:tcW w:w="662" w:type="dxa"/>
                  <w:tcBorders>
                    <w:top w:val="single" w:color="000000" w:sz="12" w:space="0"/>
                  </w:tcBorders>
                  <w:noWrap w:val="0"/>
                  <w:vAlign w:val="center"/>
                </w:tcPr>
                <w:p w14:paraId="105E74D9">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33D1851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69" w:hRule="atLeast"/>
                <w:jc w:val="center"/>
              </w:trPr>
              <w:tc>
                <w:tcPr>
                  <w:tcW w:w="691" w:type="dxa"/>
                  <w:vMerge w:val="continue"/>
                  <w:noWrap w:val="0"/>
                  <w:vAlign w:val="center"/>
                </w:tcPr>
                <w:p w14:paraId="6CCFF90F">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 w:val="21"/>
                      <w:szCs w:val="21"/>
                    </w:rPr>
                  </w:pPr>
                </w:p>
              </w:tc>
              <w:tc>
                <w:tcPr>
                  <w:tcW w:w="324" w:type="dxa"/>
                  <w:noWrap w:val="0"/>
                  <w:vAlign w:val="center"/>
                </w:tcPr>
                <w:p w14:paraId="3E909E81">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污染物排放管控</w:t>
                  </w:r>
                </w:p>
              </w:tc>
              <w:tc>
                <w:tcPr>
                  <w:tcW w:w="3636" w:type="dxa"/>
                  <w:noWrap w:val="0"/>
                  <w:vAlign w:val="center"/>
                </w:tcPr>
                <w:p w14:paraId="44C09739">
                  <w:pPr>
                    <w:pBdr>
                      <w:top w:val="none" w:color="auto" w:sz="0" w:space="1"/>
                      <w:left w:val="none" w:color="auto" w:sz="0" w:space="4"/>
                      <w:bottom w:val="none" w:color="auto" w:sz="0" w:space="1"/>
                      <w:right w:val="none" w:color="auto" w:sz="0" w:space="4"/>
                    </w:pBdr>
                    <w:spacing w:line="340" w:lineRule="exact"/>
                    <w:jc w:val="left"/>
                    <w:rPr>
                      <w:rFonts w:hint="eastAsia"/>
                      <w:vertAlign w:val="baseline"/>
                      <w:lang w:val="en-US" w:eastAsia="zh-CN"/>
                    </w:rPr>
                  </w:pPr>
                  <w:r>
                    <w:rPr>
                      <w:rFonts w:hint="eastAsia"/>
                      <w:vertAlign w:val="baseline"/>
                      <w:lang w:val="en-US" w:eastAsia="zh-CN"/>
                    </w:rPr>
                    <w:t>1.建设项目新增的主要污染物（含VOCs）排放量应按要求实行等量或倍量替代。重点行业建设项目新增的主要污染物排放量应同时满足《关于加强重点行业建设项目区域削减措施监督管理的通知》（环办环评〔2020〕36号）的要求。涉及新增总磷排放的建设项目应符合相关削减替代要求。新、改、扩建重点行业[2]建设项目要符合“闽环保固体〔2022〕17号”文件要求</w:t>
                  </w:r>
                </w:p>
                <w:p w14:paraId="2445DA30">
                  <w:pPr>
                    <w:pBdr>
                      <w:top w:val="none" w:color="auto" w:sz="0" w:space="1"/>
                      <w:left w:val="none" w:color="auto" w:sz="0" w:space="4"/>
                      <w:bottom w:val="none" w:color="auto" w:sz="0" w:space="1"/>
                      <w:right w:val="none" w:color="auto" w:sz="0" w:space="4"/>
                    </w:pBdr>
                    <w:spacing w:line="340" w:lineRule="exact"/>
                    <w:jc w:val="left"/>
                    <w:rPr>
                      <w:rFonts w:hint="eastAsia"/>
                      <w:vertAlign w:val="baseline"/>
                      <w:lang w:val="en-US" w:eastAsia="zh-CN"/>
                    </w:rPr>
                  </w:pPr>
                  <w:r>
                    <w:rPr>
                      <w:rFonts w:hint="eastAsia"/>
                      <w:vertAlign w:val="baseline"/>
                      <w:lang w:val="en-US" w:eastAsia="zh-CN"/>
                    </w:rPr>
                    <w:t>2.新改扩建钢铁、火电项目应执行超低排放限值，有色项目应当执行大气污染物特别排放限值。水泥行业新改扩建项目严格对照超低排放、能效标杆水平建设实施，现有项目超低排放改造应按“闽环规〔2023〕2号”文件的时限要求分步推进，2025年底前全面完成[2][4］。</w:t>
                  </w:r>
                </w:p>
                <w:p w14:paraId="79642FC7">
                  <w:pPr>
                    <w:pBdr>
                      <w:top w:val="none" w:color="auto" w:sz="0" w:space="1"/>
                      <w:left w:val="none" w:color="auto" w:sz="0" w:space="4"/>
                      <w:bottom w:val="none" w:color="auto" w:sz="0" w:space="1"/>
                      <w:right w:val="none" w:color="auto" w:sz="0" w:space="4"/>
                    </w:pBdr>
                    <w:spacing w:line="340" w:lineRule="exact"/>
                    <w:jc w:val="left"/>
                    <w:rPr>
                      <w:rFonts w:hint="eastAsia"/>
                      <w:vertAlign w:val="baseline"/>
                      <w:lang w:val="en-US" w:eastAsia="zh-CN"/>
                    </w:rPr>
                  </w:pPr>
                  <w:r>
                    <w:rPr>
                      <w:rFonts w:hint="eastAsia"/>
                      <w:vertAlign w:val="baseline"/>
                      <w:lang w:val="en-US" w:eastAsia="zh-CN"/>
                    </w:rPr>
                    <w:t>3.近岸海域汇水区域、“六江两溪”流域以及排入湖泊、水库等封闭、半封闭水域的城镇污水处理设施执行不低于一级A排放标准。到2025年，省级及以上各类开发区、工业园区完成“污水零直排区”建设，混合处理工业污水和生活污水的污水处理厂达到一级A排放标准。</w:t>
                  </w:r>
                </w:p>
                <w:p w14:paraId="245BC6D3">
                  <w:pPr>
                    <w:pBdr>
                      <w:top w:val="none" w:color="auto" w:sz="0" w:space="1"/>
                      <w:left w:val="none" w:color="auto" w:sz="0" w:space="4"/>
                      <w:bottom w:val="none" w:color="auto" w:sz="0" w:space="1"/>
                      <w:right w:val="none" w:color="auto" w:sz="0" w:space="4"/>
                    </w:pBdr>
                    <w:spacing w:line="340" w:lineRule="exact"/>
                    <w:jc w:val="left"/>
                    <w:rPr>
                      <w:rFonts w:hint="eastAsia"/>
                      <w:vertAlign w:val="baseline"/>
                      <w:lang w:val="en-US" w:eastAsia="zh-CN"/>
                    </w:rPr>
                  </w:pPr>
                  <w:r>
                    <w:rPr>
                      <w:rFonts w:hint="eastAsia"/>
                      <w:vertAlign w:val="baseline"/>
                      <w:lang w:val="en-US" w:eastAsia="zh-CN"/>
                    </w:rPr>
                    <w:t>4.优化调整货物运输方式，提升铁路货运比例，推进钢铁、电力、电解铝、焦化等重点工业企业和工业园区货物由公路运输转向铁路运输。</w:t>
                  </w:r>
                </w:p>
                <w:p w14:paraId="50F4B1D1">
                  <w:pPr>
                    <w:pBdr>
                      <w:top w:val="none" w:color="auto" w:sz="0" w:space="1"/>
                      <w:left w:val="none" w:color="auto" w:sz="0" w:space="4"/>
                      <w:bottom w:val="none" w:color="auto" w:sz="0" w:space="1"/>
                      <w:right w:val="none" w:color="auto" w:sz="0" w:space="4"/>
                    </w:pBdr>
                    <w:spacing w:line="340" w:lineRule="exact"/>
                    <w:jc w:val="left"/>
                    <w:rPr>
                      <w:rFonts w:hint="default" w:ascii="Times New Roman" w:hAnsi="Times New Roman" w:eastAsia="宋体" w:cs="Times New Roman"/>
                      <w:color w:val="auto"/>
                      <w:sz w:val="21"/>
                      <w:szCs w:val="21"/>
                    </w:rPr>
                  </w:pPr>
                  <w:r>
                    <w:rPr>
                      <w:rFonts w:hint="eastAsia"/>
                      <w:vertAlign w:val="baseline"/>
                      <w:lang w:val="en-US" w:eastAsia="zh-CN"/>
                    </w:rPr>
                    <w:t>5.加强石化、涂料、纺织印染、橡胶、医药等行业新污染物环境风险管控。</w:t>
                  </w:r>
                </w:p>
              </w:tc>
              <w:tc>
                <w:tcPr>
                  <w:tcW w:w="1727" w:type="dxa"/>
                  <w:noWrap w:val="0"/>
                  <w:vAlign w:val="center"/>
                </w:tcPr>
                <w:p w14:paraId="7B83C332">
                  <w:pPr>
                    <w:pBdr>
                      <w:top w:val="none" w:color="auto" w:sz="0" w:space="1"/>
                      <w:left w:val="none" w:color="auto" w:sz="0" w:space="4"/>
                      <w:bottom w:val="none" w:color="auto" w:sz="0" w:space="1"/>
                      <w:right w:val="none" w:color="auto" w:sz="0" w:space="4"/>
                    </w:pBdr>
                    <w:spacing w:line="340" w:lineRule="exact"/>
                    <w:jc w:val="left"/>
                    <w:rPr>
                      <w:rFonts w:hint="default" w:ascii="Times New Roman" w:hAnsi="Times New Roman" w:eastAsia="宋体" w:cs="Times New Roman"/>
                      <w:color w:val="auto"/>
                      <w:sz w:val="21"/>
                      <w:szCs w:val="21"/>
                      <w:shd w:val="clear" w:fill="FFFF00"/>
                    </w:rPr>
                  </w:pPr>
                  <w:r>
                    <w:rPr>
                      <w:rFonts w:hint="eastAsia" w:cs="Times New Roman"/>
                      <w:color w:val="auto"/>
                      <w:sz w:val="21"/>
                      <w:szCs w:val="21"/>
                      <w:lang w:eastAsia="zh-CN"/>
                    </w:rPr>
                    <w:t>1.</w:t>
                  </w:r>
                  <w:r>
                    <w:rPr>
                      <w:rFonts w:hint="default" w:ascii="Times New Roman" w:hAnsi="Times New Roman" w:eastAsia="宋体" w:cs="Times New Roman"/>
                      <w:color w:val="auto"/>
                      <w:sz w:val="21"/>
                      <w:szCs w:val="21"/>
                      <w:lang w:val="en-US" w:eastAsia="zh-CN"/>
                    </w:rPr>
                    <w:t>项目位于</w:t>
                  </w:r>
                  <w:r>
                    <w:rPr>
                      <w:rFonts w:hint="eastAsia" w:cs="Times New Roman"/>
                      <w:color w:val="auto"/>
                      <w:sz w:val="21"/>
                      <w:szCs w:val="21"/>
                      <w:lang w:val="en-US" w:eastAsia="zh-CN"/>
                    </w:rPr>
                    <w:t>福建省福州市罗源县凤山镇东大新村3号（2#楼、负压病房大楼以及1#楼1-3层）</w:t>
                  </w:r>
                  <w:r>
                    <w:rPr>
                      <w:rFonts w:hint="default" w:ascii="Times New Roman" w:hAnsi="Times New Roman" w:eastAsia="宋体" w:cs="Times New Roman"/>
                      <w:color w:val="auto"/>
                      <w:sz w:val="21"/>
                      <w:szCs w:val="21"/>
                      <w:shd w:val="clear"/>
                      <w:lang w:val="en-US" w:eastAsia="zh-CN"/>
                    </w:rPr>
                    <w:t>，属于其规定的污染物管控区域。项目</w:t>
                  </w:r>
                  <w:r>
                    <w:rPr>
                      <w:rFonts w:hint="eastAsia" w:cs="Times New Roman"/>
                      <w:color w:val="auto"/>
                      <w:sz w:val="21"/>
                      <w:szCs w:val="21"/>
                      <w:shd w:val="clear"/>
                      <w:lang w:val="en-US" w:eastAsia="zh-CN"/>
                    </w:rPr>
                    <w:t>不涉及</w:t>
                  </w:r>
                  <w:r>
                    <w:rPr>
                      <w:rFonts w:hint="default" w:ascii="Times New Roman" w:hAnsi="Times New Roman" w:eastAsia="宋体" w:cs="Times New Roman"/>
                      <w:color w:val="auto"/>
                      <w:sz w:val="21"/>
                      <w:szCs w:val="21"/>
                      <w:shd w:val="clear"/>
                      <w:lang w:val="en-US" w:eastAsia="zh-CN"/>
                    </w:rPr>
                    <w:t>VOCs排放。</w:t>
                  </w:r>
                </w:p>
                <w:p w14:paraId="5CDBD8E5">
                  <w:pPr>
                    <w:pBdr>
                      <w:top w:val="none" w:color="auto" w:sz="0" w:space="1"/>
                      <w:left w:val="none" w:color="auto" w:sz="0" w:space="4"/>
                      <w:bottom w:val="none" w:color="auto" w:sz="0" w:space="1"/>
                      <w:right w:val="none" w:color="auto" w:sz="0" w:space="4"/>
                    </w:pBdr>
                    <w:spacing w:line="340" w:lineRule="exact"/>
                    <w:jc w:val="left"/>
                    <w:rPr>
                      <w:rFonts w:hint="default" w:ascii="Times New Roman" w:hAnsi="Times New Roman" w:eastAsia="宋体" w:cs="Times New Roman"/>
                      <w:color w:val="auto"/>
                      <w:sz w:val="21"/>
                      <w:szCs w:val="21"/>
                    </w:rPr>
                  </w:pPr>
                  <w:r>
                    <w:rPr>
                      <w:rFonts w:hint="eastAsia" w:cs="Times New Roman"/>
                      <w:color w:val="auto"/>
                      <w:sz w:val="21"/>
                      <w:szCs w:val="21"/>
                      <w:lang w:eastAsia="zh-CN"/>
                    </w:rPr>
                    <w:t>2.</w:t>
                  </w:r>
                  <w:r>
                    <w:rPr>
                      <w:rFonts w:hint="default" w:ascii="Times New Roman" w:hAnsi="Times New Roman" w:eastAsia="宋体" w:cs="Times New Roman"/>
                      <w:color w:val="auto"/>
                      <w:sz w:val="21"/>
                      <w:szCs w:val="21"/>
                    </w:rPr>
                    <w:t>项目不属于水泥、有色金属、钢铁、火电项目。</w:t>
                  </w:r>
                </w:p>
                <w:p w14:paraId="5F698217">
                  <w:pPr>
                    <w:pBdr>
                      <w:top w:val="none" w:color="auto" w:sz="0" w:space="1"/>
                      <w:left w:val="none" w:color="auto" w:sz="0" w:space="4"/>
                      <w:bottom w:val="none" w:color="auto" w:sz="0" w:space="1"/>
                      <w:right w:val="none" w:color="auto" w:sz="0" w:space="4"/>
                    </w:pBdr>
                    <w:spacing w:line="340" w:lineRule="exact"/>
                    <w:jc w:val="left"/>
                    <w:rPr>
                      <w:rFonts w:hint="eastAsia" w:cs="Times New Roman"/>
                      <w:color w:val="auto"/>
                      <w:sz w:val="21"/>
                      <w:szCs w:val="21"/>
                      <w:lang w:val="en-US" w:eastAsia="zh-CN"/>
                    </w:rPr>
                  </w:pPr>
                  <w:r>
                    <w:rPr>
                      <w:rFonts w:hint="eastAsia" w:cs="Times New Roman"/>
                      <w:color w:val="auto"/>
                      <w:sz w:val="21"/>
                      <w:szCs w:val="21"/>
                      <w:lang w:eastAsia="zh-CN"/>
                    </w:rPr>
                    <w:t>3</w:t>
                  </w:r>
                  <w:r>
                    <w:rPr>
                      <w:rFonts w:hint="eastAsia" w:ascii="Times New Roman" w:hAnsi="Times New Roman" w:eastAsia="宋体" w:cs="Times New Roman"/>
                      <w:color w:val="auto"/>
                      <w:sz w:val="21"/>
                      <w:szCs w:val="21"/>
                      <w:lang w:eastAsia="zh-CN"/>
                    </w:rPr>
                    <w:t>.</w:t>
                  </w:r>
                  <w:r>
                    <w:rPr>
                      <w:rFonts w:hint="eastAsia" w:ascii="Times New Roman" w:hAnsi="Times New Roman" w:eastAsia="宋体" w:cs="Times New Roman"/>
                      <w:color w:val="auto"/>
                      <w:sz w:val="21"/>
                      <w:szCs w:val="21"/>
                      <w:lang w:val="en-US" w:eastAsia="zh-CN"/>
                    </w:rPr>
                    <w:t>项目生活污水、医疗废水经过化粪池预处理后</w:t>
                  </w:r>
                  <w:r>
                    <w:rPr>
                      <w:rFonts w:hint="eastAsia" w:cs="Times New Roman"/>
                      <w:color w:val="auto"/>
                      <w:sz w:val="21"/>
                      <w:szCs w:val="21"/>
                      <w:lang w:val="en-US" w:eastAsia="zh-CN"/>
                    </w:rPr>
                    <w:t>进入</w:t>
                  </w:r>
                  <w:r>
                    <w:rPr>
                      <w:rFonts w:hint="eastAsia" w:ascii="Times New Roman" w:hAnsi="Times New Roman" w:eastAsia="宋体" w:cs="Times New Roman"/>
                      <w:color w:val="auto"/>
                      <w:sz w:val="21"/>
                      <w:szCs w:val="21"/>
                      <w:lang w:val="en-US" w:eastAsia="zh-CN"/>
                    </w:rPr>
                    <w:t>污水处理设施处理</w:t>
                  </w:r>
                  <w:r>
                    <w:rPr>
                      <w:rFonts w:hint="eastAsia" w:cs="Times New Roman"/>
                      <w:color w:val="auto"/>
                      <w:sz w:val="21"/>
                      <w:szCs w:val="21"/>
                      <w:lang w:val="en-US" w:eastAsia="zh-CN"/>
                    </w:rPr>
                    <w:t>，再</w:t>
                  </w:r>
                  <w:r>
                    <w:rPr>
                      <w:rFonts w:hint="eastAsia" w:ascii="Times New Roman" w:hAnsi="Times New Roman" w:eastAsia="宋体" w:cs="Times New Roman"/>
                      <w:color w:val="auto"/>
                      <w:sz w:val="21"/>
                      <w:szCs w:val="21"/>
                      <w:lang w:val="en-US" w:eastAsia="zh-CN"/>
                    </w:rPr>
                    <w:t>进入市政污水管网，最终排入罗源城区污水处理厂统一处理后达标排放。</w:t>
                  </w:r>
                </w:p>
                <w:p w14:paraId="18D68476">
                  <w:pPr>
                    <w:pBdr>
                      <w:top w:val="none" w:color="auto" w:sz="0" w:space="1"/>
                      <w:left w:val="none" w:color="auto" w:sz="0" w:space="4"/>
                      <w:bottom w:val="none" w:color="auto" w:sz="0" w:space="1"/>
                      <w:right w:val="none" w:color="auto" w:sz="0" w:space="4"/>
                    </w:pBdr>
                    <w:spacing w:line="340" w:lineRule="exact"/>
                    <w:jc w:val="left"/>
                    <w:rPr>
                      <w:rFonts w:hint="eastAsia" w:cs="Times New Roman"/>
                      <w:color w:val="auto"/>
                      <w:sz w:val="21"/>
                      <w:szCs w:val="21"/>
                      <w:lang w:val="en-US" w:eastAsia="zh-CN"/>
                    </w:rPr>
                  </w:pPr>
                  <w:r>
                    <w:rPr>
                      <w:rFonts w:hint="eastAsia" w:cs="Times New Roman"/>
                      <w:color w:val="auto"/>
                      <w:sz w:val="21"/>
                      <w:szCs w:val="21"/>
                      <w:lang w:val="en-US" w:eastAsia="zh-CN"/>
                    </w:rPr>
                    <w:t>4.项目不属于钢铁、电力、电解铝、焦化项目。</w:t>
                  </w:r>
                </w:p>
                <w:p w14:paraId="4CD9669A">
                  <w:pPr>
                    <w:pBdr>
                      <w:top w:val="none" w:color="auto" w:sz="0" w:space="1"/>
                      <w:left w:val="none" w:color="auto" w:sz="0" w:space="4"/>
                      <w:bottom w:val="none" w:color="auto" w:sz="0" w:space="1"/>
                      <w:right w:val="none" w:color="auto" w:sz="0" w:space="4"/>
                    </w:pBdr>
                    <w:spacing w:line="340" w:lineRule="exact"/>
                    <w:jc w:val="left"/>
                    <w:rPr>
                      <w:rFonts w:hint="default" w:cs="Times New Roman"/>
                      <w:color w:val="auto"/>
                      <w:sz w:val="21"/>
                      <w:szCs w:val="21"/>
                      <w:lang w:val="en-US" w:eastAsia="zh-CN"/>
                    </w:rPr>
                  </w:pPr>
                  <w:r>
                    <w:rPr>
                      <w:rFonts w:hint="eastAsia" w:cs="Times New Roman"/>
                      <w:color w:val="auto"/>
                      <w:sz w:val="21"/>
                      <w:szCs w:val="21"/>
                      <w:lang w:val="en-US" w:eastAsia="zh-CN"/>
                    </w:rPr>
                    <w:t>5.项目不属于石化、涂料、纺织印染、橡胶、医药等行业。</w:t>
                  </w:r>
                </w:p>
              </w:tc>
              <w:tc>
                <w:tcPr>
                  <w:tcW w:w="662" w:type="dxa"/>
                  <w:noWrap w:val="0"/>
                  <w:vAlign w:val="center"/>
                </w:tcPr>
                <w:p w14:paraId="0640C582">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符合</w:t>
                  </w:r>
                </w:p>
              </w:tc>
            </w:tr>
            <w:tr w14:paraId="3419877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69" w:hRule="atLeast"/>
                <w:jc w:val="center"/>
              </w:trPr>
              <w:tc>
                <w:tcPr>
                  <w:tcW w:w="691" w:type="dxa"/>
                  <w:vMerge w:val="continue"/>
                  <w:noWrap w:val="0"/>
                  <w:vAlign w:val="center"/>
                </w:tcPr>
                <w:p w14:paraId="489BB8B2">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 w:val="21"/>
                      <w:szCs w:val="21"/>
                    </w:rPr>
                  </w:pPr>
                </w:p>
              </w:tc>
              <w:tc>
                <w:tcPr>
                  <w:tcW w:w="324" w:type="dxa"/>
                  <w:noWrap w:val="0"/>
                  <w:vAlign w:val="center"/>
                </w:tcPr>
                <w:p w14:paraId="3F2E7171">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 w:val="21"/>
                      <w:szCs w:val="21"/>
                    </w:rPr>
                  </w:pPr>
                  <w:r>
                    <w:rPr>
                      <w:rFonts w:hint="eastAsia"/>
                      <w:b w:val="0"/>
                      <w:bCs w:val="0"/>
                      <w:vertAlign w:val="baseline"/>
                      <w:lang w:val="en-US" w:eastAsia="zh-CN"/>
                    </w:rPr>
                    <w:t>环境风险防控</w:t>
                  </w:r>
                </w:p>
              </w:tc>
              <w:tc>
                <w:tcPr>
                  <w:tcW w:w="3636" w:type="dxa"/>
                  <w:noWrap w:val="0"/>
                  <w:vAlign w:val="center"/>
                </w:tcPr>
                <w:p w14:paraId="7EF1713C">
                  <w:pPr>
                    <w:pBdr>
                      <w:top w:val="none" w:color="auto" w:sz="0" w:space="1"/>
                      <w:left w:val="none" w:color="auto" w:sz="0" w:space="4"/>
                      <w:bottom w:val="none" w:color="auto" w:sz="0" w:space="1"/>
                      <w:right w:val="none" w:color="auto" w:sz="0" w:space="4"/>
                    </w:pBdr>
                    <w:spacing w:line="340" w:lineRule="exact"/>
                    <w:jc w:val="center"/>
                    <w:rPr>
                      <w:rFonts w:hint="default"/>
                      <w:vertAlign w:val="baseline"/>
                      <w:lang w:val="en-US" w:eastAsia="zh-CN"/>
                    </w:rPr>
                  </w:pPr>
                  <w:r>
                    <w:rPr>
                      <w:rFonts w:hint="eastAsia"/>
                      <w:vertAlign w:val="baseline"/>
                      <w:lang w:val="en-US" w:eastAsia="zh-CN"/>
                    </w:rPr>
                    <w:t>无</w:t>
                  </w:r>
                </w:p>
              </w:tc>
              <w:tc>
                <w:tcPr>
                  <w:tcW w:w="1727" w:type="dxa"/>
                  <w:noWrap w:val="0"/>
                  <w:vAlign w:val="center"/>
                </w:tcPr>
                <w:p w14:paraId="46B0D9BA">
                  <w:pPr>
                    <w:pBdr>
                      <w:top w:val="none" w:color="auto" w:sz="0" w:space="1"/>
                      <w:left w:val="none" w:color="auto" w:sz="0" w:space="4"/>
                      <w:bottom w:val="none" w:color="auto" w:sz="0" w:space="1"/>
                      <w:right w:val="none" w:color="auto" w:sz="0" w:space="4"/>
                    </w:pBdr>
                    <w:spacing w:line="340" w:lineRule="exact"/>
                    <w:jc w:val="center"/>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662" w:type="dxa"/>
                  <w:noWrap w:val="0"/>
                  <w:vAlign w:val="center"/>
                </w:tcPr>
                <w:p w14:paraId="5BB16124">
                  <w:pPr>
                    <w:pBdr>
                      <w:top w:val="none" w:color="auto" w:sz="0" w:space="1"/>
                      <w:left w:val="none" w:color="auto" w:sz="0" w:space="4"/>
                      <w:bottom w:val="none" w:color="auto" w:sz="0" w:space="1"/>
                      <w:right w:val="none" w:color="auto" w:sz="0" w:space="4"/>
                    </w:pBdr>
                    <w:spacing w:line="340" w:lineRule="exact"/>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w:t>
                  </w:r>
                </w:p>
              </w:tc>
            </w:tr>
            <w:tr w14:paraId="4DBC006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57" w:type="dxa"/>
                  <w:bottom w:w="0" w:type="dxa"/>
                  <w:right w:w="57" w:type="dxa"/>
                </w:tblCellMar>
              </w:tblPrEx>
              <w:trPr>
                <w:trHeight w:val="369" w:hRule="atLeast"/>
                <w:jc w:val="center"/>
              </w:trPr>
              <w:tc>
                <w:tcPr>
                  <w:tcW w:w="691" w:type="dxa"/>
                  <w:vMerge w:val="continue"/>
                  <w:noWrap w:val="0"/>
                  <w:vAlign w:val="center"/>
                </w:tcPr>
                <w:p w14:paraId="00C575DD">
                  <w:pPr>
                    <w:pBdr>
                      <w:top w:val="none" w:color="auto" w:sz="0" w:space="1"/>
                      <w:left w:val="none" w:color="auto" w:sz="0" w:space="4"/>
                      <w:bottom w:val="none" w:color="auto" w:sz="0" w:space="1"/>
                      <w:right w:val="none" w:color="auto" w:sz="0" w:space="4"/>
                    </w:pBdr>
                    <w:spacing w:line="340" w:lineRule="exact"/>
                    <w:jc w:val="center"/>
                    <w:rPr>
                      <w:rFonts w:hint="default" w:ascii="Times New Roman" w:hAnsi="Times New Roman" w:cs="Times New Roman"/>
                      <w:color w:val="auto"/>
                      <w:sz w:val="21"/>
                      <w:szCs w:val="21"/>
                    </w:rPr>
                  </w:pPr>
                </w:p>
              </w:tc>
              <w:tc>
                <w:tcPr>
                  <w:tcW w:w="324" w:type="dxa"/>
                  <w:noWrap w:val="0"/>
                  <w:vAlign w:val="center"/>
                </w:tcPr>
                <w:p w14:paraId="22822F14">
                  <w:pPr>
                    <w:pBdr>
                      <w:top w:val="none" w:color="auto" w:sz="0" w:space="1"/>
                      <w:left w:val="none" w:color="auto" w:sz="0" w:space="4"/>
                      <w:bottom w:val="none" w:color="auto" w:sz="0" w:space="1"/>
                      <w:right w:val="none" w:color="auto" w:sz="0" w:space="4"/>
                    </w:pBdr>
                    <w:spacing w:line="340" w:lineRule="exact"/>
                    <w:jc w:val="center"/>
                    <w:rPr>
                      <w:rFonts w:hint="eastAsia"/>
                      <w:b w:val="0"/>
                      <w:bCs w:val="0"/>
                      <w:color w:val="auto"/>
                      <w:vertAlign w:val="baseline"/>
                      <w:lang w:val="en-US" w:eastAsia="zh-CN"/>
                    </w:rPr>
                  </w:pPr>
                  <w:r>
                    <w:rPr>
                      <w:rFonts w:hint="eastAsia"/>
                      <w:b w:val="0"/>
                      <w:bCs w:val="0"/>
                      <w:color w:val="auto"/>
                      <w:vertAlign w:val="baseline"/>
                      <w:lang w:val="en-US" w:eastAsia="zh-CN"/>
                    </w:rPr>
                    <w:t>资源开发效率要求</w:t>
                  </w:r>
                </w:p>
              </w:tc>
              <w:tc>
                <w:tcPr>
                  <w:tcW w:w="3636" w:type="dxa"/>
                  <w:noWrap w:val="0"/>
                  <w:vAlign w:val="center"/>
                </w:tcPr>
                <w:p w14:paraId="4280C11A">
                  <w:pPr>
                    <w:pBdr>
                      <w:top w:val="none" w:color="auto" w:sz="0" w:space="1"/>
                      <w:left w:val="none" w:color="auto" w:sz="0" w:space="4"/>
                      <w:bottom w:val="none" w:color="auto" w:sz="0" w:space="1"/>
                      <w:right w:val="none" w:color="auto" w:sz="0" w:space="4"/>
                    </w:pBdr>
                    <w:spacing w:line="340" w:lineRule="exact"/>
                    <w:jc w:val="left"/>
                    <w:rPr>
                      <w:rFonts w:hint="eastAsia"/>
                      <w:color w:val="auto"/>
                      <w:vertAlign w:val="baseline"/>
                      <w:lang w:val="en-US" w:eastAsia="zh-CN"/>
                    </w:rPr>
                  </w:pPr>
                  <w:r>
                    <w:rPr>
                      <w:rFonts w:hint="eastAsia"/>
                      <w:color w:val="auto"/>
                      <w:vertAlign w:val="baseline"/>
                      <w:lang w:val="en-US" w:eastAsia="zh-CN"/>
                    </w:rPr>
                    <w:t>1.实施能源消耗总量和强度双控。</w:t>
                  </w:r>
                </w:p>
                <w:p w14:paraId="28971C1E">
                  <w:pPr>
                    <w:pBdr>
                      <w:top w:val="none" w:color="auto" w:sz="0" w:space="1"/>
                      <w:left w:val="none" w:color="auto" w:sz="0" w:space="4"/>
                      <w:bottom w:val="none" w:color="auto" w:sz="0" w:space="1"/>
                      <w:right w:val="none" w:color="auto" w:sz="0" w:space="4"/>
                    </w:pBdr>
                    <w:spacing w:line="340" w:lineRule="exact"/>
                    <w:jc w:val="left"/>
                    <w:rPr>
                      <w:rFonts w:hint="eastAsia"/>
                      <w:color w:val="auto"/>
                      <w:vertAlign w:val="baseline"/>
                      <w:lang w:val="en-US" w:eastAsia="zh-CN"/>
                    </w:rPr>
                  </w:pPr>
                  <w:r>
                    <w:rPr>
                      <w:rFonts w:hint="eastAsia"/>
                      <w:color w:val="auto"/>
                      <w:vertAlign w:val="baseline"/>
                      <w:lang w:val="en-US" w:eastAsia="zh-CN"/>
                    </w:rPr>
                    <w:t>2.强化产业园区单位土地面积投资强度和效用指标的刚性约束，提高土地利用效率。</w:t>
                  </w:r>
                </w:p>
                <w:p w14:paraId="31E4995A">
                  <w:pPr>
                    <w:pBdr>
                      <w:top w:val="none" w:color="auto" w:sz="0" w:space="1"/>
                      <w:left w:val="none" w:color="auto" w:sz="0" w:space="4"/>
                      <w:bottom w:val="none" w:color="auto" w:sz="0" w:space="1"/>
                      <w:right w:val="none" w:color="auto" w:sz="0" w:space="4"/>
                    </w:pBdr>
                    <w:spacing w:line="340" w:lineRule="exact"/>
                    <w:jc w:val="left"/>
                    <w:rPr>
                      <w:rFonts w:hint="eastAsia"/>
                      <w:color w:val="auto"/>
                      <w:vertAlign w:val="baseline"/>
                      <w:lang w:val="en-US" w:eastAsia="zh-CN"/>
                    </w:rPr>
                  </w:pPr>
                  <w:r>
                    <w:rPr>
                      <w:rFonts w:hint="eastAsia"/>
                      <w:color w:val="auto"/>
                      <w:vertAlign w:val="baseline"/>
                      <w:lang w:val="en-US" w:eastAsia="zh-CN"/>
                    </w:rPr>
                    <w:t>3.具备使用再生水条件但未充分利用的钢铁、火电、化工、制浆造纸、印染等项目，不得批准其新增取水许可。在沿海地区电力、化工、石化等行业，推行直接利用海水作为循环冷却等工业用水。</w:t>
                  </w:r>
                </w:p>
                <w:p w14:paraId="259F0D4F">
                  <w:pPr>
                    <w:pBdr>
                      <w:top w:val="none" w:color="auto" w:sz="0" w:space="1"/>
                      <w:left w:val="none" w:color="auto" w:sz="0" w:space="4"/>
                      <w:bottom w:val="none" w:color="auto" w:sz="0" w:space="1"/>
                      <w:right w:val="none" w:color="auto" w:sz="0" w:space="4"/>
                    </w:pBdr>
                    <w:spacing w:line="340" w:lineRule="exact"/>
                    <w:jc w:val="left"/>
                    <w:rPr>
                      <w:rFonts w:hint="eastAsia"/>
                      <w:color w:val="auto"/>
                      <w:vertAlign w:val="baseline"/>
                      <w:lang w:val="en-US" w:eastAsia="zh-CN"/>
                    </w:rPr>
                  </w:pPr>
                  <w:r>
                    <w:rPr>
                      <w:rFonts w:hint="eastAsia"/>
                      <w:color w:val="auto"/>
                      <w:vertAlign w:val="baseline"/>
                      <w:lang w:val="en-US" w:eastAsia="zh-CN"/>
                    </w:rPr>
                    <w:t>4.落实“闽环规〔2023〕1号”文件要求，不再新建每小时35蒸吨以下燃煤锅炉，以及每小时10蒸吨及以下燃生物质和其他使用高污染燃料的锅炉。集中供热管网覆盖范围内禁止新建、扩建分散燃煤、燃油等供热锅炉。</w:t>
                  </w:r>
                </w:p>
                <w:p w14:paraId="4890DD1B">
                  <w:pPr>
                    <w:pBdr>
                      <w:top w:val="none" w:color="auto" w:sz="0" w:space="1"/>
                      <w:left w:val="none" w:color="auto" w:sz="0" w:space="4"/>
                      <w:bottom w:val="none" w:color="auto" w:sz="0" w:space="1"/>
                      <w:right w:val="none" w:color="auto" w:sz="0" w:space="4"/>
                    </w:pBdr>
                    <w:spacing w:line="340" w:lineRule="exact"/>
                    <w:jc w:val="left"/>
                    <w:rPr>
                      <w:rFonts w:hint="eastAsia"/>
                      <w:color w:val="auto"/>
                      <w:vertAlign w:val="baseline"/>
                      <w:lang w:val="en-US" w:eastAsia="zh-CN"/>
                    </w:rPr>
                  </w:pPr>
                  <w:r>
                    <w:rPr>
                      <w:rFonts w:hint="eastAsia"/>
                      <w:color w:val="auto"/>
                      <w:vertAlign w:val="baseline"/>
                      <w:lang w:val="en-US" w:eastAsia="zh-CN"/>
                    </w:rPr>
                    <w:t>5.落实“闽环保大气〔2023〕5号”文件要求，按照“提气、转电、控煤”的发展思路，推动陶瓷行业进一步优化用能结构，实现能源消费清洁低碳化。</w:t>
                  </w:r>
                </w:p>
              </w:tc>
              <w:tc>
                <w:tcPr>
                  <w:tcW w:w="1727" w:type="dxa"/>
                  <w:noWrap w:val="0"/>
                  <w:vAlign w:val="center"/>
                </w:tcPr>
                <w:p w14:paraId="40B57DE3">
                  <w:pPr>
                    <w:pBdr>
                      <w:top w:val="none" w:color="auto" w:sz="0" w:space="1"/>
                      <w:left w:val="none" w:color="auto" w:sz="0" w:space="4"/>
                      <w:bottom w:val="none" w:color="auto" w:sz="0" w:space="1"/>
                      <w:right w:val="none" w:color="auto" w:sz="0" w:space="4"/>
                    </w:pBdr>
                    <w:spacing w:line="340" w:lineRule="exact"/>
                    <w:jc w:val="left"/>
                    <w:rPr>
                      <w:rFonts w:hint="eastAsia" w:cs="Times New Roman"/>
                      <w:color w:val="auto"/>
                      <w:sz w:val="21"/>
                      <w:szCs w:val="21"/>
                      <w:lang w:val="en-US" w:eastAsia="zh-CN"/>
                    </w:rPr>
                  </w:pPr>
                  <w:r>
                    <w:rPr>
                      <w:rFonts w:hint="eastAsia" w:cs="Times New Roman"/>
                      <w:color w:val="auto"/>
                      <w:sz w:val="21"/>
                      <w:szCs w:val="21"/>
                      <w:lang w:val="en-US" w:eastAsia="zh-CN"/>
                    </w:rPr>
                    <w:t>1.项目不属于高耗能、高耗水的项目。</w:t>
                  </w:r>
                </w:p>
                <w:p w14:paraId="351DEDC5">
                  <w:pPr>
                    <w:pBdr>
                      <w:top w:val="none" w:color="auto" w:sz="0" w:space="1"/>
                      <w:left w:val="none" w:color="auto" w:sz="0" w:space="4"/>
                      <w:bottom w:val="none" w:color="auto" w:sz="0" w:space="1"/>
                      <w:right w:val="none" w:color="auto" w:sz="0" w:space="4"/>
                    </w:pBdr>
                    <w:spacing w:line="340" w:lineRule="exact"/>
                    <w:jc w:val="left"/>
                    <w:rPr>
                      <w:rFonts w:hint="eastAsia" w:cs="Times New Roman"/>
                      <w:color w:val="auto"/>
                      <w:sz w:val="21"/>
                      <w:szCs w:val="21"/>
                      <w:lang w:val="en-US" w:eastAsia="zh-CN"/>
                    </w:rPr>
                  </w:pPr>
                  <w:r>
                    <w:rPr>
                      <w:rFonts w:hint="eastAsia" w:cs="Times New Roman"/>
                      <w:color w:val="auto"/>
                      <w:sz w:val="21"/>
                      <w:szCs w:val="21"/>
                      <w:lang w:val="en-US" w:eastAsia="zh-CN"/>
                    </w:rPr>
                    <w:t>2.项目符合用地规划要求。</w:t>
                  </w:r>
                </w:p>
                <w:p w14:paraId="6EA81ECD">
                  <w:pPr>
                    <w:pBdr>
                      <w:top w:val="none" w:color="auto" w:sz="0" w:space="1"/>
                      <w:left w:val="none" w:color="auto" w:sz="0" w:space="4"/>
                      <w:bottom w:val="none" w:color="auto" w:sz="0" w:space="1"/>
                      <w:right w:val="none" w:color="auto" w:sz="0" w:space="4"/>
                    </w:pBdr>
                    <w:spacing w:line="340" w:lineRule="exact"/>
                    <w:jc w:val="left"/>
                    <w:rPr>
                      <w:rFonts w:hint="eastAsia" w:cs="Times New Roman"/>
                      <w:color w:val="auto"/>
                      <w:sz w:val="21"/>
                      <w:szCs w:val="21"/>
                      <w:lang w:val="en-US" w:eastAsia="zh-CN"/>
                    </w:rPr>
                  </w:pPr>
                  <w:r>
                    <w:rPr>
                      <w:rFonts w:hint="eastAsia" w:cs="Times New Roman"/>
                      <w:color w:val="auto"/>
                      <w:sz w:val="21"/>
                      <w:szCs w:val="21"/>
                      <w:lang w:val="en-US" w:eastAsia="zh-CN"/>
                    </w:rPr>
                    <w:t>3.项目不属于钢铁、火电、化工、制浆造纸、印染等项目，也不属于电力、化工、石化等行业。</w:t>
                  </w:r>
                </w:p>
                <w:p w14:paraId="49D47F41">
                  <w:pPr>
                    <w:pBdr>
                      <w:top w:val="none" w:color="auto" w:sz="0" w:space="1"/>
                      <w:left w:val="none" w:color="auto" w:sz="0" w:space="4"/>
                      <w:bottom w:val="none" w:color="auto" w:sz="0" w:space="1"/>
                      <w:right w:val="none" w:color="auto" w:sz="0" w:space="4"/>
                    </w:pBdr>
                    <w:spacing w:line="340" w:lineRule="exact"/>
                    <w:jc w:val="left"/>
                    <w:rPr>
                      <w:rFonts w:hint="eastAsia" w:cs="Times New Roman"/>
                      <w:color w:val="auto"/>
                      <w:sz w:val="21"/>
                      <w:szCs w:val="21"/>
                      <w:lang w:val="en-US" w:eastAsia="zh-CN"/>
                    </w:rPr>
                  </w:pPr>
                  <w:r>
                    <w:rPr>
                      <w:rFonts w:hint="eastAsia" w:cs="Times New Roman"/>
                      <w:color w:val="auto"/>
                      <w:sz w:val="21"/>
                      <w:szCs w:val="21"/>
                      <w:lang w:val="en-US" w:eastAsia="zh-CN"/>
                    </w:rPr>
                    <w:t>4. 项目不涉及锅炉。</w:t>
                  </w:r>
                </w:p>
                <w:p w14:paraId="43A5F81B">
                  <w:pPr>
                    <w:pBdr>
                      <w:top w:val="none" w:color="auto" w:sz="0" w:space="1"/>
                      <w:left w:val="none" w:color="auto" w:sz="0" w:space="4"/>
                      <w:bottom w:val="none" w:color="auto" w:sz="0" w:space="1"/>
                      <w:right w:val="none" w:color="auto" w:sz="0" w:space="4"/>
                    </w:pBdr>
                    <w:spacing w:line="340" w:lineRule="exact"/>
                    <w:jc w:val="left"/>
                    <w:rPr>
                      <w:rFonts w:hint="default" w:cs="Times New Roman"/>
                      <w:color w:val="auto"/>
                      <w:sz w:val="21"/>
                      <w:szCs w:val="21"/>
                      <w:lang w:val="en-US" w:eastAsia="zh-CN"/>
                    </w:rPr>
                  </w:pPr>
                  <w:r>
                    <w:rPr>
                      <w:rFonts w:hint="eastAsia" w:cs="Times New Roman"/>
                      <w:color w:val="auto"/>
                      <w:sz w:val="21"/>
                      <w:szCs w:val="21"/>
                      <w:lang w:val="en-US" w:eastAsia="zh-CN"/>
                    </w:rPr>
                    <w:t>5.项目不属于陶瓷行业。</w:t>
                  </w:r>
                </w:p>
              </w:tc>
              <w:tc>
                <w:tcPr>
                  <w:tcW w:w="662" w:type="dxa"/>
                  <w:noWrap w:val="0"/>
                  <w:vAlign w:val="center"/>
                </w:tcPr>
                <w:p w14:paraId="2447C3DC">
                  <w:pPr>
                    <w:pBdr>
                      <w:top w:val="none" w:color="auto" w:sz="0" w:space="1"/>
                      <w:left w:val="none" w:color="auto" w:sz="0" w:space="4"/>
                      <w:bottom w:val="none" w:color="auto" w:sz="0" w:space="1"/>
                      <w:right w:val="none" w:color="auto" w:sz="0" w:space="4"/>
                    </w:pBdr>
                    <w:spacing w:line="340" w:lineRule="exact"/>
                    <w:jc w:val="center"/>
                    <w:rPr>
                      <w:rFonts w:hint="default" w:cs="Times New Roman"/>
                      <w:color w:val="auto"/>
                      <w:sz w:val="21"/>
                      <w:szCs w:val="21"/>
                      <w:lang w:val="en-US" w:eastAsia="zh-CN"/>
                    </w:rPr>
                  </w:pPr>
                  <w:r>
                    <w:rPr>
                      <w:rFonts w:hint="eastAsia" w:cs="Times New Roman"/>
                      <w:color w:val="auto"/>
                      <w:sz w:val="21"/>
                      <w:szCs w:val="21"/>
                      <w:lang w:val="en-US" w:eastAsia="zh-CN"/>
                    </w:rPr>
                    <w:t>符合</w:t>
                  </w:r>
                </w:p>
              </w:tc>
            </w:tr>
          </w:tbl>
          <w:p w14:paraId="1A2C02E4">
            <w:pPr>
              <w:pStyle w:val="46"/>
              <w:ind w:firstLine="480"/>
              <w:rPr>
                <w:rFonts w:hint="eastAsia" w:ascii="Times New Roman" w:hAnsi="Times New Roman" w:eastAsia="宋体" w:cs="宋体"/>
                <w:color w:val="auto"/>
                <w:kern w:val="0"/>
                <w:szCs w:val="21"/>
                <w:highlight w:val="none"/>
                <w:lang w:val="en-GB"/>
              </w:rPr>
            </w:pPr>
            <w:r>
              <w:rPr>
                <w:rFonts w:hint="eastAsia" w:cs="宋体"/>
                <w:color w:val="auto"/>
                <w:kern w:val="0"/>
                <w:szCs w:val="21"/>
                <w:highlight w:val="none"/>
                <w:lang w:val="en-GB" w:eastAsia="zh-CN"/>
              </w:rPr>
              <w:t>（2）</w:t>
            </w:r>
            <w:r>
              <w:rPr>
                <w:rFonts w:hint="eastAsia" w:ascii="Times New Roman" w:hAnsi="Times New Roman" w:eastAsia="宋体" w:cs="宋体"/>
                <w:color w:val="auto"/>
                <w:kern w:val="0"/>
                <w:szCs w:val="21"/>
                <w:highlight w:val="none"/>
                <w:lang w:val="en-US" w:eastAsia="zh-CN"/>
              </w:rPr>
              <w:t>与《福州市生态环境局关于发布福州市2024年生态环境分区管控动态更新成果的通知》（榕环保综〔2025〕1号）</w:t>
            </w:r>
            <w:r>
              <w:rPr>
                <w:rFonts w:hint="eastAsia" w:cs="宋体"/>
                <w:color w:val="auto"/>
                <w:kern w:val="0"/>
                <w:szCs w:val="21"/>
                <w:highlight w:val="none"/>
                <w:lang w:val="en-US" w:eastAsia="zh-CN"/>
              </w:rPr>
              <w:t>的</w:t>
            </w:r>
            <w:r>
              <w:rPr>
                <w:rFonts w:hint="eastAsia" w:ascii="Times New Roman" w:hAnsi="Times New Roman" w:eastAsia="宋体" w:cs="宋体"/>
                <w:color w:val="auto"/>
                <w:kern w:val="0"/>
                <w:szCs w:val="21"/>
                <w:highlight w:val="none"/>
                <w:lang w:val="en-US" w:eastAsia="zh-CN"/>
              </w:rPr>
              <w:t>符合性分析</w:t>
            </w:r>
          </w:p>
          <w:p w14:paraId="3E1D0A14">
            <w:pPr>
              <w:pStyle w:val="46"/>
              <w:ind w:firstLine="480"/>
              <w:rPr>
                <w:rFonts w:hint="eastAsia" w:ascii="Times New Roman" w:hAnsi="Times New Roman" w:eastAsia="宋体" w:cs="宋体"/>
                <w:color w:val="auto"/>
                <w:kern w:val="0"/>
                <w:szCs w:val="21"/>
                <w:highlight w:val="none"/>
                <w:lang w:val="en-US" w:eastAsia="zh-CN"/>
              </w:rPr>
            </w:pPr>
            <w:r>
              <w:rPr>
                <w:rFonts w:hint="eastAsia" w:ascii="Times New Roman" w:hAnsi="Times New Roman" w:eastAsia="宋体" w:cs="宋体"/>
                <w:color w:val="auto"/>
                <w:kern w:val="0"/>
                <w:szCs w:val="21"/>
                <w:highlight w:val="none"/>
                <w:lang w:val="en-US" w:eastAsia="zh-CN"/>
              </w:rPr>
              <w:t>根据《福州市生态环境局关于发布福州市2024年生态环境分区管控动态更新成果的通知》（榕环保综〔2025〕1号）相关要求，本项目与管控要求的符合性</w:t>
            </w:r>
            <w:r>
              <w:rPr>
                <w:rFonts w:hint="eastAsia" w:cs="宋体"/>
                <w:color w:val="auto"/>
                <w:kern w:val="0"/>
                <w:szCs w:val="21"/>
                <w:highlight w:val="none"/>
                <w:lang w:val="en-US" w:eastAsia="zh-CN"/>
              </w:rPr>
              <w:t>分析</w:t>
            </w:r>
            <w:r>
              <w:rPr>
                <w:rFonts w:hint="eastAsia" w:ascii="Times New Roman" w:hAnsi="Times New Roman" w:eastAsia="宋体" w:cs="宋体"/>
                <w:color w:val="auto"/>
                <w:kern w:val="0"/>
                <w:szCs w:val="21"/>
                <w:highlight w:val="none"/>
                <w:lang w:val="en-US" w:eastAsia="zh-CN"/>
              </w:rPr>
              <w:t>如下：</w:t>
            </w:r>
          </w:p>
          <w:p w14:paraId="15FE2FD8">
            <w:pPr>
              <w:numPr>
                <w:ilvl w:val="0"/>
                <w:numId w:val="0"/>
              </w:numPr>
              <w:spacing w:before="120" w:beforeLines="50"/>
              <w:ind w:firstLine="480" w:firstLineChars="200"/>
              <w:jc w:val="both"/>
              <w:rPr>
                <w:rFonts w:hint="eastAsia"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①与福州市全市总体准入要求的符合性分析</w:t>
            </w:r>
          </w:p>
          <w:p w14:paraId="7551FEAA">
            <w:pPr>
              <w:pStyle w:val="44"/>
              <w:keepNext w:val="0"/>
              <w:keepLines w:val="0"/>
              <w:pageBreakBefore w:val="0"/>
              <w:widowControl w:val="0"/>
              <w:suppressLineNumbers w:val="0"/>
              <w:tabs>
                <w:tab w:val="left" w:pos="0"/>
                <w:tab w:val="clear" w:pos="420"/>
              </w:tabs>
              <w:kinsoku/>
              <w:wordWrap/>
              <w:overflowPunct/>
              <w:topLinePunct w:val="0"/>
              <w:autoSpaceDE/>
              <w:autoSpaceDN/>
              <w:bidi w:val="0"/>
              <w:adjustRightInd/>
              <w:snapToGrid/>
              <w:spacing w:beforeAutospacing="0" w:after="0" w:afterAutospacing="0"/>
              <w:ind w:left="210" w:leftChars="0" w:right="0" w:firstLineChars="0"/>
              <w:jc w:val="center"/>
              <w:textAlignment w:val="auto"/>
              <w:rPr>
                <w:rFonts w:hint="default"/>
                <w:color w:val="auto"/>
                <w:lang w:val="en-US" w:eastAsia="zh-CN"/>
              </w:rPr>
            </w:pPr>
            <w:r>
              <w:rPr>
                <w:rFonts w:hint="eastAsia"/>
                <w:color w:val="auto"/>
                <w:lang w:eastAsia="zh-CN"/>
              </w:rPr>
              <w:t>项目与《</w:t>
            </w:r>
            <w:r>
              <w:rPr>
                <w:rFonts w:hint="eastAsia"/>
                <w:color w:val="auto"/>
                <w:lang w:val="en-US" w:eastAsia="zh-CN"/>
              </w:rPr>
              <w:t>福州市</w:t>
            </w:r>
            <w:r>
              <w:rPr>
                <w:rFonts w:hint="eastAsia"/>
                <w:color w:val="auto"/>
                <w:lang w:eastAsia="zh-CN"/>
              </w:rPr>
              <w:t>生态环境总体准入要求》符合性分析</w:t>
            </w:r>
          </w:p>
          <w:tbl>
            <w:tblPr>
              <w:tblStyle w:val="34"/>
              <w:tblW w:w="709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09"/>
              <w:gridCol w:w="3887"/>
              <w:gridCol w:w="1736"/>
              <w:gridCol w:w="666"/>
            </w:tblGrid>
            <w:tr w14:paraId="055979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4696" w:type="dxa"/>
                  <w:gridSpan w:val="2"/>
                  <w:tcBorders>
                    <w:bottom w:val="single" w:color="000000" w:sz="12" w:space="0"/>
                    <w:tl2br w:val="nil"/>
                    <w:tr2bl w:val="nil"/>
                  </w:tcBorders>
                  <w:shd w:val="clear" w:color="auto" w:fill="auto"/>
                  <w:vAlign w:val="center"/>
                </w:tcPr>
                <w:p w14:paraId="36773EEE">
                  <w:pPr>
                    <w:pStyle w:val="92"/>
                    <w:keepNext w:val="0"/>
                    <w:keepLines w:val="0"/>
                    <w:widowControl/>
                    <w:suppressLineNumbers w:val="0"/>
                    <w:spacing w:before="0" w:beforeAutospacing="0" w:after="0" w:afterAutospacing="0"/>
                    <w:ind w:left="0" w:right="0"/>
                    <w:rPr>
                      <w:rFonts w:hint="default"/>
                      <w:color w:val="auto"/>
                      <w:lang w:val="en-US"/>
                    </w:rPr>
                  </w:pPr>
                  <w:r>
                    <w:rPr>
                      <w:rFonts w:hint="eastAsia" w:ascii="Times New Roman" w:hAnsi="Times New Roman" w:eastAsia="宋体" w:cs="宋体"/>
                      <w:color w:val="auto"/>
                    </w:rPr>
                    <w:t>准入要求</w:t>
                  </w:r>
                </w:p>
              </w:tc>
              <w:tc>
                <w:tcPr>
                  <w:tcW w:w="1736" w:type="dxa"/>
                  <w:tcBorders>
                    <w:bottom w:val="single" w:color="000000" w:sz="12" w:space="0"/>
                    <w:tl2br w:val="nil"/>
                    <w:tr2bl w:val="nil"/>
                  </w:tcBorders>
                  <w:shd w:val="clear" w:color="auto" w:fill="auto"/>
                  <w:vAlign w:val="center"/>
                </w:tcPr>
                <w:p w14:paraId="68F146D9">
                  <w:pPr>
                    <w:pStyle w:val="92"/>
                    <w:keepNext w:val="0"/>
                    <w:keepLines w:val="0"/>
                    <w:widowControl/>
                    <w:suppressLineNumbers w:val="0"/>
                    <w:spacing w:before="0" w:beforeAutospacing="0" w:after="0" w:afterAutospacing="0"/>
                    <w:ind w:left="0" w:right="0"/>
                    <w:rPr>
                      <w:rFonts w:hint="default"/>
                      <w:color w:val="auto"/>
                      <w:lang w:val="en-US"/>
                    </w:rPr>
                  </w:pPr>
                  <w:r>
                    <w:rPr>
                      <w:rFonts w:hint="eastAsia" w:ascii="Times New Roman" w:hAnsi="Times New Roman" w:eastAsia="宋体" w:cs="宋体"/>
                      <w:color w:val="auto"/>
                    </w:rPr>
                    <w:t>本项目</w:t>
                  </w:r>
                </w:p>
              </w:tc>
              <w:tc>
                <w:tcPr>
                  <w:tcW w:w="666" w:type="dxa"/>
                  <w:tcBorders>
                    <w:bottom w:val="single" w:color="000000" w:sz="12" w:space="0"/>
                    <w:tl2br w:val="nil"/>
                    <w:tr2bl w:val="nil"/>
                  </w:tcBorders>
                  <w:shd w:val="clear" w:color="auto" w:fill="auto"/>
                  <w:vAlign w:val="center"/>
                </w:tcPr>
                <w:p w14:paraId="2D218A39">
                  <w:pPr>
                    <w:pStyle w:val="92"/>
                    <w:keepNext w:val="0"/>
                    <w:keepLines w:val="0"/>
                    <w:widowControl/>
                    <w:suppressLineNumbers w:val="0"/>
                    <w:spacing w:before="0" w:beforeAutospacing="0" w:after="0" w:afterAutospacing="0"/>
                    <w:ind w:left="0" w:right="0"/>
                    <w:rPr>
                      <w:rFonts w:hint="default"/>
                      <w:color w:val="auto"/>
                      <w:lang w:val="en-US"/>
                    </w:rPr>
                  </w:pPr>
                  <w:r>
                    <w:rPr>
                      <w:rFonts w:hint="eastAsia" w:cs="Times New Roman"/>
                      <w:color w:val="auto"/>
                      <w:spacing w:val="7"/>
                      <w:sz w:val="21"/>
                      <w:szCs w:val="21"/>
                      <w:lang w:val="en-US" w:eastAsia="zh-CN"/>
                    </w:rPr>
                    <w:t>符合性</w:t>
                  </w:r>
                </w:p>
              </w:tc>
            </w:tr>
            <w:tr w14:paraId="06BE26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58" w:hRule="atLeast"/>
                <w:jc w:val="center"/>
              </w:trPr>
              <w:tc>
                <w:tcPr>
                  <w:tcW w:w="809" w:type="dxa"/>
                  <w:vMerge w:val="restart"/>
                  <w:tcBorders>
                    <w:top w:val="single" w:color="000000" w:sz="12" w:space="0"/>
                    <w:tl2br w:val="nil"/>
                    <w:tr2bl w:val="nil"/>
                  </w:tcBorders>
                  <w:shd w:val="clear" w:color="auto" w:fill="auto"/>
                  <w:vAlign w:val="center"/>
                </w:tcPr>
                <w:p w14:paraId="12E1B446">
                  <w:pPr>
                    <w:pStyle w:val="92"/>
                    <w:keepNext w:val="0"/>
                    <w:keepLines w:val="0"/>
                    <w:widowControl/>
                    <w:suppressLineNumbers w:val="0"/>
                    <w:spacing w:before="0" w:beforeAutospacing="0" w:after="0" w:afterAutospacing="0"/>
                    <w:ind w:left="0" w:right="0"/>
                    <w:rPr>
                      <w:rFonts w:hint="default"/>
                      <w:color w:val="auto"/>
                      <w:lang w:val="en-US"/>
                    </w:rPr>
                  </w:pPr>
                  <w:r>
                    <w:rPr>
                      <w:rFonts w:hint="eastAsia" w:ascii="Times New Roman" w:hAnsi="Times New Roman" w:eastAsia="宋体" w:cs="宋体"/>
                      <w:color w:val="auto"/>
                    </w:rPr>
                    <w:t>空间布局</w:t>
                  </w:r>
                </w:p>
              </w:tc>
              <w:tc>
                <w:tcPr>
                  <w:tcW w:w="3887" w:type="dxa"/>
                  <w:tcBorders>
                    <w:top w:val="single" w:color="000000" w:sz="12" w:space="0"/>
                    <w:tl2br w:val="nil"/>
                    <w:tr2bl w:val="nil"/>
                  </w:tcBorders>
                  <w:shd w:val="clear" w:color="auto" w:fill="auto"/>
                  <w:vAlign w:val="center"/>
                </w:tcPr>
                <w:p w14:paraId="0E1A23CC">
                  <w:pPr>
                    <w:rPr>
                      <w:rFonts w:hint="eastAsia"/>
                      <w:b/>
                      <w:bCs/>
                      <w:color w:val="auto"/>
                      <w:vertAlign w:val="baseline"/>
                      <w:lang w:val="en-US" w:eastAsia="zh-CN"/>
                    </w:rPr>
                  </w:pPr>
                  <w:r>
                    <w:rPr>
                      <w:rFonts w:hint="eastAsia"/>
                      <w:b/>
                      <w:bCs/>
                      <w:color w:val="auto"/>
                      <w:vertAlign w:val="baseline"/>
                      <w:lang w:val="en-US" w:eastAsia="zh-CN"/>
                    </w:rPr>
                    <w:t>一、优先保护单元中的生态保护红线</w:t>
                  </w:r>
                </w:p>
                <w:p w14:paraId="3485CEB2">
                  <w:pPr>
                    <w:rPr>
                      <w:rFonts w:hint="default" w:ascii="Times New Roman" w:hAnsi="Times New Roman" w:cs="Times New Roman"/>
                      <w:color w:val="auto"/>
                      <w:sz w:val="21"/>
                      <w:szCs w:val="21"/>
                      <w:lang w:val="en-US"/>
                    </w:rPr>
                  </w:pPr>
                  <w:r>
                    <w:rPr>
                      <w:rFonts w:hint="eastAsia"/>
                      <w:color w:val="auto"/>
                      <w:vertAlign w:val="baseline"/>
                      <w:lang w:val="en-US" w:eastAsia="zh-CN"/>
                    </w:rPr>
                    <w:t>1.根据《关于在国土空间规划中统筹划定落实三条控制线的指导意见》《自然资源部生态环境部国家林业和草原局关于加强生态保护红线管理的通知（试行）》，加强生态保护红线管理，严守自然生态安全边界。生态保护红线内，自然保护地核心保护区原则上禁止人为活动，其它区域禁止开发性、生产性建设活动，在符合法律法规的前提下，仅允许以下对生态功能不造成破坏的有限人为活动。生态保护红线内自然保护区、风景名胜区、饮用水水源保护区等区域，依照法律法规执行。（1）管护巡护、保护执法、科学研究、调查监测、测绘导航、防灾减灾救灾、军事国防、疫情防控等活动及相关的必要设施修筑。（2）原住居民和其他合法权益主体，允许在不扩大现有建设用地、用海用岛、耕地、水产养殖规模和放牧强度（符合草畜平衡管理规定）的前提下，开展种植、放牧、捕捞、养殖（不包括投礁型海洋牧场、围海养殖）等活动，修筑生产生活设施。（3）经依法批准的考古调查发掘、古生物化石调查发掘、标本采集和文物保护活动。（4）按规定对人工商品林进行抚育采伐，或以提升森林质量、优化栖息地、建设生物防火隔离带等为目的的树种更新，依法开展的竹林采伐经营。（5）不破坏生态功能的适度参观旅游、科普宣教及符合相关规划的配套性服务设施和相关的必要公共设施建设及维护。（6）必须且无法避让、符合县级以上国土空间规划的线性基础设施、通讯和防洪、供水设施建设和船舶航行、航道疏浚清淤等活动；已有的合法水利、交通运输等设施运行维护改造。（7）地质调查与矿产资源勘查开采。包括：基础地质调查和战略性矿产资源远景调查等公益性工作；铀矿勘查开采活动，可办理矿业权登记；已依法设立的油气探矿权继续勘查活动，可办理探矿权延续、变更（不含扩大勘查区块范围）、保留、注销，当发现可供开采油气资源并探明储量时，可将开采拟占用的地表或海域范围依照国家相关规定调出生态保护红线；已依法设立的油气采矿权不扩大用地用海范围，继续开采，可办理采矿权延续、变更（不含扩大矿区范围）、注销；已依法设立的矿泉水和地热采矿权，在不超出已经核定的生产规模、不新增医疗设施的前提下继续开采，可办理采矿权延续、变更（不含扩大矿区范围）、注销；已依法设立和新立铬、铜、镍、锂、钴、锆、钾盐、（中）重稀土矿等战略性矿产探矿权开展勘查活动，可办理探矿权登记，因国家战略需要开展开采活动的，可办理采矿权登记。上述勘查开采活动，应落实减缓生态环境影响措施，严格执行绿色勘查、开采及矿山环境生态修复相关要求。（8）依据县级以上国土空间规划和生态保护修复专项规划开展的生态修复。（9）法律法规规定允许的其他人为活动。2.依据《福建省自然资源厅福建省生态环境厅福建省林业局关于进一步加强生态保护红线监管的通知（试行）》（闽自然资发〔2023〕56号），允许占用生态保护红线的重大项目范围：（1）党中央、国务院发布文件或批准规划中明确具体名称的项目和国务院批准的项目。（2）中央军委及其有关部门批准的军事国防项目。（3）国家级规划（指国务院及其有关部门正式颁布）明确的交通、水利项目。（4）国家级规划明确的电网项目，国家级规划明确的且符合国家产业政策的能源矿产勘查开采、油气管线、水电、核电项目。（5）为贯彻落实党中央、国务院重大决策部署，国务院投资主管部门或国务院投资主管部门会同有关部门确认的交通、能源、水利等基础设施项目。（6）按照国家重大项目用地保障工作机制要求，国家发展改革委会同有关部门确认的需中央加大建设用地保障力度，确实难以避让的国家重大项目。</w:t>
                  </w:r>
                </w:p>
              </w:tc>
              <w:tc>
                <w:tcPr>
                  <w:tcW w:w="1736" w:type="dxa"/>
                  <w:tcBorders>
                    <w:top w:val="single" w:color="000000" w:sz="12" w:space="0"/>
                    <w:tl2br w:val="nil"/>
                    <w:tr2bl w:val="nil"/>
                  </w:tcBorders>
                  <w:shd w:val="clear" w:color="auto" w:fill="auto"/>
                  <w:vAlign w:val="center"/>
                </w:tcPr>
                <w:p w14:paraId="7E17F3B8">
                  <w:pPr>
                    <w:rPr>
                      <w:rFonts w:hint="eastAsia"/>
                      <w:b/>
                      <w:bCs/>
                      <w:color w:val="auto"/>
                      <w:vertAlign w:val="baseline"/>
                      <w:lang w:val="en-US" w:eastAsia="zh-CN"/>
                    </w:rPr>
                  </w:pPr>
                  <w:r>
                    <w:rPr>
                      <w:rFonts w:hint="eastAsia"/>
                      <w:b/>
                      <w:bCs/>
                      <w:color w:val="auto"/>
                      <w:vertAlign w:val="baseline"/>
                      <w:lang w:val="en-US" w:eastAsia="zh-CN"/>
                    </w:rPr>
                    <w:t>一、优先保护单元中的生态保护红线</w:t>
                  </w:r>
                </w:p>
                <w:p w14:paraId="03BEF3DE">
                  <w:pPr>
                    <w:keepNext w:val="0"/>
                    <w:keepLines w:val="0"/>
                    <w:widowControl/>
                    <w:suppressLineNumbers w:val="0"/>
                    <w:spacing w:before="0" w:beforeAutospacing="0" w:after="0" w:afterAutospacing="0"/>
                    <w:ind w:left="0" w:right="0"/>
                    <w:jc w:val="both"/>
                    <w:rPr>
                      <w:rFonts w:hint="default" w:cs="Times New Roman"/>
                      <w:color w:val="auto"/>
                      <w:sz w:val="21"/>
                      <w:szCs w:val="21"/>
                      <w:lang w:val="en-US" w:eastAsia="zh-CN"/>
                    </w:rPr>
                  </w:pPr>
                  <w:r>
                    <w:rPr>
                      <w:rFonts w:hint="eastAsia"/>
                      <w:color w:val="auto"/>
                      <w:lang w:val="en-US" w:eastAsia="zh-CN"/>
                    </w:rPr>
                    <w:t>项目位于</w:t>
                  </w:r>
                  <w:r>
                    <w:rPr>
                      <w:rFonts w:hint="eastAsia" w:cs="Times New Roman"/>
                      <w:color w:val="auto"/>
                      <w:sz w:val="21"/>
                      <w:szCs w:val="21"/>
                      <w:lang w:val="en-US" w:eastAsia="zh-CN"/>
                    </w:rPr>
                    <w:t>福建省福州市罗源县凤山镇东大新村3号（2#楼、负压病房大楼以及1#楼1-3层），项目建设区未涉及优先保护单元中的生态保护红线。</w:t>
                  </w:r>
                </w:p>
              </w:tc>
              <w:tc>
                <w:tcPr>
                  <w:tcW w:w="666" w:type="dxa"/>
                  <w:tcBorders>
                    <w:top w:val="single" w:color="000000" w:sz="12" w:space="0"/>
                    <w:tl2br w:val="nil"/>
                    <w:tr2bl w:val="nil"/>
                  </w:tcBorders>
                  <w:shd w:val="clear" w:color="auto" w:fill="auto"/>
                  <w:vAlign w:val="center"/>
                </w:tcPr>
                <w:p w14:paraId="685D033A">
                  <w:pPr>
                    <w:pStyle w:val="92"/>
                    <w:keepNext w:val="0"/>
                    <w:keepLines w:val="0"/>
                    <w:widowControl/>
                    <w:suppressLineNumbers w:val="0"/>
                    <w:spacing w:before="0" w:beforeAutospacing="0" w:after="0" w:afterAutospacing="0"/>
                    <w:ind w:left="0" w:right="0"/>
                    <w:rPr>
                      <w:rFonts w:hint="default"/>
                      <w:color w:val="auto"/>
                      <w:lang w:val="en-US"/>
                    </w:rPr>
                  </w:pPr>
                  <w:r>
                    <w:rPr>
                      <w:rFonts w:hint="eastAsia" w:ascii="Times New Roman" w:hAnsi="Times New Roman" w:eastAsia="宋体" w:cs="宋体"/>
                      <w:color w:val="auto"/>
                    </w:rPr>
                    <w:t>符合</w:t>
                  </w:r>
                </w:p>
              </w:tc>
            </w:tr>
            <w:tr w14:paraId="478160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48" w:hRule="atLeast"/>
                <w:jc w:val="center"/>
              </w:trPr>
              <w:tc>
                <w:tcPr>
                  <w:tcW w:w="809" w:type="dxa"/>
                  <w:vMerge w:val="continue"/>
                  <w:tcBorders>
                    <w:tl2br w:val="nil"/>
                    <w:tr2bl w:val="nil"/>
                  </w:tcBorders>
                  <w:shd w:val="clear" w:color="auto" w:fill="auto"/>
                  <w:vAlign w:val="center"/>
                </w:tcPr>
                <w:p w14:paraId="7913D6E2"/>
              </w:tc>
              <w:tc>
                <w:tcPr>
                  <w:tcW w:w="3887" w:type="dxa"/>
                  <w:tcBorders>
                    <w:top w:val="single" w:color="000000" w:sz="12" w:space="0"/>
                    <w:tl2br w:val="nil"/>
                    <w:tr2bl w:val="nil"/>
                  </w:tcBorders>
                  <w:shd w:val="clear" w:color="auto" w:fill="auto"/>
                  <w:vAlign w:val="center"/>
                </w:tcPr>
                <w:p w14:paraId="3E96FDEC">
                  <w:pPr>
                    <w:rPr>
                      <w:rFonts w:hint="eastAsia"/>
                      <w:b/>
                      <w:bCs/>
                      <w:vertAlign w:val="baseline"/>
                      <w:lang w:val="en-US" w:eastAsia="zh-CN"/>
                    </w:rPr>
                  </w:pPr>
                  <w:r>
                    <w:rPr>
                      <w:rFonts w:hint="eastAsia"/>
                      <w:b/>
                      <w:bCs/>
                      <w:vertAlign w:val="baseline"/>
                      <w:lang w:val="en-US" w:eastAsia="zh-CN"/>
                    </w:rPr>
                    <w:t>二、优先保护单元中的一般生态空间</w:t>
                  </w:r>
                </w:p>
                <w:p w14:paraId="283743C1">
                  <w:pPr>
                    <w:rPr>
                      <w:rFonts w:hint="eastAsia"/>
                      <w:vertAlign w:val="baseline"/>
                      <w:lang w:val="en-US" w:eastAsia="zh-CN"/>
                    </w:rPr>
                  </w:pPr>
                  <w:r>
                    <w:rPr>
                      <w:rFonts w:hint="eastAsia"/>
                      <w:vertAlign w:val="baseline"/>
                      <w:lang w:val="en-US" w:eastAsia="zh-CN"/>
                    </w:rPr>
                    <w:t>1.一般生态空间以保护和修复生态环境、提供生态产品和服务为首要任务，因地制宜地发展不影响主体功能定位的适宜产业。2.一般生态空间内未纳入生态保护红线的饮用水水源保护区等各类法定保护地，其管控要求依照相关法律法规执行。3.一般生态空间内现有合法的水泥厂、矿山开发等生产性设施及生活垃圾处置等民生工程予以保留，应按照法律法规要求落实污染防治和生态保护措施，避免对生态功能造成破坏。</w:t>
                  </w:r>
                </w:p>
                <w:p w14:paraId="269DD5DD">
                  <w:pPr>
                    <w:rPr>
                      <w:rFonts w:hint="eastAsia"/>
                      <w:b/>
                      <w:bCs/>
                      <w:vertAlign w:val="baseline"/>
                      <w:lang w:val="en-US" w:eastAsia="zh-CN"/>
                    </w:rPr>
                  </w:pPr>
                  <w:r>
                    <w:rPr>
                      <w:rFonts w:hint="eastAsia"/>
                      <w:b/>
                      <w:bCs/>
                      <w:vertAlign w:val="baseline"/>
                      <w:lang w:val="en-US" w:eastAsia="zh-CN"/>
                    </w:rPr>
                    <w:t>三、其它要求</w:t>
                  </w:r>
                </w:p>
                <w:p w14:paraId="53CAAC6E">
                  <w:pPr>
                    <w:rPr>
                      <w:rFonts w:hint="eastAsia"/>
                      <w:vertAlign w:val="baseline"/>
                      <w:lang w:val="en-US" w:eastAsia="zh-CN"/>
                    </w:rPr>
                  </w:pPr>
                  <w:r>
                    <w:rPr>
                      <w:rFonts w:hint="eastAsia"/>
                      <w:vertAlign w:val="baseline"/>
                      <w:lang w:val="en-US" w:eastAsia="zh-CN"/>
                    </w:rPr>
                    <w:t>1.福州市石化中上游项目重点在福州江阴港城经济区、可门港经济区化工新材料产业园布局。</w:t>
                  </w:r>
                </w:p>
                <w:p w14:paraId="687F3B65">
                  <w:pPr>
                    <w:rPr>
                      <w:rFonts w:hint="eastAsia"/>
                      <w:vertAlign w:val="baseline"/>
                      <w:lang w:val="en-US" w:eastAsia="zh-CN"/>
                    </w:rPr>
                  </w:pPr>
                  <w:r>
                    <w:rPr>
                      <w:rFonts w:hint="eastAsia"/>
                      <w:vertAlign w:val="baseline"/>
                      <w:lang w:val="en-US" w:eastAsia="zh-CN"/>
                    </w:rPr>
                    <w:t>2.禁止在闽江马尾罗星塔以上流域范围新、扩建制革项目，严控新（扩）建植物制浆、印染、合成革及人造革、电镀项目。</w:t>
                  </w:r>
                </w:p>
                <w:p w14:paraId="4799B603">
                  <w:pPr>
                    <w:rPr>
                      <w:rFonts w:hint="eastAsia"/>
                      <w:vertAlign w:val="baseline"/>
                      <w:lang w:val="en-US" w:eastAsia="zh-CN"/>
                    </w:rPr>
                  </w:pPr>
                  <w:r>
                    <w:rPr>
                      <w:rFonts w:hint="eastAsia"/>
                      <w:vertAlign w:val="baseline"/>
                      <w:lang w:val="en-US" w:eastAsia="zh-CN"/>
                    </w:rPr>
                    <w:t>3.禁止在通风廊道和主导风向的上风向布局大气重污染企业，推进建成区大气重污染企业搬迁或升级改造、环境风险企业搬迁或关闭退出。</w:t>
                  </w:r>
                </w:p>
                <w:p w14:paraId="74F6CE9A">
                  <w:pPr>
                    <w:rPr>
                      <w:rFonts w:hint="eastAsia"/>
                      <w:vertAlign w:val="baseline"/>
                      <w:lang w:val="en-US" w:eastAsia="zh-CN"/>
                    </w:rPr>
                  </w:pPr>
                  <w:r>
                    <w:rPr>
                      <w:rFonts w:hint="eastAsia"/>
                      <w:vertAlign w:val="baseline"/>
                      <w:lang w:val="en-US" w:eastAsia="zh-CN"/>
                    </w:rPr>
                    <w:t>4.禁止新、改、扩建生产高VOCs含量有机溶剂型涂料、油墨和胶黏剂的项目。5.持续加强闽清等地建陶产业的环境综合治理，充分衔接国土空间规划和生态环境分区管控，并对照产业政策、城市总体发展规划等要求，进一步明确发展定位，优化产业布局和规模。</w:t>
                  </w:r>
                </w:p>
                <w:p w14:paraId="583A7922">
                  <w:pPr>
                    <w:rPr>
                      <w:rFonts w:hint="eastAsia"/>
                      <w:vertAlign w:val="baseline"/>
                      <w:lang w:val="en-US" w:eastAsia="zh-CN"/>
                    </w:rPr>
                  </w:pPr>
                  <w:r>
                    <w:rPr>
                      <w:rFonts w:hint="eastAsia"/>
                      <w:vertAlign w:val="baseline"/>
                      <w:lang w:val="en-US" w:eastAsia="zh-CN"/>
                    </w:rPr>
                    <w:t>6.新建、扩建的涉及重点重金属污染物［1］的有色金属冶炼、电镀、制革、铅蓄电池制造企业应优先选择布设在依法合规设立并经规划环评、环境基础设施和环境风险防范措施齐全的产业园区。禁止低端落后产能向闽江中上游地区转移。禁止新建用汞的电石法（聚）氯乙烯生产工艺。加快推进专业电镀企业入园，到2025年底专业电镀企业入园率达到90%以上。</w:t>
                  </w:r>
                </w:p>
                <w:p w14:paraId="28CEE76E">
                  <w:pPr>
                    <w:rPr>
                      <w:rFonts w:hint="eastAsia"/>
                      <w:vertAlign w:val="baseline"/>
                      <w:lang w:val="en-US" w:eastAsia="zh-CN"/>
                    </w:rPr>
                  </w:pPr>
                  <w:r>
                    <w:rPr>
                      <w:rFonts w:hint="eastAsia"/>
                      <w:vertAlign w:val="baseline"/>
                      <w:lang w:val="en-US" w:eastAsia="zh-CN"/>
                    </w:rPr>
                    <w:t>7.禁止在流域上游新建、扩建重污染企业和项目。</w:t>
                  </w:r>
                </w:p>
                <w:p w14:paraId="4043110C">
                  <w:pPr>
                    <w:rPr>
                      <w:rFonts w:hint="eastAsia"/>
                      <w:vertAlign w:val="baseline"/>
                      <w:lang w:val="en-US" w:eastAsia="zh-CN"/>
                    </w:rPr>
                  </w:pPr>
                  <w:r>
                    <w:rPr>
                      <w:rFonts w:hint="eastAsia"/>
                      <w:vertAlign w:val="baseline"/>
                      <w:lang w:val="en-US" w:eastAsia="zh-CN"/>
                    </w:rPr>
                    <w:t>8.重要敏感水体及富营养化湖库生态缓冲带，除相关政府部门批准的科学研究活动外，禁止其它可能对保护区构成危害或不良影响的大规模生产、建设活动。9.新、改、扩建煤电、钢铁、建材、石化、化工等“两高”项目，严格落实国家、省、市产业规划、产业政策、“三线一单”、规划环评，以及产能置换、煤炭消费减量替代、区域污染削减等相关要求。</w:t>
                  </w:r>
                </w:p>
                <w:p w14:paraId="7FBD9E3B">
                  <w:pPr>
                    <w:rPr>
                      <w:rFonts w:hint="eastAsia"/>
                      <w:vertAlign w:val="baseline"/>
                      <w:lang w:val="en-US" w:eastAsia="zh-CN"/>
                    </w:rPr>
                  </w:pPr>
                  <w:r>
                    <w:rPr>
                      <w:rFonts w:hint="eastAsia"/>
                      <w:vertAlign w:val="baseline"/>
                      <w:lang w:val="en-US" w:eastAsia="zh-CN"/>
                    </w:rPr>
                    <w:t>10.单元内涉及永久基本农田的，应按照《福建省基本农田保护条例》（2010年修正本）、《国土资源部关于全面实行永久共本农田特殊保护的通知》（国土资规〔2018〕1号）、《中共中央国务院关于加强耕地保护和改进占补平衡的意见》（2017年1月9日）等相关文件要求进行严格管理，一般建设项目不得占用永久基本农田，重大建设项目选址确实难以避让永久基本农田的，必须依法依规办理。严禁通过擅自调整县乡国土空间规划，规避占用永久基本农田的审批。禁止随意砍伐防风固沙林和农田保护林。严格按照自然资源部、农业农村部、国家林业和草原局《关于严格耕地用途管制有关问题的通知》（自然资发〔2021〕166号）要求全面落实耕地用途管制。</w:t>
                  </w:r>
                </w:p>
              </w:tc>
              <w:tc>
                <w:tcPr>
                  <w:tcW w:w="1736" w:type="dxa"/>
                  <w:tcBorders>
                    <w:tl2br w:val="nil"/>
                    <w:tr2bl w:val="nil"/>
                  </w:tcBorders>
                  <w:shd w:val="clear" w:color="auto" w:fill="auto"/>
                  <w:vAlign w:val="center"/>
                </w:tcPr>
                <w:p w14:paraId="28C0EE40">
                  <w:pPr>
                    <w:rPr>
                      <w:rFonts w:hint="eastAsia"/>
                      <w:b/>
                      <w:bCs/>
                      <w:vertAlign w:val="baseline"/>
                      <w:lang w:val="en-US" w:eastAsia="zh-CN"/>
                    </w:rPr>
                  </w:pPr>
                  <w:r>
                    <w:rPr>
                      <w:rFonts w:hint="eastAsia"/>
                      <w:b/>
                      <w:bCs/>
                      <w:vertAlign w:val="baseline"/>
                      <w:lang w:val="en-US" w:eastAsia="zh-CN"/>
                    </w:rPr>
                    <w:t>二、优先保护单元中的一般生态空间</w:t>
                  </w:r>
                </w:p>
                <w:p w14:paraId="493216CC">
                  <w:pPr>
                    <w:rPr>
                      <w:rFonts w:hint="eastAsia" w:cs="Times New Roman"/>
                      <w:color w:val="auto"/>
                      <w:kern w:val="2"/>
                      <w:sz w:val="21"/>
                      <w:szCs w:val="21"/>
                      <w:shd w:val="clear"/>
                      <w:lang w:val="en-US" w:eastAsia="zh-CN" w:bidi="ar-SA"/>
                    </w:rPr>
                  </w:pPr>
                  <w:r>
                    <w:rPr>
                      <w:rFonts w:hint="eastAsia" w:ascii="Times New Roman" w:hAnsi="Times New Roman" w:eastAsia="宋体" w:cs="Times New Roman"/>
                      <w:color w:val="auto"/>
                      <w:kern w:val="2"/>
                      <w:sz w:val="21"/>
                      <w:szCs w:val="21"/>
                      <w:shd w:val="clear"/>
                      <w:lang w:val="en-US" w:eastAsia="zh-CN" w:bidi="ar-SA"/>
                    </w:rPr>
                    <w:t>本项目</w:t>
                  </w:r>
                  <w:r>
                    <w:rPr>
                      <w:rFonts w:hint="eastAsia" w:cs="Times New Roman"/>
                      <w:color w:val="auto"/>
                      <w:kern w:val="2"/>
                      <w:sz w:val="21"/>
                      <w:szCs w:val="21"/>
                      <w:shd w:val="clear"/>
                      <w:lang w:val="en-US" w:eastAsia="zh-CN" w:bidi="ar-SA"/>
                    </w:rPr>
                    <w:t>为</w:t>
                  </w:r>
                  <w:r>
                    <w:rPr>
                      <w:rFonts w:hint="eastAsia"/>
                      <w:color w:val="auto"/>
                      <w:sz w:val="21"/>
                      <w:szCs w:val="21"/>
                      <w:highlight w:val="none"/>
                      <w:lang w:eastAsia="zh-CN"/>
                    </w:rPr>
                    <w:t>Q8412中医医院。</w:t>
                  </w:r>
                  <w:r>
                    <w:rPr>
                      <w:rFonts w:hint="eastAsia" w:ascii="Times New Roman" w:hAnsi="Times New Roman" w:eastAsia="宋体" w:cs="Times New Roman"/>
                      <w:color w:val="auto"/>
                      <w:kern w:val="2"/>
                      <w:sz w:val="21"/>
                      <w:szCs w:val="21"/>
                      <w:shd w:val="clear"/>
                      <w:lang w:val="en-US" w:eastAsia="zh-CN" w:bidi="ar-SA"/>
                    </w:rPr>
                    <w:t>位于</w:t>
                  </w:r>
                  <w:r>
                    <w:rPr>
                      <w:rFonts w:hint="eastAsia" w:cs="Times New Roman"/>
                      <w:color w:val="auto"/>
                      <w:sz w:val="21"/>
                      <w:szCs w:val="21"/>
                      <w:lang w:val="en-US" w:eastAsia="zh-CN"/>
                    </w:rPr>
                    <w:t>福建省福州市罗源县凤山镇东大新村3号（2#楼、负压病房大楼以及1#楼1-3层）</w:t>
                  </w:r>
                  <w:r>
                    <w:rPr>
                      <w:rFonts w:hint="eastAsia" w:ascii="Times New Roman" w:hAnsi="Times New Roman" w:eastAsia="宋体" w:cs="Times New Roman"/>
                      <w:color w:val="auto"/>
                      <w:kern w:val="2"/>
                      <w:sz w:val="21"/>
                      <w:szCs w:val="21"/>
                      <w:shd w:val="clear"/>
                      <w:lang w:val="en-US" w:eastAsia="zh-CN" w:bidi="ar-SA"/>
                    </w:rPr>
                    <w:t>，项目建设与空间布局约束要求不冲突</w:t>
                  </w:r>
                  <w:r>
                    <w:rPr>
                      <w:rFonts w:hint="eastAsia" w:cs="Times New Roman"/>
                      <w:color w:val="auto"/>
                      <w:kern w:val="2"/>
                      <w:sz w:val="21"/>
                      <w:szCs w:val="21"/>
                      <w:shd w:val="clear"/>
                      <w:lang w:val="en-US" w:eastAsia="zh-CN" w:bidi="ar-SA"/>
                    </w:rPr>
                    <w:t>。</w:t>
                  </w:r>
                </w:p>
                <w:p w14:paraId="496F73BA">
                  <w:pPr>
                    <w:rPr>
                      <w:rFonts w:hint="eastAsia"/>
                      <w:b/>
                      <w:bCs/>
                      <w:vertAlign w:val="baseline"/>
                      <w:lang w:val="en-US" w:eastAsia="zh-CN"/>
                    </w:rPr>
                  </w:pPr>
                  <w:r>
                    <w:rPr>
                      <w:rFonts w:hint="eastAsia"/>
                      <w:b/>
                      <w:bCs/>
                      <w:vertAlign w:val="baseline"/>
                      <w:lang w:val="en-US" w:eastAsia="zh-CN"/>
                    </w:rPr>
                    <w:t>三、其它要求</w:t>
                  </w:r>
                </w:p>
                <w:p w14:paraId="63B9C482">
                  <w:pPr>
                    <w:rPr>
                      <w:rFonts w:hint="eastAsia" w:cs="Times New Roman"/>
                      <w:color w:val="auto"/>
                      <w:kern w:val="2"/>
                      <w:sz w:val="21"/>
                      <w:szCs w:val="21"/>
                      <w:shd w:val="clear"/>
                      <w:lang w:val="en-US" w:eastAsia="zh-CN" w:bidi="ar-SA"/>
                    </w:rPr>
                  </w:pPr>
                  <w:r>
                    <w:rPr>
                      <w:rFonts w:hint="eastAsia" w:cs="Times New Roman"/>
                      <w:color w:val="auto"/>
                      <w:kern w:val="2"/>
                      <w:sz w:val="21"/>
                      <w:szCs w:val="21"/>
                      <w:shd w:val="clear"/>
                      <w:lang w:val="en-US" w:eastAsia="zh-CN" w:bidi="ar-SA"/>
                    </w:rPr>
                    <w:t>1.项目不属于石化项目。</w:t>
                  </w:r>
                </w:p>
                <w:p w14:paraId="4E18FA6E">
                  <w:pPr>
                    <w:rPr>
                      <w:rFonts w:hint="eastAsia" w:cs="Times New Roman"/>
                      <w:color w:val="auto"/>
                      <w:kern w:val="2"/>
                      <w:sz w:val="21"/>
                      <w:szCs w:val="21"/>
                      <w:shd w:val="clear"/>
                      <w:lang w:val="en-US" w:eastAsia="zh-CN" w:bidi="ar-SA"/>
                    </w:rPr>
                  </w:pPr>
                  <w:r>
                    <w:rPr>
                      <w:rFonts w:hint="eastAsia" w:cs="Times New Roman"/>
                      <w:color w:val="auto"/>
                      <w:kern w:val="2"/>
                      <w:sz w:val="21"/>
                      <w:szCs w:val="21"/>
                      <w:shd w:val="clear"/>
                      <w:lang w:val="en-US" w:eastAsia="zh-CN" w:bidi="ar-SA"/>
                    </w:rPr>
                    <w:t>2.项目不属于制革项目，也不属于植物制浆、印染、合成革及人造革、电镀项目。</w:t>
                  </w:r>
                </w:p>
                <w:p w14:paraId="66A010CE">
                  <w:pPr>
                    <w:rPr>
                      <w:rFonts w:hint="eastAsia" w:cs="Times New Roman"/>
                      <w:color w:val="auto"/>
                      <w:kern w:val="2"/>
                      <w:sz w:val="21"/>
                      <w:szCs w:val="21"/>
                      <w:shd w:val="clear"/>
                      <w:lang w:val="en-US" w:eastAsia="zh-CN" w:bidi="ar-SA"/>
                    </w:rPr>
                  </w:pPr>
                  <w:r>
                    <w:rPr>
                      <w:rFonts w:hint="eastAsia" w:cs="Times New Roman"/>
                      <w:color w:val="auto"/>
                      <w:kern w:val="2"/>
                      <w:sz w:val="21"/>
                      <w:szCs w:val="21"/>
                      <w:shd w:val="clear"/>
                      <w:lang w:val="en-US" w:eastAsia="zh-CN" w:bidi="ar-SA"/>
                    </w:rPr>
                    <w:t>3.项目不属于大气重污染企业。</w:t>
                  </w:r>
                </w:p>
                <w:p w14:paraId="4965C120">
                  <w:pPr>
                    <w:rPr>
                      <w:rFonts w:hint="eastAsia" w:cs="Times New Roman"/>
                      <w:color w:val="auto"/>
                      <w:kern w:val="2"/>
                      <w:sz w:val="21"/>
                      <w:szCs w:val="21"/>
                      <w:shd w:val="clear"/>
                      <w:lang w:val="en-US" w:eastAsia="zh-CN" w:bidi="ar-SA"/>
                    </w:rPr>
                  </w:pPr>
                  <w:r>
                    <w:rPr>
                      <w:rFonts w:hint="eastAsia" w:cs="Times New Roman"/>
                      <w:color w:val="auto"/>
                      <w:kern w:val="2"/>
                      <w:sz w:val="21"/>
                      <w:szCs w:val="21"/>
                      <w:shd w:val="clear"/>
                      <w:lang w:val="en-US" w:eastAsia="zh-CN" w:bidi="ar-SA"/>
                    </w:rPr>
                    <w:t>4.项目不属于生产高VOCs含量有机溶剂型涂料、油墨和胶黏剂的项目。</w:t>
                  </w:r>
                </w:p>
                <w:p w14:paraId="1AB48015">
                  <w:pPr>
                    <w:rPr>
                      <w:rFonts w:hint="eastAsia" w:cs="Times New Roman"/>
                      <w:color w:val="auto"/>
                      <w:kern w:val="2"/>
                      <w:sz w:val="21"/>
                      <w:szCs w:val="21"/>
                      <w:shd w:val="clear"/>
                      <w:lang w:val="en-US" w:eastAsia="zh-CN" w:bidi="ar-SA"/>
                    </w:rPr>
                  </w:pPr>
                  <w:r>
                    <w:rPr>
                      <w:rFonts w:hint="eastAsia" w:cs="Times New Roman"/>
                      <w:color w:val="auto"/>
                      <w:kern w:val="2"/>
                      <w:sz w:val="21"/>
                      <w:szCs w:val="21"/>
                      <w:shd w:val="clear"/>
                      <w:lang w:val="en-US" w:eastAsia="zh-CN" w:bidi="ar-SA"/>
                    </w:rPr>
                    <w:t>5.项目不属于建陶产业。</w:t>
                  </w:r>
                </w:p>
                <w:p w14:paraId="5B18AF74">
                  <w:pPr>
                    <w:rPr>
                      <w:rFonts w:hint="eastAsia" w:cs="Times New Roman"/>
                      <w:color w:val="auto"/>
                      <w:kern w:val="2"/>
                      <w:sz w:val="21"/>
                      <w:szCs w:val="21"/>
                      <w:shd w:val="clear"/>
                      <w:lang w:val="en-US" w:eastAsia="zh-CN" w:bidi="ar-SA"/>
                    </w:rPr>
                  </w:pPr>
                  <w:r>
                    <w:rPr>
                      <w:rFonts w:hint="eastAsia" w:cs="Times New Roman"/>
                      <w:color w:val="auto"/>
                      <w:kern w:val="2"/>
                      <w:sz w:val="21"/>
                      <w:szCs w:val="21"/>
                      <w:shd w:val="clear"/>
                      <w:lang w:val="en-US" w:eastAsia="zh-CN" w:bidi="ar-SA"/>
                    </w:rPr>
                    <w:t>6.项目不涉及重点重金属污染物排放；不属于低端落后产能项目；不涉及用汞的电石法（聚）氯乙烯生产工艺，不属于电镀行业。</w:t>
                  </w:r>
                </w:p>
                <w:p w14:paraId="0E1E6A89">
                  <w:pPr>
                    <w:rPr>
                      <w:rFonts w:hint="eastAsia" w:cs="Times New Roman"/>
                      <w:color w:val="auto"/>
                      <w:kern w:val="2"/>
                      <w:sz w:val="21"/>
                      <w:szCs w:val="21"/>
                      <w:shd w:val="clear"/>
                      <w:lang w:val="en-US" w:eastAsia="zh-CN" w:bidi="ar-SA"/>
                    </w:rPr>
                  </w:pPr>
                  <w:r>
                    <w:rPr>
                      <w:rFonts w:hint="eastAsia" w:cs="Times New Roman"/>
                      <w:color w:val="auto"/>
                      <w:kern w:val="2"/>
                      <w:sz w:val="21"/>
                      <w:szCs w:val="21"/>
                      <w:shd w:val="clear"/>
                      <w:lang w:val="en-US" w:eastAsia="zh-CN" w:bidi="ar-SA"/>
                    </w:rPr>
                    <w:t>7. 项目不属于重污染企业和项目。</w:t>
                  </w:r>
                </w:p>
                <w:p w14:paraId="3533F3AB">
                  <w:pPr>
                    <w:rPr>
                      <w:rFonts w:hint="eastAsia" w:cs="Times New Roman"/>
                      <w:color w:val="auto"/>
                      <w:kern w:val="2"/>
                      <w:sz w:val="21"/>
                      <w:szCs w:val="21"/>
                      <w:shd w:val="clear"/>
                      <w:lang w:val="en-US" w:eastAsia="zh-CN" w:bidi="ar-SA"/>
                    </w:rPr>
                  </w:pPr>
                  <w:r>
                    <w:rPr>
                      <w:rFonts w:hint="eastAsia" w:cs="Times New Roman"/>
                      <w:color w:val="auto"/>
                      <w:kern w:val="2"/>
                      <w:sz w:val="21"/>
                      <w:szCs w:val="21"/>
                      <w:shd w:val="clear"/>
                      <w:lang w:val="en-US" w:eastAsia="zh-CN" w:bidi="ar-SA"/>
                    </w:rPr>
                    <w:t>8.项目不位于重要敏感水体及富营养化湖库生态缓冲带。</w:t>
                  </w:r>
                </w:p>
                <w:p w14:paraId="139D6F6F">
                  <w:pPr>
                    <w:rPr>
                      <w:rFonts w:hint="eastAsia" w:cs="Times New Roman"/>
                      <w:color w:val="auto"/>
                      <w:kern w:val="2"/>
                      <w:sz w:val="21"/>
                      <w:szCs w:val="21"/>
                      <w:shd w:val="clear"/>
                      <w:lang w:val="en-US" w:eastAsia="zh-CN" w:bidi="ar-SA"/>
                    </w:rPr>
                  </w:pPr>
                  <w:r>
                    <w:rPr>
                      <w:rFonts w:hint="eastAsia" w:cs="Times New Roman"/>
                      <w:color w:val="auto"/>
                      <w:kern w:val="2"/>
                      <w:sz w:val="21"/>
                      <w:szCs w:val="21"/>
                      <w:shd w:val="clear"/>
                      <w:lang w:val="en-US" w:eastAsia="zh-CN" w:bidi="ar-SA"/>
                    </w:rPr>
                    <w:t>9.项目不属于煤电、钢铁、建材、石化、化工等“两高”项目。</w:t>
                  </w:r>
                </w:p>
                <w:p w14:paraId="49841523">
                  <w:pPr>
                    <w:rPr>
                      <w:rFonts w:hint="default" w:cs="Times New Roman"/>
                      <w:color w:val="auto"/>
                      <w:kern w:val="2"/>
                      <w:sz w:val="21"/>
                      <w:szCs w:val="21"/>
                      <w:shd w:val="clear"/>
                      <w:lang w:val="en-US" w:eastAsia="zh-CN" w:bidi="ar-SA"/>
                    </w:rPr>
                  </w:pPr>
                  <w:r>
                    <w:rPr>
                      <w:rFonts w:hint="eastAsia" w:cs="Times New Roman"/>
                      <w:color w:val="auto"/>
                      <w:kern w:val="2"/>
                      <w:sz w:val="21"/>
                      <w:szCs w:val="21"/>
                      <w:shd w:val="clear"/>
                      <w:lang w:val="en-US" w:eastAsia="zh-CN" w:bidi="ar-SA"/>
                    </w:rPr>
                    <w:t>10.项目选址不涉及永久基本农田。</w:t>
                  </w:r>
                </w:p>
              </w:tc>
              <w:tc>
                <w:tcPr>
                  <w:tcW w:w="666" w:type="dxa"/>
                  <w:tcBorders>
                    <w:tl2br w:val="nil"/>
                    <w:tr2bl w:val="nil"/>
                  </w:tcBorders>
                  <w:shd w:val="clear" w:color="auto" w:fill="auto"/>
                  <w:vAlign w:val="center"/>
                </w:tcPr>
                <w:p w14:paraId="330A6EFF">
                  <w:pPr>
                    <w:rPr>
                      <w:rFonts w:hint="default"/>
                      <w:vertAlign w:val="baseline"/>
                      <w:lang w:val="en-US" w:eastAsia="zh-CN"/>
                    </w:rPr>
                  </w:pPr>
                  <w:r>
                    <w:rPr>
                      <w:rFonts w:hint="eastAsia"/>
                      <w:vertAlign w:val="baseline"/>
                      <w:lang w:val="en-US" w:eastAsia="zh-CN"/>
                    </w:rPr>
                    <w:t>符合</w:t>
                  </w:r>
                </w:p>
              </w:tc>
            </w:tr>
            <w:tr w14:paraId="5CFD5C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809" w:type="dxa"/>
                  <w:tcBorders>
                    <w:tl2br w:val="nil"/>
                    <w:tr2bl w:val="nil"/>
                  </w:tcBorders>
                  <w:shd w:val="clear" w:color="auto" w:fill="auto"/>
                  <w:vAlign w:val="center"/>
                </w:tcPr>
                <w:p w14:paraId="2CF647B6">
                  <w:pPr>
                    <w:pStyle w:val="92"/>
                    <w:keepNext w:val="0"/>
                    <w:keepLines w:val="0"/>
                    <w:widowControl/>
                    <w:suppressLineNumbers w:val="0"/>
                    <w:spacing w:before="0" w:beforeAutospacing="0" w:after="0" w:afterAutospacing="0"/>
                    <w:ind w:left="0" w:right="0"/>
                    <w:rPr>
                      <w:rFonts w:hint="default"/>
                      <w:color w:val="auto"/>
                      <w:lang w:val="en-US"/>
                    </w:rPr>
                  </w:pPr>
                  <w:r>
                    <w:rPr>
                      <w:rFonts w:hint="eastAsia" w:ascii="Times New Roman" w:hAnsi="Times New Roman" w:eastAsia="宋体" w:cs="宋体"/>
                      <w:color w:val="auto"/>
                    </w:rPr>
                    <w:t>污染物排放管控</w:t>
                  </w:r>
                </w:p>
              </w:tc>
              <w:tc>
                <w:tcPr>
                  <w:tcW w:w="3887" w:type="dxa"/>
                  <w:tcBorders>
                    <w:tl2br w:val="nil"/>
                    <w:tr2bl w:val="nil"/>
                  </w:tcBorders>
                  <w:shd w:val="clear" w:color="auto" w:fill="auto"/>
                  <w:vAlign w:val="center"/>
                </w:tcPr>
                <w:p w14:paraId="19A7FA70">
                  <w:pPr>
                    <w:rPr>
                      <w:rFonts w:hint="eastAsia"/>
                      <w:vertAlign w:val="baseline"/>
                      <w:lang w:val="en-US" w:eastAsia="zh-CN"/>
                    </w:rPr>
                  </w:pPr>
                  <w:r>
                    <w:rPr>
                      <w:rFonts w:hint="eastAsia"/>
                      <w:vertAlign w:val="baseline"/>
                      <w:lang w:val="en-US" w:eastAsia="zh-CN"/>
                    </w:rPr>
                    <w:t>1.工业类新（改、扩）建项目新增主要污染物（水污染物化学需氧量、氨氮和大气污染物二氧化硫、氮氧化物）排放总量指标应符合区域环境质量和总量控制要求，立足于通过“以新带老”、削减存量，努力实现区域、企业自身总量平衡。总量指标来源、审核和监督管理按照“榕环保综〔2017〕90号”等相关文件执行。</w:t>
                  </w:r>
                </w:p>
                <w:p w14:paraId="3575A4A5">
                  <w:pPr>
                    <w:rPr>
                      <w:rFonts w:hint="eastAsia"/>
                      <w:vertAlign w:val="baseline"/>
                      <w:lang w:val="en-US" w:eastAsia="zh-CN"/>
                    </w:rPr>
                  </w:pPr>
                  <w:r>
                    <w:rPr>
                      <w:rFonts w:hint="eastAsia"/>
                      <w:vertAlign w:val="baseline"/>
                      <w:lang w:val="en-US" w:eastAsia="zh-CN"/>
                    </w:rPr>
                    <w:t>2.新、改、扩建涉VOCs排放项目，应从源头加强控制，使用低（无）VOCs含量的原辅材料，实施新建项目VOCs排放区域内1.2倍及以上倍量替代。</w:t>
                  </w:r>
                </w:p>
                <w:p w14:paraId="51B1F70C">
                  <w:pPr>
                    <w:rPr>
                      <w:rFonts w:hint="eastAsia"/>
                      <w:vertAlign w:val="baseline"/>
                      <w:lang w:val="en-US" w:eastAsia="zh-CN"/>
                    </w:rPr>
                  </w:pPr>
                  <w:r>
                    <w:rPr>
                      <w:rFonts w:hint="eastAsia"/>
                      <w:vertAlign w:val="baseline"/>
                      <w:lang w:val="en-US" w:eastAsia="zh-CN"/>
                    </w:rPr>
                    <w:t>3.严格控制新建、改建、扩建钢铁、水泥、平板玻璃、有色金属冶炼、化工等工业项目。新改扩建钢铁、火电项目应执行超低排放限值，有色项目应当执行大气污染物特别排放限值。重点控制区新建化工、石化应当执行大气污染物特别排放限值。</w:t>
                  </w:r>
                </w:p>
                <w:p w14:paraId="61480661">
                  <w:pPr>
                    <w:rPr>
                      <w:rFonts w:hint="eastAsia"/>
                      <w:vertAlign w:val="baseline"/>
                      <w:lang w:val="en-US" w:eastAsia="zh-CN"/>
                    </w:rPr>
                  </w:pPr>
                  <w:r>
                    <w:rPr>
                      <w:rFonts w:hint="eastAsia"/>
                      <w:vertAlign w:val="baseline"/>
                      <w:lang w:val="en-US" w:eastAsia="zh-CN"/>
                    </w:rPr>
                    <w:t>4.氟化工、印染、电镀等行业企业实行水污染物特别排放限值。</w:t>
                  </w:r>
                </w:p>
                <w:p w14:paraId="0AF7FB08">
                  <w:pPr>
                    <w:rPr>
                      <w:rFonts w:hint="eastAsia"/>
                      <w:vertAlign w:val="baseline"/>
                      <w:lang w:val="en-US" w:eastAsia="zh-CN"/>
                    </w:rPr>
                  </w:pPr>
                  <w:r>
                    <w:rPr>
                      <w:rFonts w:hint="eastAsia"/>
                      <w:vertAlign w:val="baseline"/>
                      <w:lang w:val="en-US" w:eastAsia="zh-CN"/>
                    </w:rPr>
                    <w:t>5.新、改、扩建重点行业［2］建设项目要遵循重点重金属污染物排放“等量替代”原则，总量来源原则上应是同一重点行业内的削减量，当同一重点行业无法满足时可从其他重点行业调剂。</w:t>
                  </w:r>
                </w:p>
                <w:p w14:paraId="58953252">
                  <w:pPr>
                    <w:rPr>
                      <w:rFonts w:hint="eastAsia"/>
                      <w:vertAlign w:val="baseline"/>
                      <w:lang w:val="en-US" w:eastAsia="zh-CN"/>
                    </w:rPr>
                  </w:pPr>
                  <w:r>
                    <w:rPr>
                      <w:rFonts w:hint="eastAsia"/>
                      <w:vertAlign w:val="baseline"/>
                      <w:lang w:val="en-US" w:eastAsia="zh-CN"/>
                    </w:rPr>
                    <w:t>6.每小时35（含）—65蒸吨燃煤锅炉和位于县级及以上城市建成区内保留的燃煤、燃油、燃生物质锅炉，原则上2024年底前必须全面实现超低排放。</w:t>
                  </w:r>
                </w:p>
                <w:p w14:paraId="72735F57">
                  <w:pPr>
                    <w:rPr>
                      <w:rFonts w:hint="eastAsia"/>
                      <w:vertAlign w:val="baseline"/>
                      <w:lang w:val="en-US" w:eastAsia="zh-CN"/>
                    </w:rPr>
                  </w:pPr>
                  <w:r>
                    <w:rPr>
                      <w:rFonts w:hint="eastAsia"/>
                      <w:vertAlign w:val="baseline"/>
                      <w:lang w:val="en-US" w:eastAsia="zh-CN"/>
                    </w:rPr>
                    <w:t>7.水泥行业新改扩建项目应严格对照超低排放、能效标杆水平建设实施；现有项目超低排放改造应按文件（闽环规〔2023〕2号）的时限要求分步推进，2025年底前全面完成［3］［4］。</w:t>
                  </w:r>
                </w:p>
                <w:p w14:paraId="473B40DD">
                  <w:pPr>
                    <w:rPr>
                      <w:rFonts w:hint="default" w:ascii="Times New Roman" w:hAnsi="Times New Roman" w:cs="Times New Roman"/>
                      <w:color w:val="auto"/>
                      <w:sz w:val="21"/>
                      <w:szCs w:val="21"/>
                      <w:lang w:val="en-US"/>
                    </w:rPr>
                  </w:pPr>
                  <w:r>
                    <w:rPr>
                      <w:rFonts w:hint="eastAsia"/>
                      <w:vertAlign w:val="baseline"/>
                      <w:lang w:val="en-US" w:eastAsia="zh-CN"/>
                    </w:rPr>
                    <w:t>8.化工园区新建项目实施“禁限控”化学物质管控措施，项目在开展环境影响评价时应严格落实相关要求，严格涉新污染物建设项目源头防控和准入管理。以印染、皮革、农药、医药、涂料等行业为重点，推进有毒有害化学物质替代。严格落实废药品、废农药以及抗生素生产过程中产生的废母液、废反应基和废培养基等废物的收集利用处置要求。</w:t>
                  </w:r>
                </w:p>
              </w:tc>
              <w:tc>
                <w:tcPr>
                  <w:tcW w:w="1736" w:type="dxa"/>
                  <w:tcBorders>
                    <w:tl2br w:val="nil"/>
                    <w:tr2bl w:val="nil"/>
                  </w:tcBorders>
                  <w:shd w:val="clear" w:color="auto" w:fill="auto"/>
                  <w:vAlign w:val="center"/>
                </w:tcPr>
                <w:p w14:paraId="4CC01DB3">
                  <w:pPr>
                    <w:pStyle w:val="92"/>
                    <w:keepNext w:val="0"/>
                    <w:keepLines w:val="0"/>
                    <w:widowControl/>
                    <w:suppressLineNumbers w:val="0"/>
                    <w:spacing w:before="0" w:beforeAutospacing="0" w:after="0" w:afterAutospacing="0"/>
                    <w:ind w:left="0" w:right="0"/>
                    <w:jc w:val="both"/>
                    <w:rPr>
                      <w:rFonts w:hint="default"/>
                      <w:color w:val="auto"/>
                      <w:vertAlign w:val="baseline"/>
                      <w:lang w:val="en-US" w:eastAsia="zh-CN"/>
                    </w:rPr>
                  </w:pPr>
                  <w:r>
                    <w:rPr>
                      <w:rFonts w:hint="eastAsia"/>
                      <w:color w:val="auto"/>
                      <w:lang w:val="en-US" w:eastAsia="zh-CN"/>
                    </w:rPr>
                    <w:t>1.</w:t>
                  </w:r>
                  <w:r>
                    <w:rPr>
                      <w:rFonts w:hint="default"/>
                      <w:color w:val="auto"/>
                      <w:highlight w:val="none"/>
                      <w:lang w:val="en-US" w:eastAsia="zh-CN"/>
                    </w:rPr>
                    <w:t>本项目属于服务型项目，非工业项目，不属于工业排污单位，不属于应实施排污权有偿使用和交易的单位，需纳入总量指标管理，故无需申请废水和废气的总量</w:t>
                  </w:r>
                  <w:r>
                    <w:rPr>
                      <w:rFonts w:hint="eastAsia"/>
                      <w:color w:val="auto"/>
                      <w:highlight w:val="none"/>
                      <w:lang w:val="en-US" w:eastAsia="zh-CN"/>
                    </w:rPr>
                    <w:t>指标。</w:t>
                  </w:r>
                </w:p>
                <w:p w14:paraId="3C17E28E">
                  <w:pPr>
                    <w:pStyle w:val="92"/>
                    <w:keepNext w:val="0"/>
                    <w:keepLines w:val="0"/>
                    <w:widowControl/>
                    <w:suppressLineNumbers w:val="0"/>
                    <w:spacing w:before="0" w:beforeAutospacing="0" w:after="0" w:afterAutospacing="0"/>
                    <w:ind w:left="0" w:right="0"/>
                    <w:jc w:val="both"/>
                    <w:rPr>
                      <w:rFonts w:hint="eastAsia"/>
                      <w:color w:val="000000" w:themeColor="text1"/>
                      <w:shd w:val="clear"/>
                      <w:lang w:val="en-US" w:eastAsia="zh-CN"/>
                      <w14:textFill>
                        <w14:solidFill>
                          <w14:schemeClr w14:val="tx1"/>
                        </w14:solidFill>
                      </w14:textFill>
                    </w:rPr>
                  </w:pPr>
                  <w:r>
                    <w:rPr>
                      <w:rFonts w:hint="eastAsia"/>
                      <w:color w:val="auto"/>
                      <w:lang w:val="en-US" w:eastAsia="zh-CN"/>
                    </w:rPr>
                    <w:t>2.</w:t>
                  </w:r>
                  <w:r>
                    <w:rPr>
                      <w:rFonts w:hint="eastAsia"/>
                      <w:color w:val="auto"/>
                      <w:shd w:val="clear"/>
                      <w:lang w:val="en-US" w:eastAsia="zh-CN"/>
                    </w:rPr>
                    <w:t>项目位于</w:t>
                  </w:r>
                  <w:r>
                    <w:rPr>
                      <w:rFonts w:hint="eastAsia" w:cs="Times New Roman"/>
                      <w:color w:val="auto"/>
                      <w:sz w:val="21"/>
                      <w:szCs w:val="21"/>
                      <w:lang w:val="en-US" w:eastAsia="zh-CN"/>
                    </w:rPr>
                    <w:t>福建省福州市罗源县凤山镇</w:t>
                  </w:r>
                  <w:r>
                    <w:rPr>
                      <w:rFonts w:hint="eastAsia" w:cs="Times New Roman"/>
                      <w:color w:val="000000" w:themeColor="text1"/>
                      <w:sz w:val="21"/>
                      <w:szCs w:val="21"/>
                      <w:lang w:val="en-US" w:eastAsia="zh-CN"/>
                      <w14:textFill>
                        <w14:solidFill>
                          <w14:schemeClr w14:val="tx1"/>
                        </w14:solidFill>
                      </w14:textFill>
                    </w:rPr>
                    <w:t>东大新村3号（2#楼、负压病房大楼以及1#楼1-3层）</w:t>
                  </w:r>
                  <w:r>
                    <w:rPr>
                      <w:rFonts w:hint="eastAsia"/>
                      <w:color w:val="000000" w:themeColor="text1"/>
                      <w:shd w:val="clear"/>
                      <w:lang w:val="en-US" w:eastAsia="zh-CN"/>
                      <w14:textFill>
                        <w14:solidFill>
                          <w14:schemeClr w14:val="tx1"/>
                        </w14:solidFill>
                      </w14:textFill>
                    </w:rPr>
                    <w:t>，属于规定的污染物管控区域。项目不涉及VOCs排放。</w:t>
                  </w:r>
                </w:p>
                <w:p w14:paraId="7D8C647E">
                  <w:pPr>
                    <w:pStyle w:val="92"/>
                    <w:keepNext w:val="0"/>
                    <w:keepLines w:val="0"/>
                    <w:widowControl/>
                    <w:suppressLineNumbers w:val="0"/>
                    <w:spacing w:before="0" w:beforeAutospacing="0" w:after="0" w:afterAutospacing="0"/>
                    <w:ind w:left="0" w:right="0"/>
                    <w:jc w:val="both"/>
                    <w:rPr>
                      <w:rFonts w:hint="eastAsia"/>
                      <w:color w:val="000000" w:themeColor="text1"/>
                      <w:shd w:val="clear"/>
                      <w:lang w:val="en-US" w:eastAsia="zh-CN"/>
                      <w14:textFill>
                        <w14:solidFill>
                          <w14:schemeClr w14:val="tx1"/>
                        </w14:solidFill>
                      </w14:textFill>
                    </w:rPr>
                  </w:pPr>
                  <w:r>
                    <w:rPr>
                      <w:rFonts w:hint="eastAsia"/>
                      <w:color w:val="000000" w:themeColor="text1"/>
                      <w:shd w:val="clear"/>
                      <w:lang w:val="en-US" w:eastAsia="zh-CN"/>
                      <w14:textFill>
                        <w14:solidFill>
                          <w14:schemeClr w14:val="tx1"/>
                        </w14:solidFill>
                      </w14:textFill>
                    </w:rPr>
                    <w:t>3.项目</w:t>
                  </w:r>
                  <w:r>
                    <w:rPr>
                      <w:rFonts w:hint="eastAsia" w:cs="Times New Roman"/>
                      <w:color w:val="000000" w:themeColor="text1"/>
                      <w:kern w:val="2"/>
                      <w:sz w:val="21"/>
                      <w:szCs w:val="21"/>
                      <w:shd w:val="clear"/>
                      <w:lang w:val="en-US" w:eastAsia="zh-CN" w:bidi="ar-SA"/>
                      <w14:textFill>
                        <w14:solidFill>
                          <w14:schemeClr w14:val="tx1"/>
                        </w14:solidFill>
                      </w14:textFill>
                    </w:rPr>
                    <w:t>为</w:t>
                  </w:r>
                  <w:r>
                    <w:rPr>
                      <w:rFonts w:hint="eastAsia"/>
                      <w:color w:val="000000" w:themeColor="text1"/>
                      <w:sz w:val="21"/>
                      <w:szCs w:val="21"/>
                      <w:highlight w:val="none"/>
                      <w:lang w:eastAsia="zh-CN"/>
                      <w14:textFill>
                        <w14:solidFill>
                          <w14:schemeClr w14:val="tx1"/>
                        </w14:solidFill>
                      </w14:textFill>
                    </w:rPr>
                    <w:t>Q8412中医医院。</w:t>
                  </w:r>
                  <w:r>
                    <w:rPr>
                      <w:rFonts w:hint="eastAsia"/>
                      <w:color w:val="000000" w:themeColor="text1"/>
                      <w:shd w:val="clear"/>
                      <w:lang w:val="en-US" w:eastAsia="zh-CN"/>
                      <w14:textFill>
                        <w14:solidFill>
                          <w14:schemeClr w14:val="tx1"/>
                        </w14:solidFill>
                      </w14:textFill>
                    </w:rPr>
                    <w:t>不属于</w:t>
                  </w:r>
                  <w:r>
                    <w:rPr>
                      <w:rFonts w:hint="default" w:ascii="Times New Roman" w:hAnsi="Times New Roman" w:eastAsia="宋体" w:cs="Times New Roman"/>
                      <w:color w:val="000000" w:themeColor="text1"/>
                      <w:kern w:val="0"/>
                      <w:sz w:val="21"/>
                      <w:szCs w:val="21"/>
                      <w:shd w:val="clear"/>
                      <w:lang w:val="en-US" w:eastAsia="zh-CN" w:bidi="ar"/>
                      <w14:textFill>
                        <w14:solidFill>
                          <w14:schemeClr w14:val="tx1"/>
                        </w14:solidFill>
                      </w14:textFill>
                    </w:rPr>
                    <w:t>钢铁、水泥、平板玻璃、有色金属冶炼、化工</w:t>
                  </w:r>
                  <w:r>
                    <w:rPr>
                      <w:rFonts w:hint="eastAsia"/>
                      <w:color w:val="000000" w:themeColor="text1"/>
                      <w:shd w:val="clear"/>
                      <w:lang w:val="en-US" w:eastAsia="zh-CN"/>
                      <w14:textFill>
                        <w14:solidFill>
                          <w14:schemeClr w14:val="tx1"/>
                        </w14:solidFill>
                      </w14:textFill>
                    </w:rPr>
                    <w:t>项目。</w:t>
                  </w:r>
                </w:p>
                <w:p w14:paraId="20E82F1E">
                  <w:pPr>
                    <w:pStyle w:val="92"/>
                    <w:keepNext w:val="0"/>
                    <w:keepLines w:val="0"/>
                    <w:widowControl/>
                    <w:suppressLineNumbers w:val="0"/>
                    <w:spacing w:before="0" w:beforeAutospacing="0" w:after="0" w:afterAutospacing="0"/>
                    <w:ind w:left="0" w:right="0"/>
                    <w:jc w:val="both"/>
                    <w:rPr>
                      <w:rFonts w:hint="eastAsia"/>
                      <w:color w:val="000000" w:themeColor="text1"/>
                      <w:shd w:val="clear"/>
                      <w:lang w:val="en-US" w:eastAsia="zh-CN"/>
                      <w14:textFill>
                        <w14:solidFill>
                          <w14:schemeClr w14:val="tx1"/>
                        </w14:solidFill>
                      </w14:textFill>
                    </w:rPr>
                  </w:pPr>
                  <w:r>
                    <w:rPr>
                      <w:rFonts w:hint="eastAsia"/>
                      <w:color w:val="000000" w:themeColor="text1"/>
                      <w:shd w:val="clear"/>
                      <w:lang w:val="en-US" w:eastAsia="zh-CN"/>
                      <w14:textFill>
                        <w14:solidFill>
                          <w14:schemeClr w14:val="tx1"/>
                        </w14:solidFill>
                      </w14:textFill>
                    </w:rPr>
                    <w:t>4.项目不属于氟化工、印染、电镀等行业。</w:t>
                  </w:r>
                </w:p>
                <w:p w14:paraId="20304C9E">
                  <w:pPr>
                    <w:pStyle w:val="92"/>
                    <w:keepNext w:val="0"/>
                    <w:keepLines w:val="0"/>
                    <w:widowControl/>
                    <w:suppressLineNumbers w:val="0"/>
                    <w:spacing w:before="0" w:beforeAutospacing="0" w:after="0" w:afterAutospacing="0"/>
                    <w:ind w:left="0" w:right="0"/>
                    <w:jc w:val="both"/>
                    <w:rPr>
                      <w:rFonts w:hint="eastAsia"/>
                      <w:color w:val="000000" w:themeColor="text1"/>
                      <w:shd w:val="clear"/>
                      <w:lang w:val="en-US" w:eastAsia="zh-CN"/>
                      <w14:textFill>
                        <w14:solidFill>
                          <w14:schemeClr w14:val="tx1"/>
                        </w14:solidFill>
                      </w14:textFill>
                    </w:rPr>
                  </w:pPr>
                  <w:r>
                    <w:rPr>
                      <w:rFonts w:hint="eastAsia"/>
                      <w:color w:val="000000" w:themeColor="text1"/>
                      <w:shd w:val="clear"/>
                      <w:lang w:val="en-US" w:eastAsia="zh-CN"/>
                      <w14:textFill>
                        <w14:solidFill>
                          <w14:schemeClr w14:val="tx1"/>
                        </w14:solidFill>
                      </w14:textFill>
                    </w:rPr>
                    <w:t>5.项目不属于重点行业建设项目。</w:t>
                  </w:r>
                </w:p>
                <w:p w14:paraId="1A263A77">
                  <w:pPr>
                    <w:pStyle w:val="92"/>
                    <w:keepNext w:val="0"/>
                    <w:keepLines w:val="0"/>
                    <w:widowControl/>
                    <w:suppressLineNumbers w:val="0"/>
                    <w:spacing w:before="0" w:beforeAutospacing="0" w:after="0" w:afterAutospacing="0"/>
                    <w:ind w:left="0" w:right="0"/>
                    <w:jc w:val="both"/>
                    <w:rPr>
                      <w:rFonts w:hint="eastAsia"/>
                      <w:color w:val="000000" w:themeColor="text1"/>
                      <w:shd w:val="clear"/>
                      <w:lang w:val="en-US" w:eastAsia="zh-CN"/>
                      <w14:textFill>
                        <w14:solidFill>
                          <w14:schemeClr w14:val="tx1"/>
                        </w14:solidFill>
                      </w14:textFill>
                    </w:rPr>
                  </w:pPr>
                  <w:r>
                    <w:rPr>
                      <w:rFonts w:hint="eastAsia"/>
                      <w:color w:val="000000" w:themeColor="text1"/>
                      <w:shd w:val="clear"/>
                      <w:lang w:val="en-US" w:eastAsia="zh-CN"/>
                      <w14:textFill>
                        <w14:solidFill>
                          <w14:schemeClr w14:val="tx1"/>
                        </w14:solidFill>
                      </w14:textFill>
                    </w:rPr>
                    <w:t>6.项目不涉及燃煤锅炉。</w:t>
                  </w:r>
                </w:p>
                <w:p w14:paraId="3C07DDBC">
                  <w:pPr>
                    <w:pStyle w:val="92"/>
                    <w:keepNext w:val="0"/>
                    <w:keepLines w:val="0"/>
                    <w:widowControl/>
                    <w:suppressLineNumbers w:val="0"/>
                    <w:spacing w:before="0" w:beforeAutospacing="0" w:after="0" w:afterAutospacing="0"/>
                    <w:ind w:left="0" w:right="0"/>
                    <w:jc w:val="both"/>
                    <w:rPr>
                      <w:rFonts w:hint="eastAsia"/>
                      <w:color w:val="000000" w:themeColor="text1"/>
                      <w:shd w:val="clear"/>
                      <w:lang w:val="en-US" w:eastAsia="zh-CN"/>
                      <w14:textFill>
                        <w14:solidFill>
                          <w14:schemeClr w14:val="tx1"/>
                        </w14:solidFill>
                      </w14:textFill>
                    </w:rPr>
                  </w:pPr>
                  <w:r>
                    <w:rPr>
                      <w:rFonts w:hint="eastAsia"/>
                      <w:color w:val="000000" w:themeColor="text1"/>
                      <w:shd w:val="clear"/>
                      <w:lang w:val="en-US" w:eastAsia="zh-CN"/>
                      <w14:textFill>
                        <w14:solidFill>
                          <w14:schemeClr w14:val="tx1"/>
                        </w14:solidFill>
                      </w14:textFill>
                    </w:rPr>
                    <w:t>7.项目不属于水泥行业。</w:t>
                  </w:r>
                </w:p>
                <w:p w14:paraId="30FCC7C2">
                  <w:pPr>
                    <w:pStyle w:val="92"/>
                    <w:keepNext w:val="0"/>
                    <w:keepLines w:val="0"/>
                    <w:widowControl/>
                    <w:suppressLineNumbers w:val="0"/>
                    <w:spacing w:before="0" w:beforeAutospacing="0" w:after="0" w:afterAutospacing="0"/>
                    <w:ind w:left="0" w:right="0"/>
                    <w:jc w:val="both"/>
                    <w:rPr>
                      <w:rFonts w:hint="default"/>
                      <w:color w:val="000000" w:themeColor="text1"/>
                      <w:shd w:val="clear"/>
                      <w:lang w:val="en-US" w:eastAsia="zh-CN"/>
                      <w14:textFill>
                        <w14:solidFill>
                          <w14:schemeClr w14:val="tx1"/>
                        </w14:solidFill>
                      </w14:textFill>
                    </w:rPr>
                  </w:pPr>
                  <w:r>
                    <w:rPr>
                      <w:rFonts w:hint="eastAsia"/>
                      <w:color w:val="000000" w:themeColor="text1"/>
                      <w:shd w:val="clear"/>
                      <w:lang w:val="en-US" w:eastAsia="zh-CN"/>
                      <w14:textFill>
                        <w14:solidFill>
                          <w14:schemeClr w14:val="tx1"/>
                        </w14:solidFill>
                      </w14:textFill>
                    </w:rPr>
                    <w:t>8.项目不位于化工园区，不属于印染、</w:t>
                  </w:r>
                  <w:r>
                    <w:rPr>
                      <w:rFonts w:hint="eastAsia"/>
                      <w:color w:val="000000" w:themeColor="text1"/>
                      <w:vertAlign w:val="baseline"/>
                      <w:lang w:val="en-US" w:eastAsia="zh-CN"/>
                      <w14:textFill>
                        <w14:solidFill>
                          <w14:schemeClr w14:val="tx1"/>
                        </w14:solidFill>
                      </w14:textFill>
                    </w:rPr>
                    <w:t>皮革、农药、医药、涂料等行业。不涉及废药品、废农药以及抗生素生产过程中产生的废母液、废反应基和废培养基等废物。</w:t>
                  </w:r>
                </w:p>
              </w:tc>
              <w:tc>
                <w:tcPr>
                  <w:tcW w:w="666" w:type="dxa"/>
                  <w:tcBorders>
                    <w:tl2br w:val="nil"/>
                    <w:tr2bl w:val="nil"/>
                  </w:tcBorders>
                  <w:shd w:val="clear" w:color="auto" w:fill="auto"/>
                  <w:vAlign w:val="center"/>
                </w:tcPr>
                <w:p w14:paraId="757D6C16">
                  <w:pPr>
                    <w:pStyle w:val="92"/>
                    <w:keepNext w:val="0"/>
                    <w:keepLines w:val="0"/>
                    <w:widowControl/>
                    <w:suppressLineNumbers w:val="0"/>
                    <w:spacing w:before="0" w:beforeAutospacing="0" w:after="0" w:afterAutospacing="0"/>
                    <w:ind w:left="0" w:right="0"/>
                    <w:rPr>
                      <w:rFonts w:hint="default"/>
                      <w:color w:val="auto"/>
                      <w:lang w:val="en-US"/>
                    </w:rPr>
                  </w:pPr>
                  <w:r>
                    <w:rPr>
                      <w:rFonts w:hint="eastAsia" w:ascii="Times New Roman" w:hAnsi="Times New Roman" w:eastAsia="宋体" w:cs="宋体"/>
                      <w:color w:val="auto"/>
                    </w:rPr>
                    <w:t>符合</w:t>
                  </w:r>
                </w:p>
              </w:tc>
            </w:tr>
            <w:tr w14:paraId="5233E2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809" w:type="dxa"/>
                  <w:tcBorders>
                    <w:tl2br w:val="nil"/>
                    <w:tr2bl w:val="nil"/>
                  </w:tcBorders>
                  <w:shd w:val="clear" w:color="auto" w:fill="auto"/>
                  <w:vAlign w:val="center"/>
                </w:tcPr>
                <w:p w14:paraId="74F46995">
                  <w:pPr>
                    <w:pStyle w:val="92"/>
                    <w:keepNext w:val="0"/>
                    <w:keepLines w:val="0"/>
                    <w:widowControl/>
                    <w:suppressLineNumbers w:val="0"/>
                    <w:spacing w:before="0" w:beforeAutospacing="0" w:after="0" w:afterAutospacing="0"/>
                    <w:ind w:left="0" w:right="0"/>
                    <w:rPr>
                      <w:rFonts w:hint="eastAsia" w:ascii="Times New Roman" w:hAnsi="Times New Roman" w:eastAsia="宋体" w:cs="宋体"/>
                      <w:color w:val="auto"/>
                    </w:rPr>
                  </w:pPr>
                  <w:r>
                    <w:rPr>
                      <w:rFonts w:hint="eastAsia" w:ascii="Times New Roman" w:hAnsi="Times New Roman" w:eastAsia="宋体" w:cs="宋体"/>
                      <w:color w:val="auto"/>
                    </w:rPr>
                    <w:t>环境风险防控</w:t>
                  </w:r>
                </w:p>
              </w:tc>
              <w:tc>
                <w:tcPr>
                  <w:tcW w:w="3887" w:type="dxa"/>
                  <w:tcBorders>
                    <w:tl2br w:val="nil"/>
                    <w:tr2bl w:val="nil"/>
                  </w:tcBorders>
                  <w:shd w:val="clear" w:color="auto" w:fill="auto"/>
                  <w:vAlign w:val="top"/>
                </w:tcPr>
                <w:p w14:paraId="0F6584FC">
                  <w:pPr>
                    <w:pStyle w:val="92"/>
                    <w:keepNext w:val="0"/>
                    <w:keepLines w:val="0"/>
                    <w:widowControl/>
                    <w:suppressLineNumbers w:val="0"/>
                    <w:spacing w:before="0" w:beforeAutospacing="0" w:after="0" w:afterAutospacing="0"/>
                    <w:ind w:right="0"/>
                    <w:jc w:val="center"/>
                    <w:rPr>
                      <w:rFonts w:hint="eastAsia" w:ascii="Times New Roman" w:hAnsi="Times New Roman" w:eastAsia="宋体" w:cs="宋体"/>
                      <w:color w:val="auto"/>
                      <w:lang w:val="en-US" w:eastAsia="zh-CN"/>
                    </w:rPr>
                  </w:pPr>
                  <w:r>
                    <w:rPr>
                      <w:rFonts w:hint="eastAsia" w:cs="宋体"/>
                      <w:color w:val="auto"/>
                      <w:lang w:val="en-US" w:eastAsia="zh-CN"/>
                    </w:rPr>
                    <w:t>无</w:t>
                  </w:r>
                </w:p>
              </w:tc>
              <w:tc>
                <w:tcPr>
                  <w:tcW w:w="1736" w:type="dxa"/>
                  <w:tcBorders>
                    <w:tl2br w:val="nil"/>
                    <w:tr2bl w:val="nil"/>
                  </w:tcBorders>
                  <w:shd w:val="clear" w:color="auto" w:fill="auto"/>
                  <w:vAlign w:val="center"/>
                </w:tcPr>
                <w:p w14:paraId="733B1F1D">
                  <w:pPr>
                    <w:pStyle w:val="92"/>
                    <w:keepNext w:val="0"/>
                    <w:keepLines w:val="0"/>
                    <w:widowControl/>
                    <w:suppressLineNumbers w:val="0"/>
                    <w:spacing w:before="0" w:beforeAutospacing="0" w:after="0" w:afterAutospacing="0"/>
                    <w:ind w:left="0" w:right="0"/>
                    <w:jc w:val="center"/>
                    <w:rPr>
                      <w:rFonts w:hint="default"/>
                      <w:color w:val="auto"/>
                      <w:lang w:val="en-US" w:eastAsia="zh-CN"/>
                    </w:rPr>
                  </w:pPr>
                  <w:r>
                    <w:rPr>
                      <w:rFonts w:hint="eastAsia"/>
                      <w:color w:val="auto"/>
                      <w:lang w:val="en-US" w:eastAsia="zh-CN"/>
                    </w:rPr>
                    <w:t>/</w:t>
                  </w:r>
                </w:p>
              </w:tc>
              <w:tc>
                <w:tcPr>
                  <w:tcW w:w="666" w:type="dxa"/>
                  <w:tcBorders>
                    <w:tl2br w:val="nil"/>
                    <w:tr2bl w:val="nil"/>
                  </w:tcBorders>
                  <w:shd w:val="clear" w:color="auto" w:fill="auto"/>
                  <w:vAlign w:val="center"/>
                </w:tcPr>
                <w:p w14:paraId="28F2D4EF">
                  <w:pPr>
                    <w:pStyle w:val="92"/>
                    <w:keepNext w:val="0"/>
                    <w:keepLines w:val="0"/>
                    <w:widowControl/>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w:t>
                  </w:r>
                </w:p>
              </w:tc>
            </w:tr>
            <w:tr w14:paraId="782348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809" w:type="dxa"/>
                  <w:tcBorders>
                    <w:tl2br w:val="nil"/>
                    <w:tr2bl w:val="nil"/>
                  </w:tcBorders>
                  <w:shd w:val="clear" w:color="auto" w:fill="auto"/>
                  <w:vAlign w:val="center"/>
                </w:tcPr>
                <w:p w14:paraId="482CB2F7">
                  <w:pPr>
                    <w:pStyle w:val="92"/>
                    <w:keepNext w:val="0"/>
                    <w:keepLines w:val="0"/>
                    <w:widowControl/>
                    <w:suppressLineNumbers w:val="0"/>
                    <w:spacing w:before="0" w:beforeAutospacing="0" w:after="0" w:afterAutospacing="0"/>
                    <w:ind w:left="0" w:right="0"/>
                    <w:rPr>
                      <w:rFonts w:hint="eastAsia" w:ascii="Times New Roman" w:hAnsi="Times New Roman" w:eastAsia="宋体" w:cs="宋体"/>
                      <w:color w:val="auto"/>
                    </w:rPr>
                  </w:pPr>
                  <w:r>
                    <w:rPr>
                      <w:rFonts w:hint="eastAsia" w:ascii="Times New Roman" w:hAnsi="Times New Roman" w:eastAsia="宋体" w:cs="宋体"/>
                      <w:color w:val="auto"/>
                    </w:rPr>
                    <w:t>资源开发效率要求</w:t>
                  </w:r>
                </w:p>
              </w:tc>
              <w:tc>
                <w:tcPr>
                  <w:tcW w:w="3887" w:type="dxa"/>
                  <w:tcBorders>
                    <w:tl2br w:val="nil"/>
                    <w:tr2bl w:val="nil"/>
                  </w:tcBorders>
                  <w:shd w:val="clear" w:color="auto" w:fill="auto"/>
                  <w:vAlign w:val="top"/>
                </w:tcPr>
                <w:p w14:paraId="510E4BC0">
                  <w:pPr>
                    <w:pStyle w:val="92"/>
                    <w:keepNext w:val="0"/>
                    <w:keepLines w:val="0"/>
                    <w:widowControl/>
                    <w:suppressLineNumbers w:val="0"/>
                    <w:spacing w:before="0" w:beforeAutospacing="0" w:after="0" w:afterAutospacing="0"/>
                    <w:ind w:left="0" w:right="0"/>
                    <w:rPr>
                      <w:rFonts w:hint="eastAsia"/>
                      <w:vertAlign w:val="baseline"/>
                      <w:lang w:val="en-US" w:eastAsia="zh-CN"/>
                    </w:rPr>
                  </w:pPr>
                  <w:r>
                    <w:rPr>
                      <w:rFonts w:hint="eastAsia"/>
                      <w:vertAlign w:val="baseline"/>
                      <w:lang w:val="en-US" w:eastAsia="zh-CN"/>
                    </w:rPr>
                    <w:t>1.到2024年底，全市范围内每小时10蒸吨及以下燃煤锅炉全面淘汰；到2025年底，全市范围内每小时35蒸吨以下燃煤锅炉通过集中供热、清洁能源替代、深度治理等方式全面实现转型、升级、退出，县级及以上城市建成区在用锅炉（燃煤、燃油、燃生物质）全面改用电能等清洁能源或治理达到超低排放水平；禁止新建每小时35蒸吨以下燃煤锅炉，以及每小时10蒸吨及以下燃生物质和其他使用高污染燃料的锅炉。集中供热管网覆盖范围内禁止新建、扩建分散燃煤、燃油等供热锅炉。</w:t>
                  </w:r>
                </w:p>
                <w:p w14:paraId="5D16A575">
                  <w:pPr>
                    <w:pStyle w:val="92"/>
                    <w:keepNext w:val="0"/>
                    <w:keepLines w:val="0"/>
                    <w:widowControl/>
                    <w:suppressLineNumbers w:val="0"/>
                    <w:spacing w:before="0" w:beforeAutospacing="0" w:after="0" w:afterAutospacing="0"/>
                    <w:ind w:left="0" w:right="0"/>
                    <w:rPr>
                      <w:rFonts w:hint="default" w:ascii="Times New Roman" w:hAnsi="Times New Roman" w:eastAsia="宋体" w:cs="宋体"/>
                      <w:color w:val="auto"/>
                      <w:lang w:val="en-US" w:eastAsia="en-US"/>
                    </w:rPr>
                  </w:pPr>
                  <w:r>
                    <w:rPr>
                      <w:rFonts w:hint="eastAsia"/>
                      <w:vertAlign w:val="baseline"/>
                      <w:lang w:val="en-US" w:eastAsia="zh-CN"/>
                    </w:rPr>
                    <w:t>2.按照“提气、转电、控煤”的发展思路，推动陶瓷行业进一步优化用能结构，实现能源消费清洁低碳化。</w:t>
                  </w:r>
                </w:p>
              </w:tc>
              <w:tc>
                <w:tcPr>
                  <w:tcW w:w="1736" w:type="dxa"/>
                  <w:tcBorders>
                    <w:tl2br w:val="nil"/>
                    <w:tr2bl w:val="nil"/>
                  </w:tcBorders>
                  <w:shd w:val="clear" w:color="auto" w:fill="auto"/>
                  <w:vAlign w:val="center"/>
                </w:tcPr>
                <w:p w14:paraId="6B862848">
                  <w:pPr>
                    <w:pStyle w:val="92"/>
                    <w:keepNext w:val="0"/>
                    <w:keepLines w:val="0"/>
                    <w:widowControl/>
                    <w:suppressLineNumbers w:val="0"/>
                    <w:spacing w:before="0" w:beforeAutospacing="0" w:after="0" w:afterAutospacing="0"/>
                    <w:ind w:left="0" w:right="0"/>
                    <w:jc w:val="both"/>
                    <w:rPr>
                      <w:rFonts w:hint="eastAsia"/>
                      <w:color w:val="auto"/>
                      <w:shd w:val="clear"/>
                      <w:lang w:val="en-US" w:eastAsia="zh-CN"/>
                    </w:rPr>
                  </w:pPr>
                  <w:r>
                    <w:rPr>
                      <w:rFonts w:hint="eastAsia"/>
                      <w:color w:val="auto"/>
                      <w:shd w:val="clear"/>
                      <w:lang w:val="en-US" w:eastAsia="zh-CN"/>
                    </w:rPr>
                    <w:t>1.本项目不涉及左列锅炉，且本项目采用电能作为燃料，属于清洁能源。</w:t>
                  </w:r>
                </w:p>
                <w:p w14:paraId="0BEF577D">
                  <w:pPr>
                    <w:pStyle w:val="92"/>
                    <w:keepNext w:val="0"/>
                    <w:keepLines w:val="0"/>
                    <w:widowControl/>
                    <w:suppressLineNumbers w:val="0"/>
                    <w:spacing w:before="0" w:beforeAutospacing="0" w:after="0" w:afterAutospacing="0"/>
                    <w:ind w:left="0" w:right="0"/>
                    <w:jc w:val="both"/>
                    <w:rPr>
                      <w:rFonts w:hint="default"/>
                      <w:color w:val="auto"/>
                      <w:shd w:val="clear"/>
                      <w:lang w:val="en-US" w:eastAsia="zh-CN"/>
                    </w:rPr>
                  </w:pPr>
                  <w:r>
                    <w:rPr>
                      <w:rFonts w:hint="eastAsia"/>
                      <w:color w:val="auto"/>
                      <w:shd w:val="clear"/>
                      <w:lang w:val="en-US" w:eastAsia="zh-CN"/>
                    </w:rPr>
                    <w:t>2.项目不属于陶瓷行业。</w:t>
                  </w:r>
                </w:p>
              </w:tc>
              <w:tc>
                <w:tcPr>
                  <w:tcW w:w="666" w:type="dxa"/>
                  <w:tcBorders>
                    <w:tl2br w:val="nil"/>
                    <w:tr2bl w:val="nil"/>
                  </w:tcBorders>
                  <w:shd w:val="clear" w:color="auto" w:fill="auto"/>
                  <w:vAlign w:val="center"/>
                </w:tcPr>
                <w:p w14:paraId="65C83395">
                  <w:pPr>
                    <w:pStyle w:val="92"/>
                    <w:keepNext w:val="0"/>
                    <w:keepLines w:val="0"/>
                    <w:widowControl/>
                    <w:suppressLineNumbers w:val="0"/>
                    <w:spacing w:before="0" w:beforeAutospacing="0" w:after="0" w:afterAutospacing="0"/>
                    <w:ind w:left="0" w:leftChars="0" w:right="0" w:rightChars="0"/>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宋体"/>
                      <w:color w:val="auto"/>
                    </w:rPr>
                    <w:t>符合</w:t>
                  </w:r>
                </w:p>
              </w:tc>
            </w:tr>
            <w:tr w14:paraId="3D38D9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jc w:val="center"/>
              </w:trPr>
              <w:tc>
                <w:tcPr>
                  <w:tcW w:w="809" w:type="dxa"/>
                  <w:tcBorders>
                    <w:tl2br w:val="nil"/>
                    <w:tr2bl w:val="nil"/>
                  </w:tcBorders>
                  <w:shd w:val="clear" w:color="auto" w:fill="auto"/>
                  <w:vAlign w:val="center"/>
                </w:tcPr>
                <w:p w14:paraId="477CB0FF">
                  <w:pPr>
                    <w:pStyle w:val="92"/>
                    <w:keepNext w:val="0"/>
                    <w:keepLines w:val="0"/>
                    <w:widowControl/>
                    <w:suppressLineNumbers w:val="0"/>
                    <w:spacing w:before="0" w:beforeAutospacing="0" w:after="0" w:afterAutospacing="0"/>
                    <w:ind w:left="0" w:right="0"/>
                    <w:rPr>
                      <w:rFonts w:hint="eastAsia" w:ascii="Times New Roman" w:hAnsi="Times New Roman" w:eastAsia="宋体" w:cs="宋体"/>
                      <w:color w:val="auto"/>
                    </w:rPr>
                  </w:pPr>
                  <w:r>
                    <w:rPr>
                      <w:rFonts w:hint="eastAsia"/>
                      <w:color w:val="auto"/>
                      <w:vertAlign w:val="baseline"/>
                      <w:lang w:val="en-US" w:eastAsia="zh-CN"/>
                    </w:rPr>
                    <w:t>城镇生活类重点管控单元</w:t>
                  </w:r>
                </w:p>
              </w:tc>
              <w:tc>
                <w:tcPr>
                  <w:tcW w:w="3887" w:type="dxa"/>
                  <w:tcBorders>
                    <w:tl2br w:val="nil"/>
                    <w:tr2bl w:val="nil"/>
                  </w:tcBorders>
                  <w:shd w:val="clear" w:color="auto" w:fill="auto"/>
                  <w:vAlign w:val="top"/>
                </w:tcPr>
                <w:p w14:paraId="460EE236">
                  <w:pPr>
                    <w:pStyle w:val="92"/>
                    <w:keepNext w:val="0"/>
                    <w:keepLines w:val="0"/>
                    <w:widowControl/>
                    <w:suppressLineNumbers w:val="0"/>
                    <w:spacing w:before="0" w:beforeAutospacing="0" w:after="0" w:afterAutospacing="0"/>
                    <w:ind w:left="0" w:right="0"/>
                    <w:jc w:val="left"/>
                    <w:rPr>
                      <w:rFonts w:hint="eastAsia"/>
                      <w:color w:val="auto"/>
                      <w:vertAlign w:val="baseline"/>
                      <w:lang w:val="en-US" w:eastAsia="zh-CN"/>
                    </w:rPr>
                  </w:pPr>
                  <w:r>
                    <w:rPr>
                      <w:rFonts w:hint="eastAsia"/>
                      <w:color w:val="auto"/>
                      <w:vertAlign w:val="baseline"/>
                      <w:lang w:val="en-US" w:eastAsia="zh-CN"/>
                    </w:rPr>
                    <w:t>1.空间布局约束</w:t>
                  </w:r>
                </w:p>
                <w:p w14:paraId="47A10584">
                  <w:pPr>
                    <w:pStyle w:val="92"/>
                    <w:keepNext w:val="0"/>
                    <w:keepLines w:val="0"/>
                    <w:widowControl/>
                    <w:suppressLineNumbers w:val="0"/>
                    <w:spacing w:before="0" w:beforeAutospacing="0" w:after="0" w:afterAutospacing="0"/>
                    <w:ind w:left="0" w:right="0"/>
                    <w:jc w:val="left"/>
                    <w:rPr>
                      <w:rFonts w:hint="eastAsia"/>
                      <w:color w:val="auto"/>
                      <w:vertAlign w:val="baseline"/>
                      <w:lang w:val="en-US" w:eastAsia="zh-CN"/>
                    </w:rPr>
                  </w:pPr>
                  <w:r>
                    <w:rPr>
                      <w:rFonts w:hint="eastAsia"/>
                      <w:color w:val="auto"/>
                      <w:vertAlign w:val="baseline"/>
                      <w:lang w:val="en-US" w:eastAsia="zh-CN"/>
                    </w:rPr>
                    <w:t>严禁在城镇人口密集区新建危险化学品生产企业；现有不符合安全和卫生防护距离要求的危险化学品生产企业2025年底前完成就地改造达标、搬迁进入规范化工园区或关闭退出。</w:t>
                  </w:r>
                </w:p>
                <w:p w14:paraId="798B79FC">
                  <w:pPr>
                    <w:pStyle w:val="92"/>
                    <w:keepNext w:val="0"/>
                    <w:keepLines w:val="0"/>
                    <w:widowControl/>
                    <w:suppressLineNumbers w:val="0"/>
                    <w:spacing w:before="0" w:beforeAutospacing="0" w:after="0" w:afterAutospacing="0"/>
                    <w:ind w:left="0" w:right="0"/>
                    <w:jc w:val="left"/>
                    <w:rPr>
                      <w:rFonts w:hint="eastAsia"/>
                      <w:color w:val="auto"/>
                      <w:vertAlign w:val="baseline"/>
                      <w:lang w:val="en-US" w:eastAsia="zh-CN"/>
                    </w:rPr>
                  </w:pPr>
                  <w:r>
                    <w:rPr>
                      <w:rFonts w:hint="eastAsia"/>
                      <w:color w:val="auto"/>
                      <w:vertAlign w:val="baseline"/>
                      <w:lang w:val="en-US" w:eastAsia="zh-CN"/>
                    </w:rPr>
                    <w:t>2.污染物排放管控</w:t>
                  </w:r>
                </w:p>
                <w:p w14:paraId="389FAEB8">
                  <w:pPr>
                    <w:pStyle w:val="92"/>
                    <w:keepNext w:val="0"/>
                    <w:keepLines w:val="0"/>
                    <w:widowControl/>
                    <w:suppressLineNumbers w:val="0"/>
                    <w:spacing w:before="0" w:beforeAutospacing="0" w:after="0" w:afterAutospacing="0"/>
                    <w:ind w:left="0" w:right="0"/>
                    <w:jc w:val="left"/>
                    <w:rPr>
                      <w:rFonts w:hint="eastAsia"/>
                      <w:color w:val="auto"/>
                      <w:vertAlign w:val="baseline"/>
                      <w:lang w:val="en-US" w:eastAsia="zh-CN"/>
                    </w:rPr>
                  </w:pPr>
                  <w:r>
                    <w:rPr>
                      <w:rFonts w:hint="eastAsia"/>
                      <w:color w:val="auto"/>
                      <w:vertAlign w:val="baseline"/>
                      <w:lang w:val="en-US" w:eastAsia="zh-CN"/>
                    </w:rPr>
                    <w:t>在城市建成区新建大气污染型项目，二氧化硫、氮氧化物排放量应实行倍量削减替代。</w:t>
                  </w:r>
                </w:p>
                <w:p w14:paraId="04D71286">
                  <w:pPr>
                    <w:pStyle w:val="92"/>
                    <w:keepNext w:val="0"/>
                    <w:keepLines w:val="0"/>
                    <w:widowControl/>
                    <w:suppressLineNumbers w:val="0"/>
                    <w:spacing w:before="0" w:beforeAutospacing="0" w:after="0" w:afterAutospacing="0"/>
                    <w:ind w:left="0" w:right="0"/>
                    <w:jc w:val="left"/>
                    <w:rPr>
                      <w:rFonts w:hint="eastAsia"/>
                      <w:color w:val="auto"/>
                      <w:vertAlign w:val="baseline"/>
                      <w:lang w:val="en-US" w:eastAsia="zh-CN"/>
                    </w:rPr>
                  </w:pPr>
                  <w:r>
                    <w:rPr>
                      <w:rFonts w:hint="eastAsia"/>
                      <w:color w:val="auto"/>
                      <w:vertAlign w:val="baseline"/>
                      <w:lang w:val="en-US" w:eastAsia="zh-CN"/>
                    </w:rPr>
                    <w:t>3.环境风险防控</w:t>
                  </w:r>
                </w:p>
                <w:p w14:paraId="409195B7">
                  <w:pPr>
                    <w:pStyle w:val="92"/>
                    <w:keepNext w:val="0"/>
                    <w:keepLines w:val="0"/>
                    <w:widowControl/>
                    <w:suppressLineNumbers w:val="0"/>
                    <w:spacing w:before="0" w:beforeAutospacing="0" w:after="0" w:afterAutospacing="0"/>
                    <w:ind w:left="0" w:right="0"/>
                    <w:jc w:val="left"/>
                    <w:rPr>
                      <w:rFonts w:hint="eastAsia"/>
                      <w:color w:val="auto"/>
                      <w:vertAlign w:val="baseline"/>
                      <w:lang w:val="en-US" w:eastAsia="zh-CN"/>
                    </w:rPr>
                  </w:pPr>
                  <w:r>
                    <w:rPr>
                      <w:rFonts w:hint="eastAsia"/>
                      <w:color w:val="auto"/>
                      <w:vertAlign w:val="baseline"/>
                      <w:lang w:val="en-US" w:eastAsia="zh-CN"/>
                    </w:rPr>
                    <w:t>无</w:t>
                  </w:r>
                </w:p>
                <w:p w14:paraId="5AB67DF7">
                  <w:pPr>
                    <w:pStyle w:val="92"/>
                    <w:keepNext w:val="0"/>
                    <w:keepLines w:val="0"/>
                    <w:widowControl/>
                    <w:suppressLineNumbers w:val="0"/>
                    <w:spacing w:before="0" w:beforeAutospacing="0" w:after="0" w:afterAutospacing="0"/>
                    <w:ind w:left="0" w:right="0"/>
                    <w:jc w:val="left"/>
                    <w:rPr>
                      <w:rFonts w:hint="eastAsia"/>
                      <w:color w:val="auto"/>
                      <w:vertAlign w:val="baseline"/>
                      <w:lang w:val="en-US" w:eastAsia="zh-CN"/>
                    </w:rPr>
                  </w:pPr>
                  <w:r>
                    <w:rPr>
                      <w:rFonts w:hint="eastAsia"/>
                      <w:color w:val="auto"/>
                      <w:vertAlign w:val="baseline"/>
                      <w:lang w:val="en-US" w:eastAsia="zh-CN"/>
                    </w:rPr>
                    <w:t>4.资源开发效率要求</w:t>
                  </w:r>
                </w:p>
                <w:p w14:paraId="6B879DEE">
                  <w:pPr>
                    <w:pStyle w:val="92"/>
                    <w:keepNext w:val="0"/>
                    <w:keepLines w:val="0"/>
                    <w:widowControl/>
                    <w:suppressLineNumbers w:val="0"/>
                    <w:spacing w:before="0" w:beforeAutospacing="0" w:after="0" w:afterAutospacing="0"/>
                    <w:ind w:left="0" w:right="0"/>
                    <w:jc w:val="left"/>
                    <w:rPr>
                      <w:rFonts w:hint="eastAsia"/>
                      <w:color w:val="auto"/>
                      <w:vertAlign w:val="baseline"/>
                      <w:lang w:val="en-US" w:eastAsia="zh-CN"/>
                    </w:rPr>
                  </w:pPr>
                  <w:r>
                    <w:rPr>
                      <w:rFonts w:hint="eastAsia"/>
                      <w:color w:val="auto"/>
                      <w:vertAlign w:val="baseline"/>
                      <w:lang w:val="en-US" w:eastAsia="zh-CN"/>
                    </w:rPr>
                    <w:t>无</w:t>
                  </w:r>
                </w:p>
              </w:tc>
              <w:tc>
                <w:tcPr>
                  <w:tcW w:w="1736" w:type="dxa"/>
                  <w:tcBorders>
                    <w:tl2br w:val="nil"/>
                    <w:tr2bl w:val="nil"/>
                  </w:tcBorders>
                  <w:shd w:val="clear" w:color="auto" w:fill="auto"/>
                  <w:vAlign w:val="center"/>
                </w:tcPr>
                <w:p w14:paraId="0AC0317C">
                  <w:pPr>
                    <w:pStyle w:val="92"/>
                    <w:keepNext w:val="0"/>
                    <w:keepLines w:val="0"/>
                    <w:widowControl/>
                    <w:suppressLineNumbers w:val="0"/>
                    <w:spacing w:before="0" w:beforeAutospacing="0" w:after="0" w:afterAutospacing="0"/>
                    <w:ind w:left="0" w:right="0"/>
                    <w:jc w:val="both"/>
                    <w:rPr>
                      <w:rFonts w:hint="eastAsia"/>
                      <w:color w:val="auto"/>
                      <w:shd w:val="clear"/>
                      <w:lang w:val="en-US" w:eastAsia="zh-CN"/>
                    </w:rPr>
                  </w:pPr>
                  <w:r>
                    <w:rPr>
                      <w:rFonts w:hint="eastAsia"/>
                      <w:color w:val="auto"/>
                      <w:shd w:val="clear"/>
                      <w:lang w:val="en-US" w:eastAsia="zh-CN"/>
                    </w:rPr>
                    <w:t>1.项目不属于危险化学品生产企业。</w:t>
                  </w:r>
                </w:p>
                <w:p w14:paraId="6E9E95CA">
                  <w:pPr>
                    <w:pStyle w:val="92"/>
                    <w:keepNext w:val="0"/>
                    <w:keepLines w:val="0"/>
                    <w:widowControl/>
                    <w:suppressLineNumbers w:val="0"/>
                    <w:spacing w:before="0" w:beforeAutospacing="0" w:after="0" w:afterAutospacing="0"/>
                    <w:ind w:left="0" w:right="0"/>
                    <w:jc w:val="both"/>
                    <w:rPr>
                      <w:rFonts w:hint="default"/>
                      <w:color w:val="auto"/>
                      <w:shd w:val="clear"/>
                      <w:lang w:val="en-US" w:eastAsia="zh-CN"/>
                    </w:rPr>
                  </w:pPr>
                  <w:r>
                    <w:rPr>
                      <w:rFonts w:hint="eastAsia"/>
                      <w:color w:val="auto"/>
                      <w:shd w:val="clear"/>
                      <w:lang w:val="en-US" w:eastAsia="zh-CN"/>
                    </w:rPr>
                    <w:t>2.项目不涉及</w:t>
                  </w:r>
                  <w:r>
                    <w:rPr>
                      <w:rFonts w:hint="eastAsia"/>
                      <w:color w:val="auto"/>
                      <w:vertAlign w:val="baseline"/>
                      <w:lang w:val="en-US" w:eastAsia="zh-CN"/>
                    </w:rPr>
                    <w:t>二氧化硫、氮氧化物排放。</w:t>
                  </w:r>
                </w:p>
              </w:tc>
              <w:tc>
                <w:tcPr>
                  <w:tcW w:w="666" w:type="dxa"/>
                  <w:tcBorders>
                    <w:tl2br w:val="nil"/>
                    <w:tr2bl w:val="nil"/>
                  </w:tcBorders>
                  <w:shd w:val="clear" w:color="auto" w:fill="auto"/>
                  <w:vAlign w:val="center"/>
                </w:tcPr>
                <w:p w14:paraId="3132B60B">
                  <w:pPr>
                    <w:pStyle w:val="92"/>
                    <w:keepNext w:val="0"/>
                    <w:keepLines w:val="0"/>
                    <w:widowControl/>
                    <w:suppressLineNumbers w:val="0"/>
                    <w:spacing w:before="0" w:beforeAutospacing="0" w:after="0" w:afterAutospacing="0"/>
                    <w:ind w:left="0" w:leftChars="0" w:right="0" w:rightChars="0"/>
                    <w:rPr>
                      <w:rFonts w:hint="eastAsia" w:ascii="Times New Roman" w:hAnsi="Times New Roman" w:eastAsia="宋体" w:cs="宋体"/>
                      <w:color w:val="auto"/>
                    </w:rPr>
                  </w:pPr>
                  <w:r>
                    <w:rPr>
                      <w:rFonts w:hint="eastAsia" w:ascii="Times New Roman" w:hAnsi="Times New Roman" w:eastAsia="宋体" w:cs="宋体"/>
                      <w:color w:val="auto"/>
                    </w:rPr>
                    <w:t>符合</w:t>
                  </w:r>
                </w:p>
              </w:tc>
            </w:tr>
          </w:tbl>
          <w:p w14:paraId="41C59C77">
            <w:pPr>
              <w:numPr>
                <w:ilvl w:val="0"/>
                <w:numId w:val="0"/>
              </w:numPr>
              <w:spacing w:before="120" w:beforeLines="50"/>
              <w:ind w:firstLine="480" w:firstLineChars="200"/>
              <w:jc w:val="both"/>
              <w:rPr>
                <w:rFonts w:hint="eastAsia" w:ascii="Times New Roman" w:hAnsi="Times New Roman" w:eastAsia="宋体" w:cs="Times New Roman"/>
                <w:color w:val="auto"/>
                <w:kern w:val="2"/>
                <w:sz w:val="24"/>
                <w:szCs w:val="24"/>
                <w:lang w:val="en-US" w:eastAsia="zh-CN" w:bidi="ar-SA"/>
              </w:rPr>
            </w:pPr>
            <w:r>
              <w:rPr>
                <w:rFonts w:hint="default" w:ascii="Times New Roman" w:hAnsi="Times New Roman" w:eastAsia="宋体" w:cs="Calibri"/>
                <w:color w:val="auto"/>
                <w:kern w:val="2"/>
                <w:sz w:val="24"/>
                <w:szCs w:val="24"/>
                <w:lang w:val="en-US" w:eastAsia="zh-CN" w:bidi="ar-SA"/>
              </w:rPr>
              <w:t>②</w:t>
            </w:r>
            <w:r>
              <w:rPr>
                <w:rFonts w:hint="eastAsia" w:ascii="Times New Roman" w:hAnsi="Times New Roman" w:eastAsia="宋体" w:cs="Times New Roman"/>
                <w:color w:val="auto"/>
                <w:kern w:val="2"/>
                <w:sz w:val="24"/>
                <w:szCs w:val="24"/>
                <w:lang w:val="en-US" w:eastAsia="zh-CN" w:bidi="ar-SA"/>
              </w:rPr>
              <w:t>与罗源县生态环境准入清单符合性分析</w:t>
            </w:r>
          </w:p>
          <w:p w14:paraId="3FC5A75D">
            <w:pPr>
              <w:pStyle w:val="44"/>
              <w:keepNext w:val="0"/>
              <w:keepLines w:val="0"/>
              <w:pageBreakBefore w:val="0"/>
              <w:widowControl w:val="0"/>
              <w:suppressLineNumbers w:val="0"/>
              <w:tabs>
                <w:tab w:val="left" w:pos="0"/>
                <w:tab w:val="clear" w:pos="420"/>
              </w:tabs>
              <w:kinsoku/>
              <w:wordWrap/>
              <w:overflowPunct/>
              <w:topLinePunct w:val="0"/>
              <w:autoSpaceDE/>
              <w:autoSpaceDN/>
              <w:bidi w:val="0"/>
              <w:adjustRightInd/>
              <w:snapToGrid/>
              <w:spacing w:beforeAutospacing="0" w:after="0" w:afterAutospacing="0"/>
              <w:ind w:left="210" w:leftChars="0" w:right="0" w:firstLineChars="0"/>
              <w:jc w:val="center"/>
              <w:textAlignment w:val="auto"/>
              <w:rPr>
                <w:rFonts w:hint="default" w:eastAsia="宋体"/>
                <w:color w:val="auto"/>
                <w:lang w:val="en-US" w:eastAsia="zh-CN"/>
              </w:rPr>
            </w:pPr>
            <w:r>
              <w:rPr>
                <w:rFonts w:hint="eastAsia" w:eastAsia="宋体"/>
                <w:color w:val="auto"/>
                <w:lang w:val="en-US" w:eastAsia="zh-CN"/>
              </w:rPr>
              <w:t>本项目与罗源县生态环境准入清单符合性分析</w:t>
            </w:r>
          </w:p>
          <w:tbl>
            <w:tblPr>
              <w:tblStyle w:val="35"/>
              <w:tblW w:w="4997"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440"/>
              <w:gridCol w:w="1028"/>
              <w:gridCol w:w="642"/>
              <w:gridCol w:w="393"/>
              <w:gridCol w:w="1959"/>
              <w:gridCol w:w="1816"/>
            </w:tblGrid>
            <w:tr w14:paraId="5D3706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20" w:hRule="atLeast"/>
              </w:trPr>
              <w:tc>
                <w:tcPr>
                  <w:tcW w:w="694" w:type="pct"/>
                  <w:tcBorders>
                    <w:tl2br w:val="nil"/>
                    <w:tr2bl w:val="nil"/>
                  </w:tcBorders>
                  <w:noWrap w:val="0"/>
                  <w:vAlign w:val="center"/>
                </w:tcPr>
                <w:p w14:paraId="26202906">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环境管控单元编码</w:t>
                  </w:r>
                </w:p>
              </w:tc>
              <w:tc>
                <w:tcPr>
                  <w:tcW w:w="765" w:type="pct"/>
                  <w:tcBorders>
                    <w:tl2br w:val="nil"/>
                    <w:tr2bl w:val="nil"/>
                  </w:tcBorders>
                  <w:noWrap w:val="0"/>
                  <w:vAlign w:val="center"/>
                </w:tcPr>
                <w:p w14:paraId="4E8492E8">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环境管控单元名称</w:t>
                  </w:r>
                </w:p>
              </w:tc>
              <w:tc>
                <w:tcPr>
                  <w:tcW w:w="500" w:type="pct"/>
                  <w:tcBorders>
                    <w:tl2br w:val="nil"/>
                    <w:tr2bl w:val="nil"/>
                  </w:tcBorders>
                  <w:noWrap w:val="0"/>
                  <w:vAlign w:val="center"/>
                </w:tcPr>
                <w:p w14:paraId="05741CD6">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管控单元类别</w:t>
                  </w:r>
                </w:p>
              </w:tc>
              <w:tc>
                <w:tcPr>
                  <w:tcW w:w="1733" w:type="pct"/>
                  <w:gridSpan w:val="2"/>
                  <w:tcBorders>
                    <w:tl2br w:val="nil"/>
                    <w:tr2bl w:val="nil"/>
                  </w:tcBorders>
                  <w:noWrap w:val="0"/>
                  <w:vAlign w:val="center"/>
                </w:tcPr>
                <w:p w14:paraId="4930D83F">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管控要求</w:t>
                  </w:r>
                </w:p>
              </w:tc>
              <w:tc>
                <w:tcPr>
                  <w:tcW w:w="1305" w:type="pct"/>
                  <w:tcBorders>
                    <w:tl2br w:val="nil"/>
                    <w:tr2bl w:val="nil"/>
                  </w:tcBorders>
                  <w:noWrap w:val="0"/>
                  <w:vAlign w:val="center"/>
                </w:tcPr>
                <w:p w14:paraId="4A200A2F">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符合性</w:t>
                  </w:r>
                </w:p>
              </w:tc>
            </w:tr>
            <w:tr w14:paraId="33381D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38" w:hRule="atLeast"/>
              </w:trPr>
              <w:tc>
                <w:tcPr>
                  <w:tcW w:w="694" w:type="pct"/>
                  <w:vMerge w:val="restart"/>
                  <w:tcBorders>
                    <w:tl2br w:val="nil"/>
                    <w:tr2bl w:val="nil"/>
                  </w:tcBorders>
                  <w:noWrap w:val="0"/>
                  <w:vAlign w:val="center"/>
                </w:tcPr>
                <w:p w14:paraId="6EBBC140">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r>
                    <w:rPr>
                      <w:rFonts w:hint="eastAsia"/>
                      <w:vertAlign w:val="baseline"/>
                      <w:lang w:val="en-US" w:eastAsia="zh-CN"/>
                    </w:rPr>
                    <w:t>ZH35012320011</w:t>
                  </w:r>
                </w:p>
              </w:tc>
              <w:tc>
                <w:tcPr>
                  <w:tcW w:w="765" w:type="pct"/>
                  <w:vMerge w:val="restart"/>
                  <w:tcBorders>
                    <w:tl2br w:val="nil"/>
                    <w:tr2bl w:val="nil"/>
                  </w:tcBorders>
                  <w:noWrap w:val="0"/>
                  <w:vAlign w:val="center"/>
                </w:tcPr>
                <w:p w14:paraId="595D4F90">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罗源县</w:t>
                  </w:r>
                  <w:r>
                    <w:rPr>
                      <w:rFonts w:hint="default" w:ascii="Times New Roman" w:hAnsi="Times New Roman" w:eastAsia="宋体"/>
                      <w:color w:val="auto"/>
                      <w:sz w:val="21"/>
                      <w:szCs w:val="21"/>
                      <w:highlight w:val="none"/>
                      <w:lang w:val="en-US" w:eastAsia="zh-CN"/>
                    </w:rPr>
                    <w:t>重点管控单元</w:t>
                  </w:r>
                  <w:r>
                    <w:rPr>
                      <w:rFonts w:hint="eastAsia"/>
                      <w:color w:val="auto"/>
                      <w:sz w:val="21"/>
                      <w:szCs w:val="21"/>
                      <w:highlight w:val="none"/>
                      <w:lang w:val="en-US" w:eastAsia="zh-CN"/>
                    </w:rPr>
                    <w:t>4</w:t>
                  </w:r>
                </w:p>
              </w:tc>
              <w:tc>
                <w:tcPr>
                  <w:tcW w:w="500" w:type="pct"/>
                  <w:vMerge w:val="restart"/>
                  <w:tcBorders>
                    <w:tl2br w:val="nil"/>
                    <w:tr2bl w:val="nil"/>
                  </w:tcBorders>
                  <w:noWrap w:val="0"/>
                  <w:vAlign w:val="center"/>
                </w:tcPr>
                <w:p w14:paraId="1159EBA6">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重点管控单元</w:t>
                  </w:r>
                </w:p>
              </w:tc>
              <w:tc>
                <w:tcPr>
                  <w:tcW w:w="329" w:type="pct"/>
                  <w:tcBorders>
                    <w:tl2br w:val="nil"/>
                    <w:tr2bl w:val="nil"/>
                  </w:tcBorders>
                  <w:noWrap w:val="0"/>
                  <w:vAlign w:val="center"/>
                </w:tcPr>
                <w:p w14:paraId="2904B278">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空间布局约束</w:t>
                  </w:r>
                </w:p>
              </w:tc>
              <w:tc>
                <w:tcPr>
                  <w:tcW w:w="1404" w:type="pct"/>
                  <w:tcBorders>
                    <w:tl2br w:val="nil"/>
                    <w:tr2bl w:val="nil"/>
                  </w:tcBorders>
                  <w:noWrap w:val="0"/>
                  <w:vAlign w:val="center"/>
                </w:tcPr>
                <w:p w14:paraId="60C7FAFE">
                  <w:pPr>
                    <w:rPr>
                      <w:rFonts w:hint="eastAsia"/>
                      <w:vertAlign w:val="baseline"/>
                      <w:lang w:val="en-US" w:eastAsia="zh-CN"/>
                    </w:rPr>
                  </w:pPr>
                  <w:r>
                    <w:rPr>
                      <w:rFonts w:hint="eastAsia"/>
                      <w:vertAlign w:val="baseline"/>
                      <w:lang w:val="en-US" w:eastAsia="zh-CN"/>
                    </w:rPr>
                    <w:t>1.严禁在城镇人口密集区新建危险化学品生产企业；现有不符合安全和卫生防护距离要求的危险化学品生产企业2025年底前完成就地改造达标、搬迁进入规范化工园区或关闭退出。城市建成区内现有钢铁、化工等污染较重的企业应有序搬迁改造或依法关闭。</w:t>
                  </w:r>
                </w:p>
                <w:p w14:paraId="19F2ED0A">
                  <w:pPr>
                    <w:rPr>
                      <w:rFonts w:hint="eastAsia"/>
                      <w:vertAlign w:val="baseline"/>
                      <w:lang w:val="en-US" w:eastAsia="zh-CN"/>
                    </w:rPr>
                  </w:pPr>
                  <w:r>
                    <w:rPr>
                      <w:rFonts w:hint="eastAsia"/>
                      <w:vertAlign w:val="baseline"/>
                      <w:lang w:val="en-US" w:eastAsia="zh-CN"/>
                    </w:rPr>
                    <w:t>2.严格控制包装印刷、工业涂装、制鞋等高VOCs排放的项目建设，相关新建项目必须进入工业园区。</w:t>
                  </w:r>
                </w:p>
                <w:p w14:paraId="5975C463">
                  <w:pPr>
                    <w:rPr>
                      <w:rFonts w:hint="eastAsia"/>
                      <w:vertAlign w:val="baseline"/>
                      <w:lang w:val="en-US" w:eastAsia="zh-CN"/>
                    </w:rPr>
                  </w:pPr>
                  <w:r>
                    <w:rPr>
                      <w:rFonts w:hint="eastAsia"/>
                      <w:vertAlign w:val="baseline"/>
                      <w:lang w:val="en-US" w:eastAsia="zh-CN"/>
                    </w:rPr>
                    <w:t>3.禁止开发利用未经评估和无害化处理的列入建设用地污染地块名录及开发利用负面清单的土地。</w:t>
                  </w:r>
                </w:p>
                <w:p w14:paraId="42978195">
                  <w:pPr>
                    <w:rPr>
                      <w:rFonts w:hint="default" w:ascii="Times New Roman" w:hAnsi="Times New Roman" w:eastAsia="宋体" w:cs="Times New Roman"/>
                      <w:color w:val="auto"/>
                      <w:sz w:val="21"/>
                      <w:szCs w:val="21"/>
                      <w:highlight w:val="none"/>
                      <w:lang w:val="en-US" w:eastAsia="zh-CN"/>
                    </w:rPr>
                  </w:pPr>
                  <w:r>
                    <w:rPr>
                      <w:rFonts w:hint="eastAsia"/>
                      <w:vertAlign w:val="baseline"/>
                      <w:lang w:val="en-US" w:eastAsia="zh-CN"/>
                    </w:rPr>
                    <w:t>4.一般建设项目不得占用永久基本农田，重大建设项目选址确实难以避让永久基本农田的，必须依法依规办理。严禁通过擅自调整县乡国土空间规划，规避占用永久基本农田的审批。</w:t>
                  </w:r>
                </w:p>
              </w:tc>
              <w:tc>
                <w:tcPr>
                  <w:tcW w:w="1305" w:type="pct"/>
                  <w:tcBorders>
                    <w:tl2br w:val="nil"/>
                    <w:tr2bl w:val="nil"/>
                  </w:tcBorders>
                  <w:noWrap w:val="0"/>
                  <w:vAlign w:val="center"/>
                </w:tcPr>
                <w:p w14:paraId="30C28999">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w:t>
                  </w:r>
                  <w:r>
                    <w:rPr>
                      <w:rFonts w:hint="eastAsia"/>
                      <w:color w:val="auto"/>
                      <w:shd w:val="clear"/>
                      <w:lang w:val="en-US" w:eastAsia="zh-CN"/>
                    </w:rPr>
                    <w:t>项目不属于危险化学品生产企业。</w:t>
                  </w:r>
                </w:p>
                <w:p w14:paraId="1FB7E3C8">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2.本项目</w:t>
                  </w:r>
                  <w:r>
                    <w:rPr>
                      <w:rFonts w:hint="eastAsia" w:cs="Times New Roman"/>
                      <w:color w:val="auto"/>
                      <w:sz w:val="21"/>
                      <w:szCs w:val="21"/>
                      <w:highlight w:val="none"/>
                      <w:lang w:val="en-US" w:eastAsia="zh-CN"/>
                    </w:rPr>
                    <w:t>不属于</w:t>
                  </w:r>
                  <w:r>
                    <w:rPr>
                      <w:rFonts w:hint="eastAsia"/>
                      <w:vertAlign w:val="baseline"/>
                      <w:lang w:val="en-US" w:eastAsia="zh-CN"/>
                    </w:rPr>
                    <w:t>包装印刷、工业涂装、制鞋等高VOCs排放的项目</w:t>
                  </w:r>
                  <w:r>
                    <w:rPr>
                      <w:rFonts w:hint="eastAsia" w:ascii="Times New Roman" w:hAnsi="Times New Roman" w:eastAsia="宋体" w:cs="Times New Roman"/>
                      <w:color w:val="auto"/>
                      <w:sz w:val="21"/>
                      <w:szCs w:val="21"/>
                      <w:highlight w:val="none"/>
                      <w:lang w:val="en-US" w:eastAsia="zh-CN"/>
                    </w:rPr>
                    <w:t>；</w:t>
                  </w:r>
                </w:p>
                <w:p w14:paraId="31DF9D77">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3.项目</w:t>
                  </w:r>
                  <w:r>
                    <w:rPr>
                      <w:rFonts w:hint="eastAsia"/>
                      <w:color w:val="auto"/>
                      <w:shd w:val="clear"/>
                      <w:lang w:val="en-US" w:eastAsia="zh-CN"/>
                    </w:rPr>
                    <w:t>位于</w:t>
                  </w:r>
                  <w:r>
                    <w:rPr>
                      <w:rFonts w:hint="eastAsia" w:cs="Times New Roman"/>
                      <w:color w:val="auto"/>
                      <w:sz w:val="21"/>
                      <w:szCs w:val="21"/>
                      <w:lang w:val="en-US" w:eastAsia="zh-CN"/>
                    </w:rPr>
                    <w:t>福建省福州市罗源县凤山镇东大新村3号（2#楼、负压病房大楼以及1#楼1-3层）</w:t>
                  </w:r>
                  <w:r>
                    <w:rPr>
                      <w:rFonts w:hint="eastAsia" w:ascii="Times New Roman" w:hAnsi="Times New Roman" w:eastAsia="宋体" w:cs="Times New Roman"/>
                      <w:color w:val="auto"/>
                      <w:sz w:val="21"/>
                      <w:szCs w:val="21"/>
                      <w:highlight w:val="none"/>
                      <w:lang w:val="en-US" w:eastAsia="zh-CN"/>
                    </w:rPr>
                    <w:t>，不属于</w:t>
                  </w:r>
                  <w:r>
                    <w:rPr>
                      <w:rFonts w:hint="default" w:ascii="Times New Roman" w:hAnsi="Times New Roman" w:eastAsia="宋体" w:cs="Times New Roman"/>
                      <w:color w:val="auto"/>
                      <w:sz w:val="21"/>
                      <w:szCs w:val="21"/>
                      <w:highlight w:val="none"/>
                      <w:lang w:val="en-US" w:eastAsia="zh-CN"/>
                    </w:rPr>
                    <w:t>建设用地污染地块名录及开发利用负面清单的土地</w:t>
                  </w:r>
                  <w:r>
                    <w:rPr>
                      <w:rFonts w:hint="eastAsia" w:cs="Times New Roman"/>
                      <w:color w:val="auto"/>
                      <w:sz w:val="21"/>
                      <w:szCs w:val="21"/>
                      <w:highlight w:val="none"/>
                      <w:lang w:val="en-US" w:eastAsia="zh-CN"/>
                    </w:rPr>
                    <w:t>；4.本项目不涉及</w:t>
                  </w:r>
                  <w:r>
                    <w:rPr>
                      <w:rFonts w:hint="eastAsia"/>
                      <w:vertAlign w:val="baseline"/>
                      <w:lang w:val="en-US" w:eastAsia="zh-CN"/>
                    </w:rPr>
                    <w:t>永久基本农田，</w:t>
                  </w:r>
                  <w:r>
                    <w:rPr>
                      <w:rFonts w:hint="eastAsia" w:ascii="Times New Roman" w:hAnsi="Times New Roman" w:eastAsia="宋体" w:cs="Times New Roman"/>
                      <w:color w:val="auto"/>
                      <w:sz w:val="21"/>
                      <w:szCs w:val="21"/>
                      <w:highlight w:val="none"/>
                      <w:lang w:val="en-US" w:eastAsia="zh-CN"/>
                    </w:rPr>
                    <w:t>符合</w:t>
                  </w:r>
                  <w:r>
                    <w:rPr>
                      <w:rFonts w:hint="eastAsia" w:cs="Times New Roman"/>
                      <w:color w:val="auto"/>
                      <w:sz w:val="21"/>
                      <w:szCs w:val="21"/>
                      <w:highlight w:val="none"/>
                      <w:lang w:val="en-US" w:eastAsia="zh-CN"/>
                    </w:rPr>
                    <w:t>。</w:t>
                  </w:r>
                </w:p>
              </w:tc>
            </w:tr>
            <w:tr w14:paraId="1377A5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694" w:type="pct"/>
                  <w:vMerge w:val="continue"/>
                  <w:tcBorders>
                    <w:tl2br w:val="nil"/>
                    <w:tr2bl w:val="nil"/>
                  </w:tcBorders>
                  <w:noWrap w:val="0"/>
                  <w:vAlign w:val="center"/>
                </w:tcPr>
                <w:p w14:paraId="634F78EF">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p>
              </w:tc>
              <w:tc>
                <w:tcPr>
                  <w:tcW w:w="765" w:type="pct"/>
                  <w:vMerge w:val="continue"/>
                  <w:tcBorders>
                    <w:tl2br w:val="nil"/>
                    <w:tr2bl w:val="nil"/>
                  </w:tcBorders>
                  <w:noWrap w:val="0"/>
                  <w:vAlign w:val="center"/>
                </w:tcPr>
                <w:p w14:paraId="0E6D5DC1">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p>
              </w:tc>
              <w:tc>
                <w:tcPr>
                  <w:tcW w:w="500" w:type="pct"/>
                  <w:vMerge w:val="continue"/>
                  <w:tcBorders>
                    <w:tl2br w:val="nil"/>
                    <w:tr2bl w:val="nil"/>
                  </w:tcBorders>
                  <w:noWrap w:val="0"/>
                  <w:vAlign w:val="center"/>
                </w:tcPr>
                <w:p w14:paraId="75A805B7">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p>
              </w:tc>
              <w:tc>
                <w:tcPr>
                  <w:tcW w:w="329" w:type="pct"/>
                  <w:tcBorders>
                    <w:tl2br w:val="nil"/>
                    <w:tr2bl w:val="nil"/>
                  </w:tcBorders>
                  <w:noWrap w:val="0"/>
                  <w:vAlign w:val="center"/>
                </w:tcPr>
                <w:p w14:paraId="07E5EA66">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污染物排放管控</w:t>
                  </w:r>
                </w:p>
              </w:tc>
              <w:tc>
                <w:tcPr>
                  <w:tcW w:w="1404" w:type="pct"/>
                  <w:tcBorders>
                    <w:tl2br w:val="nil"/>
                    <w:tr2bl w:val="nil"/>
                  </w:tcBorders>
                  <w:noWrap w:val="0"/>
                  <w:vAlign w:val="center"/>
                </w:tcPr>
                <w:p w14:paraId="58F7DDFC">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r>
                    <w:rPr>
                      <w:rFonts w:hint="default" w:ascii="Times New Roman" w:hAnsi="Times New Roman" w:eastAsia="宋体"/>
                      <w:color w:val="auto"/>
                      <w:sz w:val="21"/>
                      <w:szCs w:val="21"/>
                      <w:highlight w:val="none"/>
                      <w:lang w:val="en-US" w:eastAsia="zh-CN"/>
                    </w:rPr>
                    <w:t>1.落实新增二氧化硫、氮氧化物和VOCs排放总量控制要求。</w:t>
                  </w:r>
                </w:p>
                <w:p w14:paraId="29A8C8CD">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r>
                    <w:rPr>
                      <w:rFonts w:hint="default" w:ascii="Times New Roman" w:hAnsi="Times New Roman" w:eastAsia="宋体"/>
                      <w:color w:val="auto"/>
                      <w:sz w:val="21"/>
                      <w:szCs w:val="21"/>
                      <w:highlight w:val="none"/>
                      <w:lang w:val="en-US" w:eastAsia="zh-CN"/>
                    </w:rPr>
                    <w:t>2.完善区域污水管网建设，确保工业废水全收集、处理。</w:t>
                  </w:r>
                </w:p>
              </w:tc>
              <w:tc>
                <w:tcPr>
                  <w:tcW w:w="1305" w:type="pct"/>
                  <w:tcBorders>
                    <w:tl2br w:val="nil"/>
                    <w:tr2bl w:val="nil"/>
                  </w:tcBorders>
                  <w:noWrap w:val="0"/>
                  <w:vAlign w:val="center"/>
                </w:tcPr>
                <w:p w14:paraId="18EA06CC">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1.</w:t>
                  </w:r>
                  <w:r>
                    <w:rPr>
                      <w:rFonts w:hint="eastAsia" w:ascii="Times New Roman" w:hAnsi="Times New Roman" w:eastAsia="宋体"/>
                      <w:color w:val="auto"/>
                      <w:sz w:val="21"/>
                      <w:szCs w:val="21"/>
                      <w:highlight w:val="none"/>
                      <w:lang w:val="en-US" w:eastAsia="zh-CN"/>
                    </w:rPr>
                    <w:t>本项目</w:t>
                  </w:r>
                  <w:r>
                    <w:rPr>
                      <w:rFonts w:hint="eastAsia"/>
                      <w:color w:val="auto"/>
                      <w:sz w:val="21"/>
                      <w:szCs w:val="21"/>
                      <w:highlight w:val="none"/>
                      <w:lang w:val="en-US" w:eastAsia="zh-CN"/>
                    </w:rPr>
                    <w:t>不涉及</w:t>
                  </w:r>
                  <w:r>
                    <w:rPr>
                      <w:rFonts w:hint="eastAsia" w:ascii="Times New Roman" w:hAnsi="Times New Roman" w:eastAsia="宋体"/>
                      <w:color w:val="auto"/>
                      <w:sz w:val="21"/>
                      <w:szCs w:val="21"/>
                      <w:highlight w:val="none"/>
                      <w:lang w:val="en-US" w:eastAsia="zh-CN"/>
                    </w:rPr>
                    <w:t>SO₂、NOx排放；</w:t>
                  </w:r>
                </w:p>
                <w:p w14:paraId="2DB3FB99">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2.</w:t>
                  </w:r>
                  <w:r>
                    <w:rPr>
                      <w:rFonts w:hint="eastAsia" w:ascii="Times New Roman" w:hAnsi="Times New Roman" w:eastAsia="宋体"/>
                      <w:color w:val="auto"/>
                      <w:sz w:val="21"/>
                      <w:szCs w:val="21"/>
                      <w:highlight w:val="none"/>
                      <w:lang w:val="en-US" w:eastAsia="zh-CN"/>
                    </w:rPr>
                    <w:t>本项目</w:t>
                  </w:r>
                  <w:r>
                    <w:rPr>
                      <w:rFonts w:hint="eastAsia"/>
                      <w:color w:val="auto"/>
                      <w:sz w:val="21"/>
                      <w:szCs w:val="21"/>
                      <w:highlight w:val="none"/>
                      <w:lang w:val="en-US" w:eastAsia="zh-CN"/>
                    </w:rPr>
                    <w:t>不涉及</w:t>
                  </w:r>
                  <w:r>
                    <w:rPr>
                      <w:rFonts w:hint="eastAsia" w:ascii="Times New Roman" w:hAnsi="Times New Roman" w:eastAsia="宋体"/>
                      <w:color w:val="auto"/>
                      <w:sz w:val="21"/>
                      <w:szCs w:val="21"/>
                      <w:highlight w:val="none"/>
                      <w:lang w:val="en-US" w:eastAsia="zh-CN"/>
                    </w:rPr>
                    <w:t>VOCs排放。符合</w:t>
                  </w:r>
                </w:p>
              </w:tc>
            </w:tr>
            <w:tr w14:paraId="29DD75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8" w:hRule="atLeast"/>
              </w:trPr>
              <w:tc>
                <w:tcPr>
                  <w:tcW w:w="694" w:type="pct"/>
                  <w:vMerge w:val="continue"/>
                  <w:tcBorders>
                    <w:tl2br w:val="nil"/>
                    <w:tr2bl w:val="nil"/>
                  </w:tcBorders>
                  <w:noWrap w:val="0"/>
                  <w:vAlign w:val="center"/>
                </w:tcPr>
                <w:p w14:paraId="4F3CC764">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p>
              </w:tc>
              <w:tc>
                <w:tcPr>
                  <w:tcW w:w="765" w:type="pct"/>
                  <w:vMerge w:val="continue"/>
                  <w:tcBorders>
                    <w:tl2br w:val="nil"/>
                    <w:tr2bl w:val="nil"/>
                  </w:tcBorders>
                  <w:noWrap w:val="0"/>
                  <w:vAlign w:val="center"/>
                </w:tcPr>
                <w:p w14:paraId="001C5BC1">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p>
              </w:tc>
              <w:tc>
                <w:tcPr>
                  <w:tcW w:w="500" w:type="pct"/>
                  <w:vMerge w:val="continue"/>
                  <w:tcBorders>
                    <w:tl2br w:val="nil"/>
                    <w:tr2bl w:val="nil"/>
                  </w:tcBorders>
                  <w:noWrap w:val="0"/>
                  <w:vAlign w:val="center"/>
                </w:tcPr>
                <w:p w14:paraId="74AE642C">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p>
              </w:tc>
              <w:tc>
                <w:tcPr>
                  <w:tcW w:w="329" w:type="pct"/>
                  <w:tcBorders>
                    <w:tl2br w:val="nil"/>
                    <w:tr2bl w:val="nil"/>
                  </w:tcBorders>
                  <w:noWrap w:val="0"/>
                  <w:vAlign w:val="center"/>
                </w:tcPr>
                <w:p w14:paraId="55FBD558">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环境风险防控</w:t>
                  </w:r>
                </w:p>
              </w:tc>
              <w:tc>
                <w:tcPr>
                  <w:tcW w:w="1404" w:type="pct"/>
                  <w:tcBorders>
                    <w:tl2br w:val="nil"/>
                    <w:tr2bl w:val="nil"/>
                  </w:tcBorders>
                  <w:noWrap w:val="0"/>
                  <w:vAlign w:val="center"/>
                </w:tcPr>
                <w:p w14:paraId="7699E3A6">
                  <w:pPr>
                    <w:rPr>
                      <w:rFonts w:hint="default" w:ascii="Times New Roman" w:hAnsi="Times New Roman" w:eastAsia="宋体"/>
                      <w:color w:val="auto"/>
                      <w:sz w:val="21"/>
                      <w:szCs w:val="21"/>
                      <w:highlight w:val="none"/>
                      <w:lang w:val="en-US" w:eastAsia="zh-CN"/>
                    </w:rPr>
                  </w:pPr>
                  <w:r>
                    <w:rPr>
                      <w:rFonts w:hint="eastAsia"/>
                      <w:vertAlign w:val="baseline"/>
                      <w:lang w:val="en-US" w:eastAsia="zh-CN"/>
                    </w:rPr>
                    <w:t>单元内现有危险化学品仓储等具有潜在土壤污染环境风险的企业退役后，应开展土壤环境状况评估，经评估认为污染地块可能损害人体健康和环境，应当进行修复的，由造成污染的单位和个人负责被污染土壤的修复。</w:t>
                  </w:r>
                </w:p>
              </w:tc>
              <w:tc>
                <w:tcPr>
                  <w:tcW w:w="1305" w:type="pct"/>
                  <w:tcBorders>
                    <w:tl2br w:val="nil"/>
                    <w:tr2bl w:val="nil"/>
                  </w:tcBorders>
                  <w:noWrap w:val="0"/>
                  <w:vAlign w:val="center"/>
                </w:tcPr>
                <w:p w14:paraId="3C65A3E4">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r>
                    <w:rPr>
                      <w:rFonts w:hint="default" w:ascii="Times New Roman" w:hAnsi="Times New Roman" w:eastAsia="宋体"/>
                      <w:color w:val="auto"/>
                      <w:sz w:val="21"/>
                      <w:szCs w:val="21"/>
                      <w:highlight w:val="none"/>
                      <w:lang w:val="en-US" w:eastAsia="zh-CN"/>
                    </w:rPr>
                    <w:t>项目</w:t>
                  </w:r>
                  <w:r>
                    <w:rPr>
                      <w:rFonts w:hint="eastAsia"/>
                      <w:color w:val="auto"/>
                      <w:sz w:val="21"/>
                      <w:szCs w:val="21"/>
                      <w:highlight w:val="none"/>
                      <w:lang w:val="en-US" w:eastAsia="zh-CN"/>
                    </w:rPr>
                    <w:t>不涉及左列情况，符合。</w:t>
                  </w:r>
                </w:p>
              </w:tc>
            </w:tr>
            <w:tr w14:paraId="4131F9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8" w:hRule="atLeast"/>
              </w:trPr>
              <w:tc>
                <w:tcPr>
                  <w:tcW w:w="694" w:type="pct"/>
                  <w:vMerge w:val="continue"/>
                  <w:tcBorders>
                    <w:tl2br w:val="nil"/>
                    <w:tr2bl w:val="nil"/>
                  </w:tcBorders>
                  <w:noWrap w:val="0"/>
                  <w:vAlign w:val="center"/>
                </w:tcPr>
                <w:p w14:paraId="760483CE">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p>
              </w:tc>
              <w:tc>
                <w:tcPr>
                  <w:tcW w:w="765" w:type="pct"/>
                  <w:vMerge w:val="continue"/>
                  <w:tcBorders>
                    <w:tl2br w:val="nil"/>
                    <w:tr2bl w:val="nil"/>
                  </w:tcBorders>
                  <w:noWrap w:val="0"/>
                  <w:vAlign w:val="center"/>
                </w:tcPr>
                <w:p w14:paraId="33D2327F">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p>
              </w:tc>
              <w:tc>
                <w:tcPr>
                  <w:tcW w:w="500" w:type="pct"/>
                  <w:vMerge w:val="continue"/>
                  <w:tcBorders>
                    <w:tl2br w:val="nil"/>
                    <w:tr2bl w:val="nil"/>
                  </w:tcBorders>
                  <w:noWrap w:val="0"/>
                  <w:vAlign w:val="center"/>
                </w:tcPr>
                <w:p w14:paraId="003269D5">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p>
              </w:tc>
              <w:tc>
                <w:tcPr>
                  <w:tcW w:w="329" w:type="pct"/>
                  <w:tcBorders>
                    <w:tl2br w:val="nil"/>
                    <w:tr2bl w:val="nil"/>
                  </w:tcBorders>
                  <w:noWrap w:val="0"/>
                  <w:vAlign w:val="center"/>
                </w:tcPr>
                <w:p w14:paraId="43A4C292">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资源开发效率要求</w:t>
                  </w:r>
                </w:p>
              </w:tc>
              <w:tc>
                <w:tcPr>
                  <w:tcW w:w="1404" w:type="pct"/>
                  <w:tcBorders>
                    <w:tl2br w:val="nil"/>
                    <w:tr2bl w:val="nil"/>
                  </w:tcBorders>
                  <w:noWrap w:val="0"/>
                  <w:vAlign w:val="center"/>
                </w:tcPr>
                <w:p w14:paraId="6EC6B380">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r>
                    <w:rPr>
                      <w:rFonts w:hint="eastAsia"/>
                      <w:vertAlign w:val="baseline"/>
                      <w:lang w:val="en-US" w:eastAsia="zh-CN"/>
                    </w:rPr>
                    <w:t>高污染燃料禁燃区内禁止燃用高污染燃料，禁止新建、扩建燃用高污染燃料的设施。已建的燃用高污染燃料设施，限期改用电、天然气、液化石油气等清洁能源。</w:t>
                  </w:r>
                </w:p>
              </w:tc>
              <w:tc>
                <w:tcPr>
                  <w:tcW w:w="1305" w:type="pct"/>
                  <w:tcBorders>
                    <w:tl2br w:val="nil"/>
                    <w:tr2bl w:val="nil"/>
                  </w:tcBorders>
                  <w:noWrap w:val="0"/>
                  <w:vAlign w:val="center"/>
                </w:tcPr>
                <w:p w14:paraId="1475BFAC">
                  <w:pPr>
                    <w:pStyle w:val="153"/>
                    <w:keepNext w:val="0"/>
                    <w:keepLines w:val="0"/>
                    <w:pageBreakBefore w:val="0"/>
                    <w:widowControl w:val="0"/>
                    <w:kinsoku/>
                    <w:wordWrap/>
                    <w:overflowPunct/>
                    <w:topLinePunct w:val="0"/>
                    <w:autoSpaceDE/>
                    <w:autoSpaceDN/>
                    <w:bidi w:val="0"/>
                    <w:adjustRightInd w:val="0"/>
                    <w:snapToGrid w:val="0"/>
                    <w:spacing w:before="0" w:beforeLines="0" w:after="0" w:afterLines="0"/>
                    <w:textAlignment w:val="auto"/>
                    <w:rPr>
                      <w:rFonts w:hint="default" w:ascii="Times New Roman" w:hAnsi="Times New Roman" w:eastAsia="宋体"/>
                      <w:color w:val="auto"/>
                      <w:sz w:val="21"/>
                      <w:szCs w:val="21"/>
                      <w:highlight w:val="none"/>
                      <w:lang w:val="en-US" w:eastAsia="zh-CN"/>
                    </w:rPr>
                  </w:pPr>
                  <w:r>
                    <w:rPr>
                      <w:rFonts w:hint="eastAsia"/>
                      <w:color w:val="auto"/>
                      <w:shd w:val="clear"/>
                      <w:lang w:val="en-US" w:eastAsia="zh-CN"/>
                    </w:rPr>
                    <w:t>本项目采用电能作为燃料，属于清洁能源。符合</w:t>
                  </w:r>
                </w:p>
              </w:tc>
            </w:tr>
          </w:tbl>
          <w:p w14:paraId="1AD5A9B9">
            <w:pPr>
              <w:pStyle w:val="46"/>
              <w:bidi w:val="0"/>
              <w:rPr>
                <w:color w:val="auto"/>
              </w:rPr>
            </w:pPr>
            <w:r>
              <w:rPr>
                <w:rFonts w:hint="eastAsia"/>
                <w:color w:val="auto"/>
                <w:lang w:val="en-US" w:eastAsia="zh-CN"/>
              </w:rPr>
              <w:t>综上所述，</w:t>
            </w:r>
            <w:r>
              <w:rPr>
                <w:rFonts w:hint="eastAsia"/>
                <w:color w:val="auto"/>
                <w:lang w:eastAsia="zh-CN"/>
              </w:rPr>
              <w:t>本项目位于</w:t>
            </w:r>
            <w:r>
              <w:rPr>
                <w:rFonts w:hint="eastAsia"/>
                <w:color w:val="auto"/>
                <w:lang w:val="en-US" w:eastAsia="zh-CN"/>
              </w:rPr>
              <w:t>福建省福州市罗源县凤山镇东大新村3号（2#楼、负压病房大楼以及1#楼1-3层）</w:t>
            </w:r>
            <w:r>
              <w:rPr>
                <w:rFonts w:hint="eastAsia"/>
                <w:color w:val="auto"/>
                <w:lang w:eastAsia="zh-CN"/>
              </w:rPr>
              <w:t>，</w:t>
            </w:r>
            <w:r>
              <w:rPr>
                <w:rFonts w:hint="eastAsia"/>
                <w:color w:val="auto"/>
                <w:lang w:val="en-US" w:eastAsia="zh-CN"/>
              </w:rPr>
              <w:t>项目的建设符合“福州</w:t>
            </w:r>
            <w:r>
              <w:rPr>
                <w:rFonts w:hint="eastAsia"/>
                <w:color w:val="auto"/>
                <w:lang w:eastAsia="zh-CN"/>
              </w:rPr>
              <w:t>市生态环境总体准入要求”，用地性质为卫生医疗用地，符合</w:t>
            </w:r>
            <w:r>
              <w:rPr>
                <w:rFonts w:hint="eastAsia"/>
                <w:color w:val="auto"/>
                <w:lang w:val="en-US" w:eastAsia="zh-CN"/>
              </w:rPr>
              <w:t>福建省生态环境分区管控</w:t>
            </w:r>
            <w:r>
              <w:rPr>
                <w:rFonts w:hint="eastAsia"/>
                <w:color w:val="auto"/>
                <w:lang w:eastAsia="zh-CN"/>
              </w:rPr>
              <w:t>要求，项目选址合理。</w:t>
            </w:r>
          </w:p>
        </w:tc>
      </w:tr>
    </w:tbl>
    <w:p w14:paraId="6CE30F74">
      <w:pPr>
        <w:spacing w:line="360" w:lineRule="auto"/>
        <w:rPr>
          <w:rFonts w:eastAsia="黑体"/>
          <w:color w:val="auto"/>
          <w:sz w:val="30"/>
          <w:highlight w:val="none"/>
        </w:rPr>
        <w:sectPr>
          <w:footerReference r:id="rId4" w:type="default"/>
          <w:pgSz w:w="11905" w:h="16838"/>
          <w:pgMar w:top="1417" w:right="1417" w:bottom="1417" w:left="1417" w:header="851" w:footer="1077" w:gutter="0"/>
          <w:pgBorders>
            <w:top w:val="none" w:sz="0" w:space="0"/>
            <w:left w:val="none" w:sz="0" w:space="0"/>
            <w:bottom w:val="none" w:sz="0" w:space="0"/>
            <w:right w:val="none" w:sz="0" w:space="0"/>
          </w:pgBorders>
          <w:pgNumType w:fmt="decimal" w:start="1"/>
          <w:cols w:space="0" w:num="1"/>
          <w:docGrid w:linePitch="312" w:charSpace="0"/>
        </w:sectPr>
      </w:pPr>
    </w:p>
    <w:p w14:paraId="0E5D372E">
      <w:pPr>
        <w:pStyle w:val="2"/>
        <w:bidi w:val="0"/>
        <w:ind w:left="432" w:leftChars="0" w:hanging="432" w:firstLineChars="0"/>
        <w:rPr>
          <w:color w:val="auto"/>
          <w:highlight w:val="none"/>
        </w:rPr>
      </w:pPr>
      <w:r>
        <w:rPr>
          <w:rFonts w:hint="eastAsia"/>
          <w:color w:val="auto"/>
          <w:highlight w:val="none"/>
        </w:rPr>
        <w:t>建设项目工程分析</w:t>
      </w:r>
      <w:bookmarkEnd w:id="1"/>
      <w:bookmarkEnd w:id="2"/>
      <w:bookmarkEnd w:id="3"/>
      <w:bookmarkEnd w:id="4"/>
      <w:bookmarkEnd w:id="5"/>
    </w:p>
    <w:tbl>
      <w:tblPr>
        <w:tblStyle w:val="34"/>
        <w:tblW w:w="928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398"/>
        <w:gridCol w:w="8889"/>
      </w:tblGrid>
      <w:tr w14:paraId="6FE1FA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6" w:type="dxa"/>
            <w:vAlign w:val="center"/>
          </w:tcPr>
          <w:p w14:paraId="2336EEAE">
            <w:pPr>
              <w:pStyle w:val="30"/>
              <w:adjustRightInd w:val="0"/>
              <w:snapToGrid w:val="0"/>
              <w:spacing w:before="0" w:beforeAutospacing="0" w:after="0" w:afterAutospacing="0"/>
              <w:jc w:val="center"/>
              <w:rPr>
                <w:rFonts w:cs="宋体"/>
                <w:color w:val="auto"/>
                <w:sz w:val="21"/>
                <w:szCs w:val="21"/>
                <w:highlight w:val="none"/>
              </w:rPr>
            </w:pPr>
            <w:bookmarkStart w:id="7" w:name="_Hlk86096164"/>
            <w:r>
              <w:rPr>
                <w:rFonts w:hint="eastAsia" w:cs="宋体"/>
                <w:color w:val="auto"/>
                <w:sz w:val="21"/>
                <w:szCs w:val="21"/>
                <w:highlight w:val="none"/>
              </w:rPr>
              <w:t>建设内容</w:t>
            </w:r>
          </w:p>
        </w:tc>
        <w:tc>
          <w:tcPr>
            <w:tcW w:w="8861" w:type="dxa"/>
          </w:tcPr>
          <w:p w14:paraId="3B540F8B">
            <w:pPr>
              <w:pStyle w:val="3"/>
              <w:bidi w:val="0"/>
              <w:rPr>
                <w:color w:val="auto"/>
              </w:rPr>
            </w:pPr>
            <w:r>
              <w:rPr>
                <w:rFonts w:hint="eastAsia"/>
                <w:color w:val="auto"/>
              </w:rPr>
              <w:t>项目由来</w:t>
            </w:r>
          </w:p>
          <w:p w14:paraId="4480C7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color w:val="auto"/>
                <w:kern w:val="0"/>
                <w:sz w:val="24"/>
                <w:szCs w:val="20"/>
                <w:highlight w:val="none"/>
                <w:lang w:val="zh-CN" w:eastAsia="zh-CN" w:bidi="ar-SA"/>
              </w:rPr>
            </w:pPr>
            <w:r>
              <w:rPr>
                <w:rFonts w:hint="eastAsia" w:cs="Times New Roman"/>
                <w:color w:val="auto"/>
                <w:kern w:val="0"/>
                <w:sz w:val="24"/>
                <w:szCs w:val="20"/>
                <w:highlight w:val="none"/>
                <w:lang w:val="zh-CN" w:eastAsia="zh-CN" w:bidi="ar-SA"/>
              </w:rPr>
              <w:t>罗源县中医院创建于1988年，是一所集医疗、教学、科研为一体的二级甲等中医院。</w:t>
            </w:r>
            <w:r>
              <w:rPr>
                <w:sz w:val="24"/>
                <w:szCs w:val="24"/>
              </w:rPr>
              <w:t>目前院内职工总数共</w:t>
            </w:r>
            <w:r>
              <w:rPr>
                <w:rFonts w:hint="eastAsia"/>
                <w:sz w:val="24"/>
                <w:szCs w:val="24"/>
                <w:lang w:val="en-US" w:eastAsia="zh-CN"/>
              </w:rPr>
              <w:t>130</w:t>
            </w:r>
            <w:r>
              <w:rPr>
                <w:sz w:val="24"/>
                <w:szCs w:val="24"/>
              </w:rPr>
              <w:t>余人，拥有</w:t>
            </w:r>
            <w:r>
              <w:rPr>
                <w:rFonts w:hint="eastAsia"/>
                <w:sz w:val="24"/>
                <w:szCs w:val="24"/>
                <w:lang w:val="en-US" w:eastAsia="zh-CN"/>
              </w:rPr>
              <w:t>70</w:t>
            </w:r>
            <w:r>
              <w:rPr>
                <w:sz w:val="24"/>
                <w:szCs w:val="24"/>
              </w:rPr>
              <w:t>张</w:t>
            </w:r>
            <w:r>
              <w:rPr>
                <w:rFonts w:hint="eastAsia"/>
                <w:sz w:val="24"/>
                <w:szCs w:val="24"/>
                <w:lang w:eastAsia="zh-CN"/>
              </w:rPr>
              <w:t>床位</w:t>
            </w:r>
            <w:r>
              <w:rPr>
                <w:sz w:val="24"/>
                <w:szCs w:val="24"/>
              </w:rPr>
              <w:t>，年门诊量</w:t>
            </w:r>
            <w:r>
              <w:rPr>
                <w:rFonts w:hint="eastAsia"/>
                <w:sz w:val="24"/>
                <w:szCs w:val="24"/>
                <w:lang w:val="en-US" w:eastAsia="zh-CN"/>
              </w:rPr>
              <w:t>12.29</w:t>
            </w:r>
            <w:r>
              <w:rPr>
                <w:sz w:val="24"/>
                <w:szCs w:val="24"/>
              </w:rPr>
              <w:t>万人次，年住院量</w:t>
            </w:r>
            <w:r>
              <w:rPr>
                <w:rFonts w:hint="eastAsia"/>
                <w:sz w:val="24"/>
                <w:szCs w:val="24"/>
                <w:lang w:val="en-US" w:eastAsia="zh-CN"/>
              </w:rPr>
              <w:t>约2696</w:t>
            </w:r>
            <w:r>
              <w:rPr>
                <w:sz w:val="24"/>
                <w:szCs w:val="24"/>
              </w:rPr>
              <w:t>人次</w:t>
            </w:r>
            <w:r>
              <w:rPr>
                <w:rFonts w:hint="eastAsia" w:cs="Times New Roman"/>
                <w:color w:val="auto"/>
                <w:kern w:val="0"/>
                <w:sz w:val="24"/>
                <w:szCs w:val="20"/>
                <w:highlight w:val="none"/>
                <w:lang w:val="zh-CN" w:eastAsia="zh-CN" w:bidi="ar-SA"/>
              </w:rPr>
              <w:t>。</w:t>
            </w:r>
          </w:p>
          <w:p w14:paraId="367C31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color w:val="auto"/>
                <w:kern w:val="0"/>
                <w:sz w:val="24"/>
                <w:szCs w:val="20"/>
                <w:highlight w:val="none"/>
                <w:lang w:val="en-US" w:eastAsia="zh-CN" w:bidi="ar-SA"/>
              </w:rPr>
            </w:pPr>
            <w:r>
              <w:rPr>
                <w:rFonts w:hint="eastAsia" w:cs="Times New Roman"/>
                <w:color w:val="auto"/>
                <w:kern w:val="0"/>
                <w:sz w:val="24"/>
                <w:szCs w:val="20"/>
                <w:highlight w:val="none"/>
                <w:lang w:val="en-US" w:eastAsia="zh-CN" w:bidi="ar-SA"/>
              </w:rPr>
              <w:t>罗源县中医院创建于1988年，建院初期全院未办理环评手续。2003年8月，《罗源县中医院污水处理站改建工程》项目竣工（详见附件2），该工程由原福州市环保研究所严格按照标准要求设计施工，建设内容为建设一座日处理量80吨的污水处理设施；2004年1月12日，该项目通过原福州市环保局验收并取得验收意见（详见附件10）。2012年7月20日，《罗源县中医院改建工程项目环境影响登记表》经原罗源县环境保护局审批通过（详见附件11）；改建的建设内容包括在医院内修缮本部两栋大楼及附属楼、医院大门、医院信息网络和水电管网等设施，总面积达3969平方米。</w:t>
            </w:r>
          </w:p>
          <w:p w14:paraId="69DE99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color w:val="auto"/>
                <w:kern w:val="0"/>
                <w:sz w:val="24"/>
                <w:szCs w:val="20"/>
                <w:highlight w:val="none"/>
                <w:lang w:val="en-US" w:eastAsia="zh-CN" w:bidi="ar-SA"/>
              </w:rPr>
            </w:pPr>
            <w:r>
              <w:rPr>
                <w:rFonts w:hint="eastAsia" w:cs="Times New Roman"/>
                <w:color w:val="auto"/>
                <w:kern w:val="0"/>
                <w:sz w:val="24"/>
                <w:szCs w:val="20"/>
                <w:highlight w:val="none"/>
                <w:lang w:val="en-US" w:eastAsia="zh-CN" w:bidi="ar-SA"/>
              </w:rPr>
              <w:t>根据罗源县发展和改革局《关于罗源县总医院中医分院病房改造及综合能力提升项目可行性研究报告的批复》（罗发改投资〔2024〕69号）中项目建设内容与规模调整，罗源县总医院中医分院搬迁：主要迁建中医院并将多人间病房改造为2-3人间病房，改造提升卫生间等，开展适老化、适儿化、无障碍环境建设，加装电梯、坡道、连廊等，改善供电、消防等基础设施系统、住院环境和配套设施提升，总建筑面积28300平方米，改造建筑面积13960平方米，设置床位270张。</w:t>
            </w:r>
          </w:p>
          <w:p w14:paraId="313BE9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color w:val="auto"/>
                <w:sz w:val="24"/>
                <w:highlight w:val="none"/>
              </w:rPr>
            </w:pPr>
            <w:r>
              <w:rPr>
                <w:rFonts w:hint="eastAsia" w:ascii="Times New Roman" w:hAnsi="Times New Roman" w:eastAsia="宋体" w:cs="Times New Roman"/>
                <w:color w:val="auto"/>
                <w:kern w:val="0"/>
                <w:sz w:val="24"/>
                <w:szCs w:val="20"/>
                <w:highlight w:val="none"/>
                <w:lang w:val="zh-CN" w:eastAsia="zh-CN" w:bidi="ar-SA"/>
              </w:rPr>
              <w:t>根据《中华人民共和国环境影响评价法》和《</w:t>
            </w:r>
            <w:r>
              <w:rPr>
                <w:rFonts w:ascii="Times New Roman" w:hAnsi="Times New Roman" w:eastAsia="宋体" w:cs="Times New Roman"/>
                <w:color w:val="auto"/>
                <w:kern w:val="0"/>
                <w:sz w:val="24"/>
                <w:szCs w:val="20"/>
                <w:highlight w:val="none"/>
                <w:lang w:val="zh-CN" w:eastAsia="zh-CN" w:bidi="ar-SA"/>
              </w:rPr>
              <w:t>建设项目环境保护管理条例》的有关规定，建设项目需履行环</w:t>
            </w:r>
            <w:r>
              <w:rPr>
                <w:rFonts w:ascii="Times New Roman" w:hAnsi="Times New Roman" w:eastAsia="宋体" w:cs="Times New Roman"/>
                <w:color w:val="auto"/>
                <w:sz w:val="24"/>
                <w:highlight w:val="none"/>
              </w:rPr>
              <w:t>境影响评价手续。根据《国民经济行业分类》（GB/T 4754-2017），本项目行业类别为</w:t>
            </w:r>
            <w:r>
              <w:rPr>
                <w:rFonts w:hint="eastAsia" w:cs="Times New Roman"/>
                <w:color w:val="auto"/>
                <w:sz w:val="24"/>
                <w:highlight w:val="none"/>
                <w:lang w:eastAsia="zh-CN"/>
              </w:rPr>
              <w:t>Q8412中医医院</w:t>
            </w:r>
            <w:r>
              <w:rPr>
                <w:rFonts w:ascii="Times New Roman" w:hAnsi="Times New Roman" w:eastAsia="宋体" w:cs="Times New Roman"/>
                <w:color w:val="auto"/>
                <w:sz w:val="24"/>
                <w:highlight w:val="none"/>
              </w:rPr>
              <w:t>，依据《建设项目环境影响评价分类管理名录》（2021年版）的有关规定，本项目属于名录中“</w:t>
            </w:r>
            <w:r>
              <w:rPr>
                <w:rFonts w:hint="default" w:ascii="Times New Roman" w:hAnsi="Times New Roman" w:eastAsia="宋体" w:cs="Times New Roman"/>
                <w:color w:val="auto"/>
                <w:sz w:val="24"/>
                <w:highlight w:val="none"/>
                <w:lang w:val="en-US"/>
              </w:rPr>
              <w:t>四十九、108医院”中的“其他</w:t>
            </w:r>
            <w:r>
              <w:rPr>
                <w:rFonts w:hint="eastAsia" w:cs="Times New Roman"/>
                <w:color w:val="auto"/>
                <w:sz w:val="24"/>
                <w:highlight w:val="none"/>
                <w:lang w:val="en-US" w:eastAsia="zh-CN"/>
              </w:rPr>
              <w:t>（</w:t>
            </w:r>
            <w:r>
              <w:rPr>
                <w:rFonts w:hint="default" w:ascii="Times New Roman" w:hAnsi="Times New Roman" w:eastAsia="宋体" w:cs="Times New Roman"/>
                <w:color w:val="auto"/>
                <w:sz w:val="24"/>
                <w:highlight w:val="none"/>
                <w:lang w:val="en-US"/>
              </w:rPr>
              <w:t>20张床位以下的除外</w:t>
            </w:r>
            <w:r>
              <w:rPr>
                <w:rFonts w:hint="eastAsia" w:cs="Times New Roman"/>
                <w:color w:val="auto"/>
                <w:sz w:val="24"/>
                <w:highlight w:val="none"/>
                <w:lang w:val="en-US" w:eastAsia="zh-CN"/>
              </w:rPr>
              <w:t>）</w:t>
            </w:r>
            <w:r>
              <w:rPr>
                <w:rFonts w:ascii="Times New Roman" w:hAnsi="Times New Roman" w:eastAsia="宋体" w:cs="Times New Roman"/>
                <w:color w:val="auto"/>
                <w:sz w:val="24"/>
                <w:highlight w:val="none"/>
              </w:rPr>
              <w:t>”</w:t>
            </w:r>
            <w:r>
              <w:rPr>
                <w:rFonts w:hint="eastAsia" w:cs="Times New Roman"/>
                <w:color w:val="auto"/>
                <w:sz w:val="24"/>
                <w:highlight w:val="none"/>
                <w:lang w:eastAsia="zh-CN"/>
              </w:rPr>
              <w:t>，</w:t>
            </w:r>
            <w:r>
              <w:rPr>
                <w:rFonts w:hint="eastAsia" w:cs="Times New Roman"/>
                <w:color w:val="000000" w:themeColor="text1"/>
                <w:sz w:val="24"/>
                <w:highlight w:val="none"/>
                <w:lang w:val="en-US" w:eastAsia="zh-CN"/>
                <w14:textFill>
                  <w14:solidFill>
                    <w14:schemeClr w14:val="tx1"/>
                  </w14:solidFill>
                </w14:textFill>
              </w:rPr>
              <w:t>本项目新增床位200张，项目建成后全院床位为270张。</w:t>
            </w:r>
            <w:r>
              <w:rPr>
                <w:rFonts w:ascii="Times New Roman" w:hAnsi="Times New Roman" w:eastAsia="宋体" w:cs="Times New Roman"/>
                <w:color w:val="000000" w:themeColor="text1"/>
                <w:sz w:val="24"/>
                <w:highlight w:val="none"/>
                <w14:textFill>
                  <w14:solidFill>
                    <w14:schemeClr w14:val="tx1"/>
                  </w14:solidFill>
                </w14:textFill>
              </w:rPr>
              <w:t>综上所述，本项目应编制环境</w:t>
            </w:r>
            <w:r>
              <w:rPr>
                <w:rFonts w:ascii="Times New Roman" w:hAnsi="Times New Roman" w:eastAsia="宋体" w:cs="Times New Roman"/>
                <w:color w:val="auto"/>
                <w:sz w:val="24"/>
                <w:highlight w:val="none"/>
              </w:rPr>
              <w:t>影响报告表。</w:t>
            </w:r>
            <w:r>
              <w:rPr>
                <w:rFonts w:hint="eastAsia" w:ascii="Times New Roman" w:hAnsi="Times New Roman" w:eastAsia="宋体" w:cs="Times New Roman"/>
                <w:color w:val="auto"/>
                <w:sz w:val="24"/>
                <w:highlight w:val="none"/>
              </w:rPr>
              <w:t>建设单位委托我司编制该项目的环境影响报告表</w:t>
            </w:r>
            <w:r>
              <w:rPr>
                <w:rFonts w:hint="eastAsia" w:cs="Times New Roman"/>
                <w:color w:val="auto"/>
                <w:sz w:val="24"/>
                <w:highlight w:val="none"/>
                <w:lang w:eastAsia="zh-CN"/>
              </w:rPr>
              <w:t>（</w:t>
            </w:r>
            <w:r>
              <w:rPr>
                <w:rFonts w:hint="eastAsia" w:ascii="Times New Roman" w:hAnsi="Times New Roman" w:eastAsia="宋体" w:cs="Times New Roman"/>
                <w:color w:val="auto"/>
                <w:sz w:val="24"/>
                <w:highlight w:val="none"/>
              </w:rPr>
              <w:t>委托书详见附件1</w:t>
            </w:r>
            <w:r>
              <w:rPr>
                <w:rFonts w:hint="eastAsia" w:cs="Times New Roman"/>
                <w:color w:val="auto"/>
                <w:sz w:val="24"/>
                <w:highlight w:val="none"/>
                <w:lang w:eastAsia="zh-CN"/>
              </w:rPr>
              <w:t>）</w:t>
            </w:r>
            <w:r>
              <w:rPr>
                <w:rFonts w:hint="eastAsia" w:ascii="Times New Roman" w:hAnsi="Times New Roman" w:eastAsia="宋体" w:cs="Times New Roman"/>
                <w:color w:val="auto"/>
                <w:sz w:val="24"/>
                <w:highlight w:val="none"/>
              </w:rPr>
              <w:t>。本评价单位接受委托后，立即派技术人员踏勘现场和收集有关资料，依照《建设项目环境影响报告表编制技术指南</w:t>
            </w:r>
            <w:r>
              <w:rPr>
                <w:rFonts w:hint="eastAsia" w:cs="Times New Roman"/>
                <w:color w:val="auto"/>
                <w:sz w:val="24"/>
                <w:highlight w:val="none"/>
                <w:lang w:eastAsia="zh-CN"/>
              </w:rPr>
              <w:t>（</w:t>
            </w:r>
            <w:r>
              <w:rPr>
                <w:rFonts w:hint="eastAsia" w:ascii="Times New Roman" w:hAnsi="Times New Roman" w:eastAsia="宋体" w:cs="Times New Roman"/>
                <w:color w:val="auto"/>
                <w:sz w:val="24"/>
                <w:highlight w:val="none"/>
              </w:rPr>
              <w:t>污染影响类</w:t>
            </w:r>
            <w:r>
              <w:rPr>
                <w:rFonts w:hint="eastAsia" w:cs="Times New Roman"/>
                <w:color w:val="auto"/>
                <w:sz w:val="24"/>
                <w:highlight w:val="none"/>
                <w:lang w:eastAsia="zh-CN"/>
              </w:rPr>
              <w:t>）（试行）》</w:t>
            </w:r>
            <w:r>
              <w:rPr>
                <w:rFonts w:hint="eastAsia" w:ascii="Times New Roman" w:hAnsi="Times New Roman" w:eastAsia="宋体" w:cs="Times New Roman"/>
                <w:color w:val="auto"/>
                <w:sz w:val="24"/>
                <w:highlight w:val="none"/>
              </w:rPr>
              <w:t>及相关技术规范要求，编制了本环境影响报告表，供建设单位报生态环境主管部门审批和作为污染防治设施建设的依据。</w:t>
            </w:r>
          </w:p>
          <w:p w14:paraId="4AE14AB0">
            <w:pPr>
              <w:pStyle w:val="44"/>
              <w:keepNext w:val="0"/>
              <w:keepLines w:val="0"/>
              <w:pageBreakBefore w:val="0"/>
              <w:widowControl w:val="0"/>
              <w:suppressLineNumbers w:val="0"/>
              <w:tabs>
                <w:tab w:val="left" w:pos="0"/>
                <w:tab w:val="clear" w:pos="420"/>
              </w:tabs>
              <w:kinsoku/>
              <w:wordWrap/>
              <w:overflowPunct/>
              <w:topLinePunct w:val="0"/>
              <w:autoSpaceDE/>
              <w:autoSpaceDN/>
              <w:bidi w:val="0"/>
              <w:adjustRightInd/>
              <w:snapToGrid/>
              <w:spacing w:beforeAutospacing="0" w:after="0" w:afterAutospacing="0"/>
              <w:ind w:left="210" w:leftChars="0" w:right="0" w:firstLineChars="0"/>
              <w:textAlignment w:val="auto"/>
              <w:rPr>
                <w:rFonts w:hint="eastAsia" w:ascii="Times New Roman" w:hAnsi="Times New Roman" w:eastAsia="宋体" w:cs="宋体"/>
                <w:color w:val="auto"/>
                <w:lang w:val="en-US" w:eastAsia="zh-CN"/>
              </w:rPr>
            </w:pPr>
            <w:r>
              <w:rPr>
                <w:rFonts w:hint="eastAsia" w:ascii="Times New Roman" w:hAnsi="Times New Roman" w:eastAsia="宋体" w:cs="宋体"/>
                <w:color w:val="auto"/>
                <w:lang w:val="en-US" w:eastAsia="zh-CN"/>
              </w:rPr>
              <w:t>建设项目环境影响评价分类管理名录（摘录）</w:t>
            </w:r>
          </w:p>
          <w:tbl>
            <w:tblPr>
              <w:tblStyle w:val="34"/>
              <w:tblW w:w="8642" w:type="dxa"/>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636"/>
              <w:gridCol w:w="2476"/>
              <w:gridCol w:w="2035"/>
              <w:gridCol w:w="1980"/>
              <w:gridCol w:w="1515"/>
            </w:tblGrid>
            <w:tr w14:paraId="1D025E0D">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3112" w:type="dxa"/>
                  <w:gridSpan w:val="2"/>
                  <w:tcBorders>
                    <w:bottom w:val="single" w:color="000000" w:sz="12" w:space="0"/>
                    <w:tl2br w:val="single" w:color="000000" w:sz="4" w:space="0"/>
                  </w:tcBorders>
                  <w:vAlign w:val="center"/>
                </w:tcPr>
                <w:p w14:paraId="6F7F1A56">
                  <w:pPr>
                    <w:pStyle w:val="138"/>
                    <w:bidi w:val="0"/>
                    <w:rPr>
                      <w:rFonts w:hint="default" w:ascii="Times New Roman" w:hAnsi="Times New Roman" w:eastAsia="宋体" w:cs="Times New Roman"/>
                      <w:b w:val="0"/>
                      <w:bCs w:val="0"/>
                      <w:smallCaps w:val="0"/>
                      <w:color w:val="auto"/>
                      <w:highlight w:val="none"/>
                      <w:shd w:val="clear" w:color="auto" w:fill="auto"/>
                    </w:rPr>
                  </w:pPr>
                  <w:r>
                    <w:rPr>
                      <w:rFonts w:hint="default" w:ascii="Times New Roman" w:hAnsi="Times New Roman" w:eastAsia="宋体" w:cs="Times New Roman"/>
                      <w:b w:val="0"/>
                      <w:bCs w:val="0"/>
                      <w:smallCaps w:val="0"/>
                      <w:color w:val="auto"/>
                      <w:highlight w:val="none"/>
                      <w:shd w:val="clear" w:color="auto" w:fill="auto"/>
                    </w:rPr>
                    <w:t>环评类别</w:t>
                  </w:r>
                </w:p>
                <w:p w14:paraId="297E4377">
                  <w:pPr>
                    <w:pStyle w:val="138"/>
                    <w:bidi w:val="0"/>
                    <w:jc w:val="both"/>
                    <w:rPr>
                      <w:rFonts w:hint="default" w:ascii="Times New Roman" w:hAnsi="Times New Roman" w:eastAsia="宋体" w:cs="Times New Roman"/>
                      <w:b w:val="0"/>
                      <w:bCs w:val="0"/>
                      <w:smallCaps w:val="0"/>
                      <w:color w:val="auto"/>
                      <w:highlight w:val="none"/>
                      <w:shd w:val="clear" w:color="auto" w:fill="auto"/>
                    </w:rPr>
                  </w:pPr>
                  <w:r>
                    <w:rPr>
                      <w:rFonts w:hint="default" w:ascii="Times New Roman" w:hAnsi="Times New Roman" w:eastAsia="宋体" w:cs="Times New Roman"/>
                      <w:b w:val="0"/>
                      <w:bCs w:val="0"/>
                      <w:smallCaps w:val="0"/>
                      <w:color w:val="auto"/>
                      <w:highlight w:val="none"/>
                      <w:shd w:val="clear" w:color="auto" w:fill="auto"/>
                    </w:rPr>
                    <w:t>项目类别</w:t>
                  </w:r>
                </w:p>
              </w:tc>
              <w:tc>
                <w:tcPr>
                  <w:tcW w:w="2035" w:type="dxa"/>
                  <w:tcBorders>
                    <w:bottom w:val="single" w:color="000000" w:sz="12" w:space="0"/>
                  </w:tcBorders>
                  <w:vAlign w:val="center"/>
                </w:tcPr>
                <w:p w14:paraId="13EFB381">
                  <w:pPr>
                    <w:pStyle w:val="138"/>
                    <w:bidi w:val="0"/>
                    <w:rPr>
                      <w:rFonts w:hint="default" w:ascii="Times New Roman" w:hAnsi="Times New Roman" w:eastAsia="宋体" w:cs="Times New Roman"/>
                      <w:b w:val="0"/>
                      <w:bCs w:val="0"/>
                      <w:smallCaps w:val="0"/>
                      <w:color w:val="auto"/>
                      <w:highlight w:val="none"/>
                      <w:shd w:val="clear" w:color="auto" w:fill="auto"/>
                    </w:rPr>
                  </w:pPr>
                  <w:r>
                    <w:rPr>
                      <w:rFonts w:hint="default" w:ascii="Times New Roman" w:hAnsi="Times New Roman" w:eastAsia="宋体" w:cs="Times New Roman"/>
                      <w:b w:val="0"/>
                      <w:bCs w:val="0"/>
                      <w:smallCaps w:val="0"/>
                      <w:color w:val="auto"/>
                      <w:highlight w:val="none"/>
                      <w:shd w:val="clear" w:color="auto" w:fill="auto"/>
                    </w:rPr>
                    <w:t>报告书</w:t>
                  </w:r>
                </w:p>
              </w:tc>
              <w:tc>
                <w:tcPr>
                  <w:tcW w:w="1980" w:type="dxa"/>
                  <w:tcBorders>
                    <w:bottom w:val="single" w:color="000000" w:sz="12" w:space="0"/>
                  </w:tcBorders>
                  <w:shd w:val="clear" w:color="auto" w:fill="BEBEBE" w:themeFill="background1" w:themeFillShade="BF"/>
                  <w:vAlign w:val="center"/>
                </w:tcPr>
                <w:p w14:paraId="133149D1">
                  <w:pPr>
                    <w:pStyle w:val="138"/>
                    <w:bidi w:val="0"/>
                    <w:rPr>
                      <w:rFonts w:hint="default" w:ascii="Times New Roman" w:hAnsi="Times New Roman" w:eastAsia="宋体" w:cs="Times New Roman"/>
                      <w:b w:val="0"/>
                      <w:bCs w:val="0"/>
                      <w:smallCaps w:val="0"/>
                      <w:color w:val="auto"/>
                      <w:highlight w:val="none"/>
                      <w:shd w:val="clear" w:color="auto" w:fill="auto"/>
                    </w:rPr>
                  </w:pPr>
                  <w:r>
                    <w:rPr>
                      <w:rFonts w:hint="default" w:ascii="Times New Roman" w:hAnsi="Times New Roman" w:eastAsia="宋体" w:cs="Times New Roman"/>
                      <w:b w:val="0"/>
                      <w:bCs w:val="0"/>
                      <w:smallCaps w:val="0"/>
                      <w:color w:val="auto"/>
                      <w:highlight w:val="none"/>
                      <w:shd w:val="clear" w:color="auto" w:fill="auto"/>
                    </w:rPr>
                    <w:t>报告表</w:t>
                  </w:r>
                </w:p>
              </w:tc>
              <w:tc>
                <w:tcPr>
                  <w:tcW w:w="1515" w:type="dxa"/>
                  <w:tcBorders>
                    <w:bottom w:val="single" w:color="000000" w:sz="12" w:space="0"/>
                  </w:tcBorders>
                  <w:vAlign w:val="center"/>
                </w:tcPr>
                <w:p w14:paraId="5B3E1C8C">
                  <w:pPr>
                    <w:pStyle w:val="138"/>
                    <w:bidi w:val="0"/>
                    <w:rPr>
                      <w:rFonts w:hint="default" w:ascii="Times New Roman" w:hAnsi="Times New Roman" w:eastAsia="宋体" w:cs="Times New Roman"/>
                      <w:b w:val="0"/>
                      <w:bCs w:val="0"/>
                      <w:smallCaps w:val="0"/>
                      <w:color w:val="auto"/>
                      <w:highlight w:val="none"/>
                      <w:shd w:val="clear" w:color="auto" w:fill="auto"/>
                    </w:rPr>
                  </w:pPr>
                  <w:r>
                    <w:rPr>
                      <w:rFonts w:hint="default" w:ascii="Times New Roman" w:hAnsi="Times New Roman" w:eastAsia="宋体" w:cs="Times New Roman"/>
                      <w:b w:val="0"/>
                      <w:bCs w:val="0"/>
                      <w:smallCaps w:val="0"/>
                      <w:color w:val="auto"/>
                      <w:highlight w:val="none"/>
                      <w:shd w:val="clear" w:color="auto" w:fill="auto"/>
                    </w:rPr>
                    <w:t>登记表</w:t>
                  </w:r>
                </w:p>
              </w:tc>
            </w:tr>
            <w:tr w14:paraId="13565D7F">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8642" w:type="dxa"/>
                  <w:gridSpan w:val="5"/>
                  <w:tcBorders>
                    <w:top w:val="single" w:color="000000" w:sz="12" w:space="0"/>
                    <w:tl2br w:val="nil"/>
                    <w:tr2bl w:val="nil"/>
                  </w:tcBorders>
                  <w:shd w:val="clear" w:color="auto" w:fill="BEBEBE" w:themeFill="background1" w:themeFillShade="BF"/>
                  <w:vAlign w:val="center"/>
                </w:tcPr>
                <w:p w14:paraId="0F67782D">
                  <w:pPr>
                    <w:pStyle w:val="138"/>
                    <w:bidi w:val="0"/>
                    <w:jc w:val="left"/>
                    <w:rPr>
                      <w:rFonts w:hint="default" w:ascii="Times New Roman" w:hAnsi="Times New Roman" w:eastAsia="宋体" w:cs="Times New Roman"/>
                      <w:smallCaps w:val="0"/>
                      <w:color w:val="auto"/>
                      <w:highlight w:val="none"/>
                      <w:shd w:val="clear" w:color="auto" w:fill="auto"/>
                      <w:lang w:val="en-US" w:eastAsia="zh-CN"/>
                    </w:rPr>
                  </w:pPr>
                  <w:r>
                    <w:rPr>
                      <w:rFonts w:hint="eastAsia" w:ascii="Times New Roman" w:hAnsi="Times New Roman" w:cs="Times New Roman"/>
                      <w:smallCaps w:val="0"/>
                      <w:color w:val="auto"/>
                      <w:highlight w:val="none"/>
                      <w:shd w:val="clear" w:color="auto" w:fill="auto"/>
                      <w:lang w:val="en-US" w:eastAsia="zh-CN"/>
                    </w:rPr>
                    <w:t>四十九</w:t>
                  </w:r>
                  <w:r>
                    <w:rPr>
                      <w:rFonts w:hint="eastAsia" w:ascii="Times New Roman" w:hAnsi="Times New Roman" w:eastAsia="宋体" w:cs="Times New Roman"/>
                      <w:smallCaps w:val="0"/>
                      <w:color w:val="auto"/>
                      <w:highlight w:val="none"/>
                      <w:shd w:val="clear" w:color="auto" w:fill="auto"/>
                      <w:lang w:val="en-US" w:eastAsia="zh-CN"/>
                    </w:rPr>
                    <w:t>、</w:t>
                  </w:r>
                  <w:r>
                    <w:rPr>
                      <w:rFonts w:hint="eastAsia" w:ascii="Times New Roman" w:hAnsi="Times New Roman" w:cs="Times New Roman"/>
                      <w:smallCaps w:val="0"/>
                      <w:color w:val="auto"/>
                      <w:highlight w:val="none"/>
                      <w:shd w:val="clear" w:color="auto" w:fill="auto"/>
                      <w:lang w:val="en-US" w:eastAsia="zh-CN"/>
                    </w:rPr>
                    <w:t>卫生84</w:t>
                  </w:r>
                </w:p>
              </w:tc>
            </w:tr>
            <w:tr w14:paraId="5CC596F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636" w:type="dxa"/>
                  <w:tcBorders>
                    <w:tl2br w:val="nil"/>
                    <w:tr2bl w:val="nil"/>
                  </w:tcBorders>
                  <w:shd w:val="clear" w:color="auto" w:fill="auto"/>
                  <w:vAlign w:val="center"/>
                </w:tcPr>
                <w:p w14:paraId="13DEA32F">
                  <w:pPr>
                    <w:pStyle w:val="138"/>
                    <w:shd w:val="clear" w:color="auto" w:fill="auto"/>
                    <w:bidi w:val="0"/>
                    <w:jc w:val="left"/>
                    <w:rPr>
                      <w:rFonts w:hint="default" w:ascii="Times New Roman" w:hAnsi="Times New Roman" w:eastAsia="宋体" w:cs="Times New Roman"/>
                      <w:smallCaps w:val="0"/>
                      <w:color w:val="auto"/>
                      <w:highlight w:val="none"/>
                      <w:shd w:val="clear" w:color="auto" w:fill="auto"/>
                      <w:lang w:val="en-US" w:eastAsia="zh-CN"/>
                    </w:rPr>
                  </w:pPr>
                  <w:r>
                    <w:rPr>
                      <w:rFonts w:hint="eastAsia" w:ascii="Times New Roman" w:hAnsi="Times New Roman" w:cs="Times New Roman"/>
                      <w:smallCaps w:val="0"/>
                      <w:color w:val="auto"/>
                      <w:highlight w:val="none"/>
                      <w:shd w:val="clear" w:color="auto" w:fill="auto"/>
                      <w:lang w:val="en-US" w:eastAsia="zh-CN"/>
                    </w:rPr>
                    <w:t>108</w:t>
                  </w:r>
                </w:p>
              </w:tc>
              <w:tc>
                <w:tcPr>
                  <w:tcW w:w="2476" w:type="dxa"/>
                  <w:tcBorders>
                    <w:tl2br w:val="nil"/>
                    <w:tr2bl w:val="nil"/>
                  </w:tcBorders>
                  <w:shd w:val="clear" w:color="auto" w:fill="auto"/>
                  <w:vAlign w:val="center"/>
                </w:tcPr>
                <w:p w14:paraId="5B2F8FFA">
                  <w:pPr>
                    <w:pStyle w:val="138"/>
                    <w:shd w:val="clear" w:color="auto" w:fill="auto"/>
                    <w:bidi w:val="0"/>
                    <w:jc w:val="left"/>
                    <w:rPr>
                      <w:rFonts w:hint="default" w:ascii="Times New Roman" w:hAnsi="Times New Roman" w:eastAsia="宋体" w:cs="Times New Roman"/>
                      <w:smallCaps w:val="0"/>
                      <w:color w:val="auto"/>
                      <w:highlight w:val="none"/>
                      <w:shd w:val="clear" w:color="auto" w:fill="auto"/>
                      <w:lang w:val="en-US" w:eastAsia="zh-CN"/>
                    </w:rPr>
                  </w:pPr>
                  <w:r>
                    <w:rPr>
                      <w:rFonts w:hint="default" w:ascii="Times New Roman" w:hAnsi="Times New Roman" w:eastAsia="宋体" w:cs="Times New Roman"/>
                      <w:smallCaps w:val="0"/>
                      <w:color w:val="auto"/>
                      <w:highlight w:val="none"/>
                      <w:shd w:val="clear" w:color="auto" w:fill="auto"/>
                      <w:lang w:val="en-US" w:eastAsia="zh-CN"/>
                    </w:rPr>
                    <w:t>医院841</w:t>
                  </w:r>
                  <w:r>
                    <w:rPr>
                      <w:rFonts w:hint="eastAsia" w:ascii="Times New Roman" w:hAnsi="Times New Roman" w:cs="Times New Roman"/>
                      <w:smallCaps w:val="0"/>
                      <w:color w:val="auto"/>
                      <w:highlight w:val="none"/>
                      <w:shd w:val="clear" w:color="auto" w:fill="auto"/>
                      <w:lang w:val="en-US" w:eastAsia="zh-CN"/>
                    </w:rPr>
                    <w:t>：</w:t>
                  </w:r>
                  <w:r>
                    <w:rPr>
                      <w:rFonts w:hint="default" w:ascii="Times New Roman" w:hAnsi="Times New Roman" w:eastAsia="宋体" w:cs="Times New Roman"/>
                      <w:smallCaps w:val="0"/>
                      <w:color w:val="auto"/>
                      <w:highlight w:val="none"/>
                      <w:shd w:val="clear" w:color="auto" w:fill="auto"/>
                      <w:lang w:val="en-US" w:eastAsia="zh-CN"/>
                    </w:rPr>
                    <w:t>专科疾病防治院</w:t>
                  </w:r>
                  <w:r>
                    <w:rPr>
                      <w:rFonts w:hint="eastAsia" w:ascii="Times New Roman" w:hAnsi="Times New Roman" w:cs="Times New Roman"/>
                      <w:smallCaps w:val="0"/>
                      <w:color w:val="auto"/>
                      <w:highlight w:val="none"/>
                      <w:shd w:val="clear" w:color="auto" w:fill="auto"/>
                      <w:lang w:val="en-US" w:eastAsia="zh-CN"/>
                    </w:rPr>
                    <w:t>（</w:t>
                  </w:r>
                  <w:r>
                    <w:rPr>
                      <w:rFonts w:hint="default" w:ascii="Times New Roman" w:hAnsi="Times New Roman" w:eastAsia="宋体" w:cs="Times New Roman"/>
                      <w:smallCaps w:val="0"/>
                      <w:color w:val="auto"/>
                      <w:highlight w:val="none"/>
                      <w:shd w:val="clear" w:color="auto" w:fill="auto"/>
                      <w:lang w:val="en-US" w:eastAsia="zh-CN"/>
                    </w:rPr>
                    <w:t>所、站</w:t>
                  </w:r>
                  <w:r>
                    <w:rPr>
                      <w:rFonts w:hint="eastAsia" w:ascii="Times New Roman" w:hAnsi="Times New Roman" w:cs="Times New Roman"/>
                      <w:smallCaps w:val="0"/>
                      <w:color w:val="auto"/>
                      <w:highlight w:val="none"/>
                      <w:shd w:val="clear" w:color="auto" w:fill="auto"/>
                      <w:lang w:val="en-US" w:eastAsia="zh-CN"/>
                    </w:rPr>
                    <w:t>）</w:t>
                  </w:r>
                  <w:r>
                    <w:rPr>
                      <w:rFonts w:hint="default" w:ascii="Times New Roman" w:hAnsi="Times New Roman" w:eastAsia="宋体" w:cs="Times New Roman"/>
                      <w:smallCaps w:val="0"/>
                      <w:color w:val="auto"/>
                      <w:highlight w:val="none"/>
                      <w:shd w:val="clear" w:color="auto" w:fill="auto"/>
                      <w:lang w:val="en-US" w:eastAsia="zh-CN"/>
                    </w:rPr>
                    <w:t>8432</w:t>
                  </w:r>
                  <w:r>
                    <w:rPr>
                      <w:rFonts w:hint="eastAsia" w:ascii="Times New Roman" w:hAnsi="Times New Roman" w:cs="Times New Roman"/>
                      <w:smallCaps w:val="0"/>
                      <w:color w:val="auto"/>
                      <w:highlight w:val="none"/>
                      <w:shd w:val="clear" w:color="auto" w:fill="auto"/>
                      <w:lang w:val="en-US" w:eastAsia="zh-CN"/>
                    </w:rPr>
                    <w:t>；</w:t>
                  </w:r>
                  <w:r>
                    <w:rPr>
                      <w:rFonts w:hint="default" w:ascii="Times New Roman" w:hAnsi="Times New Roman" w:eastAsia="宋体" w:cs="Times New Roman"/>
                      <w:smallCaps w:val="0"/>
                      <w:color w:val="auto"/>
                      <w:highlight w:val="none"/>
                      <w:shd w:val="clear" w:color="auto" w:fill="auto"/>
                      <w:lang w:val="en-US" w:eastAsia="zh-CN"/>
                    </w:rPr>
                    <w:t>妇幼保健院</w:t>
                  </w:r>
                  <w:r>
                    <w:rPr>
                      <w:rFonts w:hint="eastAsia" w:ascii="Times New Roman" w:hAnsi="Times New Roman" w:cs="Times New Roman"/>
                      <w:smallCaps w:val="0"/>
                      <w:color w:val="auto"/>
                      <w:highlight w:val="none"/>
                      <w:shd w:val="clear" w:color="auto" w:fill="auto"/>
                      <w:lang w:val="en-US" w:eastAsia="zh-CN"/>
                    </w:rPr>
                    <w:t>（</w:t>
                  </w:r>
                  <w:r>
                    <w:rPr>
                      <w:rFonts w:hint="default" w:ascii="Times New Roman" w:hAnsi="Times New Roman" w:eastAsia="宋体" w:cs="Times New Roman"/>
                      <w:smallCaps w:val="0"/>
                      <w:color w:val="auto"/>
                      <w:highlight w:val="none"/>
                      <w:shd w:val="clear" w:color="auto" w:fill="auto"/>
                      <w:lang w:val="en-US" w:eastAsia="zh-CN"/>
                    </w:rPr>
                    <w:t>所、站</w:t>
                  </w:r>
                  <w:r>
                    <w:rPr>
                      <w:rFonts w:hint="eastAsia" w:ascii="Times New Roman" w:hAnsi="Times New Roman" w:cs="Times New Roman"/>
                      <w:smallCaps w:val="0"/>
                      <w:color w:val="auto"/>
                      <w:highlight w:val="none"/>
                      <w:shd w:val="clear" w:color="auto" w:fill="auto"/>
                      <w:lang w:val="en-US" w:eastAsia="zh-CN"/>
                    </w:rPr>
                    <w:t>）</w:t>
                  </w:r>
                  <w:r>
                    <w:rPr>
                      <w:rFonts w:hint="default" w:ascii="Times New Roman" w:hAnsi="Times New Roman" w:eastAsia="宋体" w:cs="Times New Roman"/>
                      <w:smallCaps w:val="0"/>
                      <w:color w:val="auto"/>
                      <w:highlight w:val="none"/>
                      <w:shd w:val="clear" w:color="auto" w:fill="auto"/>
                      <w:lang w:val="en-US" w:eastAsia="zh-CN"/>
                    </w:rPr>
                    <w:t>8433</w:t>
                  </w:r>
                  <w:r>
                    <w:rPr>
                      <w:rFonts w:hint="eastAsia" w:ascii="Times New Roman" w:hAnsi="Times New Roman" w:cs="Times New Roman"/>
                      <w:smallCaps w:val="0"/>
                      <w:color w:val="auto"/>
                      <w:highlight w:val="none"/>
                      <w:shd w:val="clear" w:color="auto" w:fill="auto"/>
                      <w:lang w:val="en-US" w:eastAsia="zh-CN"/>
                    </w:rPr>
                    <w:t>；</w:t>
                  </w:r>
                  <w:r>
                    <w:rPr>
                      <w:rFonts w:hint="default" w:ascii="Times New Roman" w:hAnsi="Times New Roman" w:eastAsia="宋体" w:cs="Times New Roman"/>
                      <w:smallCaps w:val="0"/>
                      <w:color w:val="auto"/>
                      <w:highlight w:val="none"/>
                      <w:shd w:val="clear" w:color="auto" w:fill="auto"/>
                      <w:lang w:val="en-US" w:eastAsia="zh-CN"/>
                    </w:rPr>
                    <w:t>急救中心</w:t>
                  </w:r>
                  <w:r>
                    <w:rPr>
                      <w:rFonts w:hint="eastAsia" w:ascii="Times New Roman" w:hAnsi="Times New Roman" w:cs="Times New Roman"/>
                      <w:smallCaps w:val="0"/>
                      <w:color w:val="auto"/>
                      <w:highlight w:val="none"/>
                      <w:shd w:val="clear" w:color="auto" w:fill="auto"/>
                      <w:lang w:val="en-US" w:eastAsia="zh-CN"/>
                    </w:rPr>
                    <w:t>（</w:t>
                  </w:r>
                  <w:r>
                    <w:rPr>
                      <w:rFonts w:hint="default" w:ascii="Times New Roman" w:hAnsi="Times New Roman" w:eastAsia="宋体" w:cs="Times New Roman"/>
                      <w:smallCaps w:val="0"/>
                      <w:color w:val="auto"/>
                      <w:highlight w:val="none"/>
                      <w:shd w:val="clear" w:color="auto" w:fill="auto"/>
                      <w:lang w:val="en-US" w:eastAsia="zh-CN"/>
                    </w:rPr>
                    <w:t>站</w:t>
                  </w:r>
                  <w:r>
                    <w:rPr>
                      <w:rFonts w:hint="eastAsia" w:ascii="Times New Roman" w:hAnsi="Times New Roman" w:cs="Times New Roman"/>
                      <w:smallCaps w:val="0"/>
                      <w:color w:val="auto"/>
                      <w:highlight w:val="none"/>
                      <w:shd w:val="clear" w:color="auto" w:fill="auto"/>
                      <w:lang w:val="en-US" w:eastAsia="zh-CN"/>
                    </w:rPr>
                    <w:t>）</w:t>
                  </w:r>
                  <w:r>
                    <w:rPr>
                      <w:rFonts w:hint="default" w:ascii="Times New Roman" w:hAnsi="Times New Roman" w:eastAsia="宋体" w:cs="Times New Roman"/>
                      <w:smallCaps w:val="0"/>
                      <w:color w:val="auto"/>
                      <w:highlight w:val="none"/>
                      <w:shd w:val="clear" w:color="auto" w:fill="auto"/>
                      <w:lang w:val="en-US" w:eastAsia="zh-CN"/>
                    </w:rPr>
                    <w:t>服务8434</w:t>
                  </w:r>
                  <w:r>
                    <w:rPr>
                      <w:rFonts w:hint="eastAsia" w:ascii="Times New Roman" w:hAnsi="Times New Roman" w:cs="Times New Roman"/>
                      <w:smallCaps w:val="0"/>
                      <w:color w:val="auto"/>
                      <w:highlight w:val="none"/>
                      <w:shd w:val="clear" w:color="auto" w:fill="auto"/>
                      <w:lang w:val="en-US" w:eastAsia="zh-CN"/>
                    </w:rPr>
                    <w:t>：</w:t>
                  </w:r>
                  <w:r>
                    <w:rPr>
                      <w:rFonts w:hint="default" w:ascii="Times New Roman" w:hAnsi="Times New Roman" w:eastAsia="宋体" w:cs="Times New Roman"/>
                      <w:smallCaps w:val="0"/>
                      <w:color w:val="auto"/>
                      <w:highlight w:val="none"/>
                      <w:shd w:val="clear" w:color="auto" w:fill="auto"/>
                      <w:lang w:val="en-US" w:eastAsia="zh-CN"/>
                    </w:rPr>
                    <w:t>采供血机构服务8435</w:t>
                  </w:r>
                  <w:r>
                    <w:rPr>
                      <w:rFonts w:hint="eastAsia" w:ascii="Times New Roman" w:hAnsi="Times New Roman" w:cs="Times New Roman"/>
                      <w:smallCaps w:val="0"/>
                      <w:color w:val="auto"/>
                      <w:highlight w:val="none"/>
                      <w:shd w:val="clear" w:color="auto" w:fill="auto"/>
                      <w:lang w:val="en-US" w:eastAsia="zh-CN"/>
                    </w:rPr>
                    <w:t>；</w:t>
                  </w:r>
                  <w:r>
                    <w:rPr>
                      <w:rFonts w:hint="default" w:ascii="Times New Roman" w:hAnsi="Times New Roman" w:eastAsia="宋体" w:cs="Times New Roman"/>
                      <w:smallCaps w:val="0"/>
                      <w:color w:val="auto"/>
                      <w:highlight w:val="none"/>
                      <w:shd w:val="clear" w:color="auto" w:fill="auto"/>
                      <w:lang w:val="en-US" w:eastAsia="zh-CN"/>
                    </w:rPr>
                    <w:t>基层医疗卫生服务</w:t>
                  </w:r>
                  <w:r>
                    <w:rPr>
                      <w:rFonts w:hint="eastAsia" w:ascii="Times New Roman" w:hAnsi="Times New Roman" w:cs="Times New Roman"/>
                      <w:smallCaps w:val="0"/>
                      <w:color w:val="auto"/>
                      <w:highlight w:val="none"/>
                      <w:shd w:val="clear" w:color="auto" w:fill="auto"/>
                      <w:lang w:val="en-US" w:eastAsia="zh-CN"/>
                    </w:rPr>
                    <w:t>842。</w:t>
                  </w:r>
                </w:p>
              </w:tc>
              <w:tc>
                <w:tcPr>
                  <w:tcW w:w="2035" w:type="dxa"/>
                  <w:tcBorders>
                    <w:tl2br w:val="nil"/>
                    <w:tr2bl w:val="nil"/>
                  </w:tcBorders>
                  <w:shd w:val="clear" w:color="auto" w:fill="auto"/>
                  <w:vAlign w:val="center"/>
                </w:tcPr>
                <w:p w14:paraId="4AEEDA98">
                  <w:pPr>
                    <w:pStyle w:val="138"/>
                    <w:shd w:val="clear" w:color="auto" w:fill="auto"/>
                    <w:bidi w:val="0"/>
                    <w:jc w:val="left"/>
                    <w:rPr>
                      <w:rFonts w:hint="default" w:ascii="Times New Roman" w:hAnsi="Times New Roman" w:eastAsia="宋体" w:cs="Times New Roman"/>
                      <w:smallCaps w:val="0"/>
                      <w:color w:val="auto"/>
                      <w:highlight w:val="none"/>
                      <w:shd w:val="clear" w:color="auto" w:fill="auto"/>
                      <w:lang w:val="en-US" w:eastAsia="zh-CN"/>
                    </w:rPr>
                  </w:pPr>
                  <w:r>
                    <w:rPr>
                      <w:rFonts w:hint="default" w:ascii="Times New Roman" w:hAnsi="Times New Roman" w:eastAsia="宋体" w:cs="Times New Roman"/>
                      <w:smallCaps w:val="0"/>
                      <w:color w:val="auto"/>
                      <w:highlight w:val="none"/>
                      <w:shd w:val="clear" w:color="auto" w:fill="auto"/>
                      <w:lang w:val="en-US" w:eastAsia="zh-CN"/>
                    </w:rPr>
                    <w:t>新建、扩建住院床位500张及以上的</w:t>
                  </w:r>
                </w:p>
              </w:tc>
              <w:tc>
                <w:tcPr>
                  <w:tcW w:w="1980" w:type="dxa"/>
                  <w:tcBorders>
                    <w:tl2br w:val="nil"/>
                    <w:tr2bl w:val="nil"/>
                  </w:tcBorders>
                  <w:shd w:val="clear" w:color="auto" w:fill="BEBEBE" w:themeFill="background1" w:themeFillShade="BF"/>
                  <w:vAlign w:val="center"/>
                </w:tcPr>
                <w:p w14:paraId="376A767B">
                  <w:pPr>
                    <w:pStyle w:val="138"/>
                    <w:shd w:val="clear" w:color="auto" w:fill="auto"/>
                    <w:bidi w:val="0"/>
                    <w:jc w:val="left"/>
                    <w:rPr>
                      <w:rFonts w:hint="default" w:ascii="Times New Roman" w:hAnsi="Times New Roman" w:eastAsia="宋体" w:cs="Times New Roman"/>
                      <w:smallCaps w:val="0"/>
                      <w:color w:val="auto"/>
                      <w:kern w:val="2"/>
                      <w:sz w:val="21"/>
                      <w:szCs w:val="22"/>
                      <w:highlight w:val="none"/>
                      <w:u w:val="none"/>
                      <w:shd w:val="clear" w:color="auto" w:fill="auto"/>
                      <w:lang w:val="en-US" w:eastAsia="zh-CN" w:bidi="zh-TW"/>
                    </w:rPr>
                  </w:pPr>
                  <w:r>
                    <w:rPr>
                      <w:rFonts w:hint="default" w:ascii="Times New Roman" w:hAnsi="Times New Roman" w:eastAsia="宋体" w:cs="Times New Roman"/>
                      <w:smallCaps w:val="0"/>
                      <w:color w:val="auto"/>
                      <w:kern w:val="2"/>
                      <w:sz w:val="21"/>
                      <w:szCs w:val="22"/>
                      <w:highlight w:val="none"/>
                      <w:u w:val="none"/>
                      <w:shd w:val="clear" w:color="auto" w:fill="auto"/>
                      <w:lang w:val="en-US" w:eastAsia="zh-CN" w:bidi="zh-TW"/>
                    </w:rPr>
                    <w:t>其他</w:t>
                  </w:r>
                  <w:r>
                    <w:rPr>
                      <w:rFonts w:hint="eastAsia" w:ascii="Times New Roman" w:hAnsi="Times New Roman" w:cs="Times New Roman"/>
                      <w:smallCaps w:val="0"/>
                      <w:color w:val="auto"/>
                      <w:kern w:val="2"/>
                      <w:sz w:val="21"/>
                      <w:szCs w:val="22"/>
                      <w:highlight w:val="none"/>
                      <w:u w:val="none"/>
                      <w:shd w:val="clear" w:color="auto" w:fill="auto"/>
                      <w:lang w:val="en-US" w:eastAsia="zh-CN" w:bidi="zh-TW"/>
                    </w:rPr>
                    <w:t>（</w:t>
                  </w:r>
                  <w:r>
                    <w:rPr>
                      <w:rFonts w:hint="default" w:ascii="Times New Roman" w:hAnsi="Times New Roman" w:eastAsia="宋体" w:cs="Times New Roman"/>
                      <w:smallCaps w:val="0"/>
                      <w:color w:val="auto"/>
                      <w:kern w:val="2"/>
                      <w:sz w:val="21"/>
                      <w:szCs w:val="22"/>
                      <w:highlight w:val="none"/>
                      <w:u w:val="none"/>
                      <w:shd w:val="clear" w:color="auto" w:fill="auto"/>
                      <w:lang w:val="en-US" w:eastAsia="zh-CN" w:bidi="zh-TW"/>
                    </w:rPr>
                    <w:t>住院床位20张以下的除外</w:t>
                  </w:r>
                  <w:r>
                    <w:rPr>
                      <w:rFonts w:hint="eastAsia" w:ascii="Times New Roman" w:hAnsi="Times New Roman" w:cs="Times New Roman"/>
                      <w:smallCaps w:val="0"/>
                      <w:color w:val="auto"/>
                      <w:kern w:val="2"/>
                      <w:sz w:val="21"/>
                      <w:szCs w:val="22"/>
                      <w:highlight w:val="none"/>
                      <w:u w:val="none"/>
                      <w:shd w:val="clear" w:color="auto" w:fill="auto"/>
                      <w:lang w:val="en-US" w:eastAsia="zh-CN" w:bidi="zh-TW"/>
                    </w:rPr>
                    <w:t>）</w:t>
                  </w:r>
                </w:p>
              </w:tc>
              <w:tc>
                <w:tcPr>
                  <w:tcW w:w="1515" w:type="dxa"/>
                  <w:tcBorders>
                    <w:tl2br w:val="nil"/>
                    <w:tr2bl w:val="nil"/>
                  </w:tcBorders>
                  <w:vAlign w:val="center"/>
                </w:tcPr>
                <w:p w14:paraId="61723C5A">
                  <w:pPr>
                    <w:pStyle w:val="138"/>
                    <w:shd w:val="clear" w:color="auto" w:fill="auto"/>
                    <w:bidi w:val="0"/>
                    <w:jc w:val="left"/>
                    <w:rPr>
                      <w:rFonts w:hint="default" w:ascii="Times New Roman" w:hAnsi="Times New Roman" w:eastAsia="宋体" w:cs="Times New Roman"/>
                      <w:smallCaps w:val="0"/>
                      <w:color w:val="auto"/>
                      <w:kern w:val="2"/>
                      <w:sz w:val="21"/>
                      <w:szCs w:val="22"/>
                      <w:highlight w:val="none"/>
                      <w:u w:val="none"/>
                      <w:shd w:val="clear" w:color="auto" w:fill="auto"/>
                      <w:lang w:val="en-US" w:eastAsia="zh-CN" w:bidi="zh-TW"/>
                    </w:rPr>
                  </w:pPr>
                  <w:r>
                    <w:rPr>
                      <w:rFonts w:hint="default" w:ascii="Times New Roman" w:hAnsi="Times New Roman" w:eastAsia="宋体" w:cs="Times New Roman"/>
                      <w:smallCaps w:val="0"/>
                      <w:color w:val="auto"/>
                      <w:highlight w:val="none"/>
                      <w:shd w:val="clear" w:color="auto" w:fill="auto"/>
                      <w:lang w:val="en-US" w:eastAsia="zh-CN"/>
                    </w:rPr>
                    <w:t>住院床位20张以下的</w:t>
                  </w:r>
                  <w:r>
                    <w:rPr>
                      <w:rFonts w:hint="eastAsia" w:ascii="Times New Roman" w:hAnsi="Times New Roman" w:cs="Times New Roman"/>
                      <w:smallCaps w:val="0"/>
                      <w:color w:val="auto"/>
                      <w:highlight w:val="none"/>
                      <w:shd w:val="clear" w:color="auto" w:fill="auto"/>
                      <w:lang w:val="en-US" w:eastAsia="zh-CN"/>
                    </w:rPr>
                    <w:t>（</w:t>
                  </w:r>
                  <w:r>
                    <w:rPr>
                      <w:rFonts w:hint="default" w:ascii="Times New Roman" w:hAnsi="Times New Roman" w:eastAsia="宋体" w:cs="Times New Roman"/>
                      <w:smallCaps w:val="0"/>
                      <w:color w:val="auto"/>
                      <w:highlight w:val="none"/>
                      <w:shd w:val="clear" w:color="auto" w:fill="auto"/>
                      <w:lang w:val="en-US" w:eastAsia="zh-CN"/>
                    </w:rPr>
                    <w:t>不含20张住院床位的</w:t>
                  </w:r>
                  <w:r>
                    <w:rPr>
                      <w:rFonts w:hint="eastAsia" w:ascii="Times New Roman" w:hAnsi="Times New Roman" w:cs="Times New Roman"/>
                      <w:smallCaps w:val="0"/>
                      <w:color w:val="auto"/>
                      <w:highlight w:val="none"/>
                      <w:shd w:val="clear" w:color="auto" w:fill="auto"/>
                      <w:lang w:val="en-US" w:eastAsia="zh-CN"/>
                    </w:rPr>
                    <w:t>）</w:t>
                  </w:r>
                </w:p>
              </w:tc>
            </w:tr>
          </w:tbl>
          <w:p w14:paraId="2586AC85">
            <w:pPr>
              <w:pStyle w:val="3"/>
              <w:bidi w:val="0"/>
              <w:ind w:left="0" w:leftChars="0" w:firstLine="0" w:firstLineChars="0"/>
              <w:rPr>
                <w:rFonts w:hint="eastAsia"/>
                <w:color w:val="auto"/>
                <w:highlight w:val="none"/>
              </w:rPr>
            </w:pPr>
            <w:r>
              <w:rPr>
                <w:rFonts w:hint="eastAsia"/>
                <w:color w:val="auto"/>
                <w:highlight w:val="none"/>
              </w:rPr>
              <w:t>项目概况</w:t>
            </w:r>
          </w:p>
          <w:p w14:paraId="61060B5D">
            <w:pPr>
              <w:pStyle w:val="46"/>
              <w:ind w:firstLine="480"/>
              <w:rPr>
                <w:rFonts w:hint="default" w:eastAsia="宋体"/>
                <w:color w:val="auto"/>
                <w:highlight w:val="none"/>
                <w:lang w:val="en-US" w:eastAsia="zh-CN"/>
              </w:rPr>
            </w:pPr>
            <w:r>
              <w:rPr>
                <w:color w:val="auto"/>
                <w:highlight w:val="none"/>
              </w:rPr>
              <w:t>项目名称：</w:t>
            </w:r>
            <w:r>
              <w:rPr>
                <w:rFonts w:hint="eastAsia"/>
                <w:color w:val="auto"/>
                <w:highlight w:val="none"/>
                <w:lang w:eastAsia="zh-CN"/>
              </w:rPr>
              <w:t>罗源县总医院中医分院病房改造及综合能力提升项目；</w:t>
            </w:r>
          </w:p>
          <w:p w14:paraId="4CC1434F">
            <w:pPr>
              <w:pStyle w:val="46"/>
              <w:ind w:firstLine="480"/>
              <w:rPr>
                <w:rFonts w:hint="default"/>
                <w:color w:val="auto"/>
                <w:highlight w:val="none"/>
                <w:lang w:val="en-US" w:eastAsia="zh-CN"/>
              </w:rPr>
            </w:pPr>
            <w:r>
              <w:rPr>
                <w:color w:val="auto"/>
                <w:highlight w:val="none"/>
              </w:rPr>
              <w:t>建设单位：</w:t>
            </w:r>
            <w:r>
              <w:rPr>
                <w:rFonts w:hint="eastAsia"/>
                <w:color w:val="auto"/>
                <w:highlight w:val="none"/>
                <w:lang w:eastAsia="zh-CN"/>
              </w:rPr>
              <w:t>福建省罗源县中医院；</w:t>
            </w:r>
          </w:p>
          <w:p w14:paraId="6C2DD4C2">
            <w:pPr>
              <w:pStyle w:val="46"/>
              <w:ind w:firstLine="480"/>
              <w:rPr>
                <w:rFonts w:hint="default"/>
                <w:color w:val="auto"/>
                <w:lang w:val="en-US" w:eastAsia="zh-CN"/>
              </w:rPr>
            </w:pPr>
            <w:r>
              <w:rPr>
                <w:color w:val="auto"/>
                <w:highlight w:val="none"/>
              </w:rPr>
              <w:t>建设地点：</w:t>
            </w:r>
            <w:r>
              <w:rPr>
                <w:rFonts w:hint="eastAsia"/>
                <w:color w:val="auto"/>
                <w:lang w:val="en-US" w:eastAsia="zh-CN"/>
              </w:rPr>
              <w:t>福建省福州市罗源县凤山镇东大新村3号（2#楼、负压病房大楼以及1#楼1-3层）；</w:t>
            </w:r>
          </w:p>
          <w:p w14:paraId="4FD53A0D">
            <w:pPr>
              <w:pStyle w:val="46"/>
              <w:ind w:firstLine="480"/>
              <w:rPr>
                <w:rFonts w:hint="default" w:eastAsia="宋体"/>
                <w:color w:val="auto"/>
                <w:highlight w:val="none"/>
                <w:lang w:val="en-US" w:eastAsia="zh-CN"/>
              </w:rPr>
            </w:pPr>
            <w:r>
              <w:rPr>
                <w:color w:val="auto"/>
                <w:highlight w:val="none"/>
              </w:rPr>
              <w:t>建设性质：</w:t>
            </w:r>
            <w:r>
              <w:rPr>
                <w:rFonts w:hint="eastAsia"/>
                <w:color w:val="auto"/>
                <w:highlight w:val="none"/>
                <w:lang w:val="en-US" w:eastAsia="zh-CN"/>
              </w:rPr>
              <w:t>迁建；</w:t>
            </w:r>
          </w:p>
          <w:p w14:paraId="427FDDB0">
            <w:pPr>
              <w:pStyle w:val="46"/>
              <w:shd w:val="clear"/>
              <w:ind w:firstLine="480"/>
              <w:rPr>
                <w:rFonts w:hint="eastAsia" w:ascii="Times New Roman" w:hAnsi="Times New Roman" w:eastAsia="宋体" w:cs="宋体"/>
                <w:color w:val="auto"/>
                <w:highlight w:val="none"/>
                <w:lang w:val="en-US" w:eastAsia="zh-CN"/>
              </w:rPr>
            </w:pPr>
            <w:r>
              <w:rPr>
                <w:color w:val="auto"/>
                <w:highlight w:val="none"/>
              </w:rPr>
              <w:t>项目投资：</w:t>
            </w:r>
            <w:r>
              <w:rPr>
                <w:rFonts w:hint="eastAsia" w:cs="宋体"/>
                <w:color w:val="auto"/>
                <w:highlight w:val="none"/>
                <w:lang w:val="en-US" w:eastAsia="zh-CN"/>
              </w:rPr>
              <w:t>4000万元</w:t>
            </w:r>
            <w:r>
              <w:rPr>
                <w:rFonts w:hint="eastAsia" w:cs="宋体"/>
                <w:color w:val="auto"/>
                <w:highlight w:val="none"/>
                <w:lang w:eastAsia="zh-CN"/>
              </w:rPr>
              <w:t>；</w:t>
            </w:r>
          </w:p>
          <w:p w14:paraId="7F8697D3">
            <w:pPr>
              <w:pStyle w:val="46"/>
              <w:shd w:val="clear"/>
              <w:ind w:firstLine="480"/>
              <w:rPr>
                <w:rFonts w:hint="eastAsia" w:ascii="Times New Roman" w:hAnsi="Times New Roman" w:eastAsia="宋体" w:cs="宋体"/>
                <w:color w:val="auto"/>
                <w:highlight w:val="none"/>
                <w:lang w:val="en-US" w:eastAsia="zh-CN"/>
              </w:rPr>
            </w:pPr>
            <w:r>
              <w:rPr>
                <w:rFonts w:hint="eastAsia" w:ascii="Times New Roman" w:hAnsi="Times New Roman" w:eastAsia="宋体" w:cs="宋体"/>
                <w:color w:val="auto"/>
                <w:highlight w:val="none"/>
              </w:rPr>
              <w:t>职工人数：</w:t>
            </w:r>
            <w:r>
              <w:rPr>
                <w:rFonts w:hint="eastAsia" w:cs="宋体"/>
                <w:color w:val="auto"/>
                <w:highlight w:val="none"/>
                <w:lang w:val="en-US" w:eastAsia="zh-CN"/>
              </w:rPr>
              <w:t>现有项目医务人员130人，本</w:t>
            </w:r>
            <w:r>
              <w:rPr>
                <w:rFonts w:hint="eastAsia" w:ascii="Times New Roman" w:hAnsi="Times New Roman" w:eastAsia="宋体" w:cs="宋体"/>
                <w:color w:val="auto"/>
                <w:highlight w:val="none"/>
              </w:rPr>
              <w:t>项目新增</w:t>
            </w:r>
            <w:r>
              <w:rPr>
                <w:rFonts w:hint="eastAsia" w:cs="宋体"/>
                <w:color w:val="auto"/>
                <w:highlight w:val="none"/>
                <w:lang w:val="en-US" w:eastAsia="zh-CN"/>
              </w:rPr>
              <w:t>医务人员6</w:t>
            </w:r>
            <w:r>
              <w:rPr>
                <w:rFonts w:hint="eastAsia" w:ascii="Times New Roman" w:hAnsi="Times New Roman" w:eastAsia="宋体" w:cs="宋体"/>
                <w:color w:val="auto"/>
                <w:highlight w:val="none"/>
              </w:rPr>
              <w:t>人，</w:t>
            </w:r>
            <w:r>
              <w:rPr>
                <w:rFonts w:hint="eastAsia" w:cs="宋体"/>
                <w:color w:val="auto"/>
                <w:highlight w:val="none"/>
                <w:lang w:val="en-US" w:eastAsia="zh-CN"/>
              </w:rPr>
              <w:t>迁建后</w:t>
            </w:r>
            <w:r>
              <w:rPr>
                <w:rFonts w:hint="eastAsia" w:ascii="Times New Roman" w:hAnsi="Times New Roman" w:eastAsia="宋体" w:cs="宋体"/>
                <w:color w:val="auto"/>
                <w:highlight w:val="none"/>
              </w:rPr>
              <w:t>全院</w:t>
            </w:r>
            <w:r>
              <w:rPr>
                <w:rFonts w:hint="eastAsia" w:cs="宋体"/>
                <w:color w:val="auto"/>
                <w:highlight w:val="none"/>
                <w:lang w:val="en-US" w:eastAsia="zh-CN"/>
              </w:rPr>
              <w:t>医务人员136</w:t>
            </w:r>
            <w:r>
              <w:rPr>
                <w:rFonts w:hint="eastAsia" w:ascii="Times New Roman" w:hAnsi="Times New Roman" w:eastAsia="宋体" w:cs="宋体"/>
                <w:color w:val="auto"/>
                <w:highlight w:val="none"/>
              </w:rPr>
              <w:t>人</w:t>
            </w:r>
            <w:r>
              <w:rPr>
                <w:rFonts w:hint="eastAsia" w:cs="宋体"/>
                <w:color w:val="auto"/>
                <w:highlight w:val="none"/>
                <w:lang w:eastAsia="zh-CN"/>
              </w:rPr>
              <w:t>。</w:t>
            </w:r>
          </w:p>
          <w:p w14:paraId="619E9E31">
            <w:pPr>
              <w:pStyle w:val="46"/>
              <w:shd w:val="clear"/>
              <w:ind w:firstLine="480"/>
              <w:rPr>
                <w:rFonts w:hint="default" w:ascii="Times New Roman" w:hAnsi="Times New Roman" w:eastAsia="宋体" w:cs="宋体"/>
                <w:color w:val="auto"/>
                <w:highlight w:val="none"/>
                <w:lang w:val="en-US"/>
              </w:rPr>
            </w:pPr>
            <w:r>
              <w:rPr>
                <w:rFonts w:hint="eastAsia" w:ascii="Times New Roman" w:hAnsi="Times New Roman" w:eastAsia="宋体" w:cs="宋体"/>
                <w:color w:val="auto"/>
                <w:highlight w:val="none"/>
              </w:rPr>
              <w:t>工作制度：全院工作制度不变，年运营365天，日工作24小时，采取轮班制度</w:t>
            </w:r>
            <w:r>
              <w:rPr>
                <w:rFonts w:hint="eastAsia" w:cs="宋体"/>
                <w:color w:val="auto"/>
                <w:highlight w:val="none"/>
                <w:lang w:val="en-US" w:eastAsia="zh-CN"/>
              </w:rPr>
              <w:t>；</w:t>
            </w:r>
          </w:p>
          <w:p w14:paraId="576EADD4">
            <w:pPr>
              <w:pStyle w:val="46"/>
              <w:shd w:val="clear"/>
              <w:ind w:firstLine="480"/>
              <w:rPr>
                <w:rFonts w:hint="default" w:ascii="Times New Roman" w:hAnsi="Times New Roman" w:eastAsia="宋体" w:cs="宋体"/>
                <w:color w:val="auto"/>
                <w:highlight w:val="none"/>
                <w:lang w:val="en-US"/>
              </w:rPr>
            </w:pPr>
            <w:r>
              <w:rPr>
                <w:rFonts w:hint="eastAsia" w:ascii="Times New Roman" w:hAnsi="Times New Roman" w:eastAsia="宋体" w:cs="宋体"/>
                <w:color w:val="auto"/>
                <w:highlight w:val="none"/>
              </w:rPr>
              <w:t>建设内容及规模：</w:t>
            </w:r>
            <w:r>
              <w:rPr>
                <w:rFonts w:hint="eastAsia"/>
                <w:color w:val="auto"/>
                <w:highlight w:val="none"/>
                <w:lang w:eastAsia="zh-CN"/>
              </w:rPr>
              <w:t>福建省罗源县中医院</w:t>
            </w:r>
            <w:r>
              <w:rPr>
                <w:rFonts w:hint="eastAsia"/>
                <w:color w:val="auto"/>
                <w:highlight w:val="none"/>
                <w:lang w:val="en-US" w:eastAsia="zh-CN"/>
              </w:rPr>
              <w:t>由罗源县凤山镇西大路13号搬迁至</w:t>
            </w:r>
            <w:r>
              <w:rPr>
                <w:rFonts w:hint="eastAsia"/>
                <w:color w:val="auto"/>
                <w:lang w:val="en-US" w:eastAsia="zh-CN"/>
              </w:rPr>
              <w:t>罗源县凤山镇东大新村3号，</w:t>
            </w:r>
            <w:r>
              <w:rPr>
                <w:rFonts w:hint="eastAsia" w:cs="Times New Roman"/>
                <w:color w:val="auto"/>
                <w:kern w:val="0"/>
                <w:sz w:val="24"/>
                <w:szCs w:val="20"/>
                <w:highlight w:val="none"/>
                <w:lang w:val="en-US" w:eastAsia="zh-CN" w:bidi="ar-SA"/>
              </w:rPr>
              <w:t>主要迁建中医院并将多人间病房改造为2-3人间病房，改造提升卫生间等，开展适老化、适儿化、无障碍环境建设，加装电梯、坡道、连廊等，改善供电、消防等基础设施系统、住院环境和配套设施提升，总建筑面积28300平方米，改造建筑面积13960平方米，设置床位270张。</w:t>
            </w:r>
            <w:r>
              <w:rPr>
                <w:rFonts w:hint="eastAsia" w:cs="宋体"/>
                <w:color w:val="auto"/>
                <w:highlight w:val="none"/>
                <w:lang w:val="en-US" w:eastAsia="zh-CN"/>
              </w:rPr>
              <w:t>迁建</w:t>
            </w:r>
            <w:r>
              <w:rPr>
                <w:rFonts w:hint="eastAsia" w:ascii="Times New Roman" w:hAnsi="Times New Roman" w:eastAsia="宋体" w:cs="宋体"/>
                <w:color w:val="auto"/>
                <w:highlight w:val="none"/>
                <w:lang w:val="en-US" w:eastAsia="zh-CN"/>
              </w:rPr>
              <w:t>后</w:t>
            </w:r>
            <w:r>
              <w:rPr>
                <w:rFonts w:hint="eastAsia" w:cs="宋体"/>
                <w:color w:val="auto"/>
                <w:highlight w:val="none"/>
                <w:lang w:val="en-US" w:eastAsia="zh-CN"/>
              </w:rPr>
              <w:t>预计平均</w:t>
            </w:r>
            <w:r>
              <w:rPr>
                <w:rFonts w:hint="eastAsia" w:ascii="Times New Roman" w:hAnsi="Times New Roman" w:eastAsia="宋体" w:cs="宋体"/>
                <w:color w:val="auto"/>
                <w:highlight w:val="none"/>
                <w:lang w:val="en-US" w:eastAsia="zh-CN"/>
              </w:rPr>
              <w:t>门诊量</w:t>
            </w:r>
            <w:r>
              <w:rPr>
                <w:rFonts w:hint="eastAsia" w:cs="宋体"/>
                <w:color w:val="auto"/>
                <w:highlight w:val="none"/>
                <w:lang w:val="en-US" w:eastAsia="zh-CN"/>
              </w:rPr>
              <w:t>500</w:t>
            </w:r>
            <w:r>
              <w:rPr>
                <w:rFonts w:hint="eastAsia" w:ascii="Times New Roman" w:hAnsi="Times New Roman" w:eastAsia="宋体" w:cs="宋体"/>
                <w:color w:val="auto"/>
                <w:highlight w:val="none"/>
                <w:lang w:val="en-US" w:eastAsia="zh-CN"/>
              </w:rPr>
              <w:t>人次/天</w:t>
            </w:r>
            <w:r>
              <w:rPr>
                <w:rFonts w:hint="eastAsia" w:cs="宋体"/>
                <w:color w:val="auto"/>
                <w:highlight w:val="none"/>
                <w:lang w:val="en-US" w:eastAsia="zh-CN"/>
              </w:rPr>
              <w:t>，全院最大门诊量预计为642人/d。</w:t>
            </w:r>
          </w:p>
          <w:p w14:paraId="263660CA">
            <w:pPr>
              <w:pStyle w:val="3"/>
              <w:bidi w:val="0"/>
              <w:ind w:left="0" w:leftChars="0" w:firstLine="0" w:firstLineChars="0"/>
              <w:rPr>
                <w:rFonts w:hint="eastAsia"/>
                <w:color w:val="auto"/>
                <w:highlight w:val="none"/>
              </w:rPr>
            </w:pPr>
            <w:r>
              <w:rPr>
                <w:rFonts w:hint="eastAsia"/>
                <w:color w:val="auto"/>
                <w:highlight w:val="none"/>
              </w:rPr>
              <w:t>项目建设内容</w:t>
            </w:r>
            <w:r>
              <w:rPr>
                <w:rFonts w:hint="eastAsia"/>
                <w:color w:val="auto"/>
                <w:highlight w:val="none"/>
              </w:rPr>
              <w:drawing>
                <wp:inline distT="0" distB="0" distL="114300" distR="114300">
                  <wp:extent cx="635" cy="0"/>
                  <wp:effectExtent l="0" t="0" r="0" b="0"/>
                  <wp:docPr id="16" name="图片 15" descr="C:/Users/Dell/AppData/Local/Temp/picturecompress_20220307141540/output_4.jpgoutput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C:/Users/Dell/AppData/Local/Temp/picturecompress_20220307141540/output_4.jpgoutput_4"/>
                          <pic:cNvPicPr>
                            <a:picLocks noChangeAspect="1"/>
                          </pic:cNvPicPr>
                        </pic:nvPicPr>
                        <pic:blipFill>
                          <a:blip r:embed="rId11"/>
                          <a:stretch>
                            <a:fillRect/>
                          </a:stretch>
                        </pic:blipFill>
                        <pic:spPr>
                          <a:xfrm>
                            <a:off x="0" y="0"/>
                            <a:ext cx="635" cy="0"/>
                          </a:xfrm>
                          <a:prstGeom prst="rect">
                            <a:avLst/>
                          </a:prstGeom>
                          <a:noFill/>
                          <a:ln>
                            <a:noFill/>
                          </a:ln>
                        </pic:spPr>
                      </pic:pic>
                    </a:graphicData>
                  </a:graphic>
                </wp:inline>
              </w:drawing>
            </w:r>
          </w:p>
          <w:p w14:paraId="1A5EEF44">
            <w:pPr>
              <w:pStyle w:val="4"/>
              <w:bidi w:val="0"/>
              <w:ind w:left="720" w:leftChars="0" w:hanging="720" w:firstLineChars="0"/>
              <w:rPr>
                <w:rFonts w:hint="eastAsia"/>
                <w:color w:val="auto"/>
                <w:highlight w:val="none"/>
              </w:rPr>
            </w:pPr>
            <w:r>
              <w:rPr>
                <w:rFonts w:hint="eastAsia"/>
                <w:color w:val="auto"/>
                <w:highlight w:val="none"/>
              </w:rPr>
              <w:t>主要建设内容</w:t>
            </w:r>
          </w:p>
          <w:p w14:paraId="32128DD3">
            <w:pPr>
              <w:pStyle w:val="46"/>
              <w:ind w:firstLine="480"/>
              <w:rPr>
                <w:color w:val="auto"/>
                <w:highlight w:val="none"/>
              </w:rPr>
            </w:pPr>
            <w:r>
              <w:rPr>
                <w:color w:val="auto"/>
                <w:highlight w:val="none"/>
              </w:rPr>
              <w:t>项目</w:t>
            </w:r>
            <w:r>
              <w:rPr>
                <w:rFonts w:hint="eastAsia"/>
                <w:color w:val="auto"/>
                <w:highlight w:val="none"/>
              </w:rPr>
              <w:t>工程</w:t>
            </w:r>
            <w:r>
              <w:rPr>
                <w:color w:val="auto"/>
                <w:highlight w:val="none"/>
              </w:rPr>
              <w:t>组成见</w:t>
            </w:r>
            <w:r>
              <w:rPr>
                <w:rFonts w:hint="eastAsia"/>
                <w:color w:val="auto"/>
                <w:highlight w:val="none"/>
              </w:rPr>
              <w:t>下表</w:t>
            </w:r>
            <w:r>
              <w:rPr>
                <w:rFonts w:hint="eastAsia"/>
                <w:color w:val="auto"/>
                <w:highlight w:val="none"/>
                <w:lang w:eastAsia="zh-CN"/>
              </w:rPr>
              <w:t>。</w:t>
            </w:r>
          </w:p>
          <w:p w14:paraId="3CD3DC5D">
            <w:pPr>
              <w:pStyle w:val="44"/>
              <w:keepNext/>
              <w:keepLines/>
              <w:pageBreakBefore w:val="0"/>
              <w:widowControl w:val="0"/>
              <w:shd w:val="clear"/>
              <w:kinsoku/>
              <w:wordWrap/>
              <w:overflowPunct/>
              <w:topLinePunct w:val="0"/>
              <w:autoSpaceDE/>
              <w:autoSpaceDN/>
              <w:bidi w:val="0"/>
              <w:adjustRightInd/>
              <w:snapToGrid/>
              <w:spacing w:before="0" w:after="0" w:line="240" w:lineRule="auto"/>
              <w:ind w:left="630" w:leftChars="0" w:firstLineChars="0"/>
              <w:textAlignment w:val="auto"/>
              <w:rPr>
                <w:color w:val="auto"/>
                <w:highlight w:val="none"/>
              </w:rPr>
            </w:pPr>
            <w:r>
              <w:rPr>
                <w:rFonts w:hint="eastAsia" w:ascii="Times New Roman" w:hAnsi="Times New Roman" w:eastAsia="宋体" w:cs="Times New Roman"/>
                <w:color w:val="auto"/>
                <w:lang w:val="en-US" w:eastAsia="zh-CN"/>
              </w:rPr>
              <w:t>工</w:t>
            </w:r>
            <w:r>
              <w:rPr>
                <w:rFonts w:hint="eastAsia" w:ascii="Times New Roman" w:hAnsi="Times New Roman" w:eastAsia="宋体" w:cs="宋体"/>
                <w:b/>
                <w:bCs/>
                <w:color w:val="auto"/>
                <w:kern w:val="0"/>
                <w:sz w:val="24"/>
                <w:szCs w:val="21"/>
                <w:highlight w:val="none"/>
                <w:lang w:val="en-US" w:eastAsia="zh-CN" w:bidi="ar-SA"/>
              </w:rPr>
              <w:t>程</w:t>
            </w:r>
            <w:r>
              <w:rPr>
                <w:rFonts w:hint="default" w:ascii="Times New Roman" w:hAnsi="Times New Roman" w:eastAsia="宋体" w:cs="宋体"/>
                <w:b/>
                <w:bCs/>
                <w:color w:val="auto"/>
                <w:kern w:val="0"/>
                <w:sz w:val="24"/>
                <w:szCs w:val="21"/>
                <w:highlight w:val="none"/>
                <w:lang w:val="en-US" w:eastAsia="zh-CN" w:bidi="ar-SA"/>
              </w:rPr>
              <w:t>主要建设内容情况一览表</w:t>
            </w:r>
          </w:p>
          <w:tbl>
            <w:tblPr>
              <w:tblStyle w:val="35"/>
              <w:tblW w:w="9990" w:type="dxa"/>
              <w:tblInd w:w="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436"/>
              <w:gridCol w:w="2109"/>
              <w:gridCol w:w="2950"/>
              <w:gridCol w:w="2177"/>
              <w:gridCol w:w="1318"/>
            </w:tblGrid>
            <w:tr w14:paraId="6CD5BAC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318" w:type="dxa"/>
              </w:trPr>
              <w:tc>
                <w:tcPr>
                  <w:tcW w:w="1436" w:type="dxa"/>
                  <w:tcBorders>
                    <w:bottom w:val="single" w:color="000000" w:sz="12" w:space="0"/>
                  </w:tcBorders>
                  <w:shd w:val="clear" w:color="auto" w:fill="auto"/>
                  <w:vAlign w:val="center"/>
                </w:tcPr>
                <w:p w14:paraId="7700EAB8">
                  <w:pPr>
                    <w:pStyle w:val="115"/>
                    <w:keepNext w:val="0"/>
                    <w:keepLines w:val="0"/>
                    <w:pageBreakBefore w:val="0"/>
                    <w:widowControl w:val="0"/>
                    <w:kinsoku/>
                    <w:wordWrap/>
                    <w:overflowPunct/>
                    <w:topLinePunct w:val="0"/>
                    <w:bidi w:val="0"/>
                    <w:adjustRightInd/>
                    <w:snapToGrid/>
                    <w:spacing w:line="240" w:lineRule="auto"/>
                    <w:ind w:left="0" w:right="0" w:firstLine="0" w:firstLineChars="0"/>
                    <w:jc w:val="center"/>
                    <w:textAlignment w:val="auto"/>
                    <w:rPr>
                      <w:rFonts w:ascii="Times New Roman" w:hAnsi="Times New Roman" w:eastAsia="宋体"/>
                      <w:color w:val="auto"/>
                      <w:sz w:val="21"/>
                      <w:szCs w:val="21"/>
                      <w:shd w:val="clear" w:color="auto" w:fill="auto"/>
                    </w:rPr>
                  </w:pPr>
                  <w:r>
                    <w:rPr>
                      <w:rFonts w:ascii="Times New Roman" w:hAnsi="Times New Roman" w:eastAsia="宋体"/>
                      <w:b/>
                      <w:bCs/>
                      <w:color w:val="auto"/>
                      <w:spacing w:val="2"/>
                      <w:sz w:val="21"/>
                      <w:szCs w:val="21"/>
                      <w:shd w:val="clear" w:color="auto" w:fill="auto"/>
                    </w:rPr>
                    <w:t>工程</w:t>
                  </w:r>
                </w:p>
                <w:p w14:paraId="581CBA6C">
                  <w:pPr>
                    <w:pStyle w:val="115"/>
                    <w:keepNext w:val="0"/>
                    <w:keepLines w:val="0"/>
                    <w:pageBreakBefore w:val="0"/>
                    <w:widowControl w:val="0"/>
                    <w:kinsoku/>
                    <w:wordWrap/>
                    <w:overflowPunct/>
                    <w:topLinePunct w:val="0"/>
                    <w:bidi w:val="0"/>
                    <w:adjustRightInd/>
                    <w:snapToGrid/>
                    <w:spacing w:line="240" w:lineRule="auto"/>
                    <w:ind w:left="0" w:leftChars="0" w:right="0" w:firstLine="0" w:firstLineChars="0"/>
                    <w:jc w:val="center"/>
                    <w:textAlignment w:val="auto"/>
                    <w:rPr>
                      <w:rFonts w:ascii="Times New Roman" w:hAnsi="Times New Roman" w:eastAsia="宋体" w:cs="宋体"/>
                      <w:color w:val="auto"/>
                      <w:kern w:val="2"/>
                      <w:sz w:val="21"/>
                      <w:szCs w:val="21"/>
                      <w:shd w:val="clear" w:color="auto" w:fill="auto"/>
                      <w:lang w:val="en-US" w:eastAsia="en-US" w:bidi="ar-SA"/>
                    </w:rPr>
                  </w:pPr>
                  <w:r>
                    <w:rPr>
                      <w:rFonts w:ascii="Times New Roman" w:hAnsi="Times New Roman" w:eastAsia="宋体"/>
                      <w:b/>
                      <w:bCs/>
                      <w:color w:val="auto"/>
                      <w:spacing w:val="3"/>
                      <w:sz w:val="21"/>
                      <w:szCs w:val="21"/>
                      <w:shd w:val="clear" w:color="auto" w:fill="auto"/>
                    </w:rPr>
                    <w:t>类别</w:t>
                  </w:r>
                </w:p>
              </w:tc>
              <w:tc>
                <w:tcPr>
                  <w:tcW w:w="2109" w:type="dxa"/>
                  <w:tcBorders>
                    <w:bottom w:val="single" w:color="000000" w:sz="12" w:space="0"/>
                  </w:tcBorders>
                  <w:shd w:val="clear" w:color="auto" w:fill="auto"/>
                  <w:vAlign w:val="center"/>
                </w:tcPr>
                <w:p w14:paraId="1286EB2E">
                  <w:pPr>
                    <w:pStyle w:val="115"/>
                    <w:keepNext w:val="0"/>
                    <w:keepLines w:val="0"/>
                    <w:pageBreakBefore w:val="0"/>
                    <w:widowControl w:val="0"/>
                    <w:kinsoku/>
                    <w:wordWrap/>
                    <w:overflowPunct/>
                    <w:topLinePunct w:val="0"/>
                    <w:bidi w:val="0"/>
                    <w:adjustRightInd/>
                    <w:snapToGrid/>
                    <w:spacing w:line="240" w:lineRule="auto"/>
                    <w:ind w:left="0" w:leftChars="0" w:right="0" w:firstLine="0" w:firstLineChars="0"/>
                    <w:jc w:val="center"/>
                    <w:textAlignment w:val="auto"/>
                    <w:rPr>
                      <w:rFonts w:ascii="Times New Roman" w:hAnsi="Times New Roman" w:eastAsia="宋体" w:cs="宋体"/>
                      <w:color w:val="auto"/>
                      <w:kern w:val="2"/>
                      <w:sz w:val="21"/>
                      <w:szCs w:val="21"/>
                      <w:shd w:val="clear" w:color="auto" w:fill="auto"/>
                      <w:lang w:val="en-US" w:eastAsia="en-US" w:bidi="ar-SA"/>
                    </w:rPr>
                  </w:pPr>
                  <w:r>
                    <w:rPr>
                      <w:rFonts w:ascii="Times New Roman" w:hAnsi="Times New Roman" w:eastAsia="宋体"/>
                      <w:b/>
                      <w:bCs/>
                      <w:color w:val="auto"/>
                      <w:spacing w:val="5"/>
                      <w:sz w:val="21"/>
                      <w:szCs w:val="21"/>
                      <w:shd w:val="clear" w:color="auto" w:fill="auto"/>
                    </w:rPr>
                    <w:t>工程名称</w:t>
                  </w:r>
                </w:p>
              </w:tc>
              <w:tc>
                <w:tcPr>
                  <w:tcW w:w="2950" w:type="dxa"/>
                  <w:tcBorders>
                    <w:bottom w:val="single" w:color="000000" w:sz="12" w:space="0"/>
                  </w:tcBorders>
                  <w:shd w:val="clear" w:color="auto" w:fill="auto"/>
                  <w:vAlign w:val="center"/>
                </w:tcPr>
                <w:p w14:paraId="3506ECC4">
                  <w:pPr>
                    <w:pStyle w:val="115"/>
                    <w:keepNext w:val="0"/>
                    <w:keepLines w:val="0"/>
                    <w:pageBreakBefore w:val="0"/>
                    <w:widowControl w:val="0"/>
                    <w:kinsoku/>
                    <w:wordWrap/>
                    <w:overflowPunct/>
                    <w:topLinePunct w:val="0"/>
                    <w:bidi w:val="0"/>
                    <w:adjustRightInd/>
                    <w:snapToGrid/>
                    <w:spacing w:line="240" w:lineRule="auto"/>
                    <w:ind w:left="0" w:leftChars="0" w:right="0" w:firstLine="0" w:firstLineChars="0"/>
                    <w:jc w:val="center"/>
                    <w:textAlignment w:val="auto"/>
                    <w:rPr>
                      <w:rFonts w:ascii="Times New Roman" w:hAnsi="Times New Roman" w:eastAsia="宋体" w:cs="宋体"/>
                      <w:color w:val="auto"/>
                      <w:kern w:val="2"/>
                      <w:sz w:val="21"/>
                      <w:szCs w:val="21"/>
                      <w:shd w:val="clear" w:color="auto" w:fill="auto"/>
                      <w:lang w:val="en-US" w:eastAsia="en-US" w:bidi="ar-SA"/>
                    </w:rPr>
                  </w:pPr>
                  <w:r>
                    <w:rPr>
                      <w:rFonts w:ascii="Times New Roman" w:hAnsi="Times New Roman" w:eastAsia="宋体"/>
                      <w:b/>
                      <w:bCs/>
                      <w:color w:val="auto"/>
                      <w:spacing w:val="6"/>
                      <w:sz w:val="21"/>
                      <w:szCs w:val="21"/>
                      <w:shd w:val="clear" w:color="auto" w:fill="auto"/>
                    </w:rPr>
                    <w:t>工程规模和内容</w:t>
                  </w:r>
                </w:p>
              </w:tc>
              <w:tc>
                <w:tcPr>
                  <w:tcW w:w="2177" w:type="dxa"/>
                  <w:tcBorders>
                    <w:bottom w:val="single" w:color="000000" w:sz="12" w:space="0"/>
                  </w:tcBorders>
                  <w:shd w:val="clear" w:color="auto" w:fill="auto"/>
                  <w:vAlign w:val="center"/>
                </w:tcPr>
                <w:p w14:paraId="62F0B9D9">
                  <w:pPr>
                    <w:pStyle w:val="115"/>
                    <w:keepNext w:val="0"/>
                    <w:keepLines w:val="0"/>
                    <w:pageBreakBefore w:val="0"/>
                    <w:widowControl w:val="0"/>
                    <w:kinsoku/>
                    <w:wordWrap/>
                    <w:overflowPunct/>
                    <w:topLinePunct w:val="0"/>
                    <w:bidi w:val="0"/>
                    <w:adjustRightInd/>
                    <w:snapToGrid/>
                    <w:spacing w:line="240" w:lineRule="auto"/>
                    <w:ind w:left="0" w:leftChars="0" w:right="0" w:firstLine="0" w:firstLineChars="0"/>
                    <w:jc w:val="center"/>
                    <w:textAlignment w:val="auto"/>
                    <w:rPr>
                      <w:rFonts w:ascii="Times New Roman" w:hAnsi="Times New Roman" w:eastAsia="宋体" w:cs="宋体"/>
                      <w:color w:val="auto"/>
                      <w:kern w:val="2"/>
                      <w:sz w:val="21"/>
                      <w:szCs w:val="21"/>
                      <w:shd w:val="clear" w:color="auto" w:fill="auto"/>
                      <w:lang w:val="en-US" w:eastAsia="en-US" w:bidi="ar-SA"/>
                    </w:rPr>
                  </w:pPr>
                  <w:r>
                    <w:rPr>
                      <w:rFonts w:ascii="Times New Roman" w:hAnsi="Times New Roman" w:eastAsia="宋体"/>
                      <w:b/>
                      <w:bCs/>
                      <w:color w:val="auto"/>
                      <w:spacing w:val="2"/>
                      <w:sz w:val="21"/>
                      <w:szCs w:val="21"/>
                      <w:shd w:val="clear" w:color="auto" w:fill="auto"/>
                    </w:rPr>
                    <w:t>备注</w:t>
                  </w:r>
                </w:p>
              </w:tc>
            </w:tr>
            <w:tr w14:paraId="7FC9FB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318" w:type="dxa"/>
                <w:trHeight w:val="51" w:hRule="atLeast"/>
              </w:trPr>
              <w:tc>
                <w:tcPr>
                  <w:tcW w:w="1436" w:type="dxa"/>
                  <w:vMerge w:val="restart"/>
                  <w:tcBorders>
                    <w:tl2br w:val="nil"/>
                    <w:tr2bl w:val="nil"/>
                  </w:tcBorders>
                  <w:shd w:val="clear" w:color="auto" w:fill="auto"/>
                  <w:vAlign w:val="center"/>
                </w:tcPr>
                <w:p w14:paraId="6FE5A203">
                  <w:pPr>
                    <w:pStyle w:val="115"/>
                    <w:keepNext w:val="0"/>
                    <w:keepLines w:val="0"/>
                    <w:pageBreakBefore w:val="0"/>
                    <w:widowControl w:val="0"/>
                    <w:kinsoku/>
                    <w:wordWrap/>
                    <w:overflowPunct/>
                    <w:topLinePunct w:val="0"/>
                    <w:bidi w:val="0"/>
                    <w:adjustRightInd/>
                    <w:snapToGrid/>
                    <w:spacing w:line="240" w:lineRule="auto"/>
                    <w:ind w:left="0" w:leftChars="0" w:right="0" w:firstLine="0" w:firstLineChars="0"/>
                    <w:jc w:val="center"/>
                    <w:textAlignment w:val="auto"/>
                    <w:rPr>
                      <w:rFonts w:hint="eastAsia" w:ascii="Times New Roman" w:hAnsi="Times New Roman" w:eastAsia="宋体"/>
                      <w:color w:val="auto"/>
                      <w:spacing w:val="3"/>
                      <w:sz w:val="21"/>
                      <w:szCs w:val="21"/>
                      <w:shd w:val="clear" w:color="auto" w:fill="auto"/>
                      <w:lang w:val="en-US" w:eastAsia="zh-CN"/>
                    </w:rPr>
                  </w:pPr>
                  <w:r>
                    <w:rPr>
                      <w:rFonts w:hint="eastAsia" w:ascii="Times New Roman" w:hAnsi="Times New Roman" w:eastAsia="宋体"/>
                      <w:color w:val="auto"/>
                      <w:spacing w:val="3"/>
                      <w:sz w:val="21"/>
                      <w:szCs w:val="21"/>
                      <w:shd w:val="clear" w:color="auto" w:fill="auto"/>
                      <w:lang w:val="en-US" w:eastAsia="zh-CN"/>
                    </w:rPr>
                    <w:t>主体工程</w:t>
                  </w:r>
                </w:p>
              </w:tc>
              <w:tc>
                <w:tcPr>
                  <w:tcW w:w="2109" w:type="dxa"/>
                  <w:vMerge w:val="restart"/>
                  <w:tcBorders>
                    <w:tl2br w:val="nil"/>
                    <w:tr2bl w:val="nil"/>
                  </w:tcBorders>
                  <w:shd w:val="clear" w:color="auto" w:fill="auto"/>
                  <w:vAlign w:val="center"/>
                </w:tcPr>
                <w:p w14:paraId="0FFBFEE7">
                  <w:pPr>
                    <w:pStyle w:val="115"/>
                    <w:keepNext w:val="0"/>
                    <w:keepLines w:val="0"/>
                    <w:pageBreakBefore w:val="0"/>
                    <w:widowControl w:val="0"/>
                    <w:kinsoku/>
                    <w:wordWrap/>
                    <w:overflowPunct/>
                    <w:topLinePunct w:val="0"/>
                    <w:bidi w:val="0"/>
                    <w:adjustRightInd/>
                    <w:snapToGrid/>
                    <w:spacing w:line="240" w:lineRule="auto"/>
                    <w:ind w:left="0" w:leftChars="0" w:right="0" w:firstLine="0" w:firstLineChars="0"/>
                    <w:jc w:val="center"/>
                    <w:textAlignment w:val="auto"/>
                    <w:rPr>
                      <w:rFonts w:hint="eastAsia" w:ascii="Times New Roman" w:hAnsi="Times New Roman" w:eastAsia="宋体"/>
                      <w:color w:val="auto"/>
                      <w:spacing w:val="6"/>
                      <w:sz w:val="21"/>
                      <w:szCs w:val="21"/>
                      <w:shd w:val="clear" w:color="auto" w:fill="auto"/>
                      <w:lang w:val="en-US" w:eastAsia="zh-CN"/>
                    </w:rPr>
                  </w:pPr>
                  <w:r>
                    <w:rPr>
                      <w:rFonts w:hint="default" w:ascii="Times New Roman" w:hAnsi="Times New Roman" w:eastAsia="宋体" w:cs="宋体"/>
                      <w:color w:val="auto"/>
                      <w:kern w:val="2"/>
                      <w:sz w:val="21"/>
                      <w:szCs w:val="21"/>
                      <w:shd w:val="clear" w:color="auto" w:fill="auto"/>
                      <w:lang w:val="en-US" w:eastAsia="zh-CN" w:bidi="ar-SA"/>
                    </w:rPr>
                    <w:t>1#楼1-3层</w:t>
                  </w:r>
                </w:p>
              </w:tc>
              <w:tc>
                <w:tcPr>
                  <w:tcW w:w="2950" w:type="dxa"/>
                  <w:tcBorders>
                    <w:tl2br w:val="nil"/>
                    <w:tr2bl w:val="nil"/>
                  </w:tcBorders>
                  <w:shd w:val="clear" w:color="auto" w:fill="auto"/>
                  <w:vAlign w:val="center"/>
                </w:tcPr>
                <w:p w14:paraId="15737D1A">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Times New Roman" w:hAnsi="Times New Roman" w:eastAsia="宋体"/>
                      <w:color w:val="auto"/>
                      <w:spacing w:val="15"/>
                      <w:sz w:val="21"/>
                      <w:szCs w:val="21"/>
                      <w:highlight w:val="yellow"/>
                      <w:shd w:val="clear" w:color="auto" w:fill="auto"/>
                      <w:lang w:val="en-US"/>
                    </w:rPr>
                  </w:pPr>
                  <w:r>
                    <w:rPr>
                      <w:rFonts w:hint="eastAsia" w:ascii="Times New Roman" w:hAnsi="Times New Roman" w:eastAsia="宋体"/>
                      <w:color w:val="auto"/>
                      <w:spacing w:val="15"/>
                      <w:sz w:val="21"/>
                      <w:szCs w:val="21"/>
                      <w:highlight w:val="none"/>
                      <w:shd w:val="clear" w:color="auto" w:fill="auto"/>
                      <w:lang w:val="en-US" w:eastAsia="zh-CN"/>
                    </w:rPr>
                    <w:t>1F设</w:t>
                  </w:r>
                  <w:r>
                    <w:rPr>
                      <w:rFonts w:hint="eastAsia" w:ascii="Times New Roman" w:hAnsi="Times New Roman"/>
                      <w:color w:val="auto"/>
                      <w:spacing w:val="15"/>
                      <w:sz w:val="21"/>
                      <w:szCs w:val="21"/>
                      <w:highlight w:val="none"/>
                      <w:shd w:val="clear" w:color="auto" w:fill="auto"/>
                      <w:lang w:val="en-US" w:eastAsia="zh-CN"/>
                    </w:rPr>
                    <w:t>挂号室、药房、抢救室等；</w:t>
                  </w:r>
                </w:p>
              </w:tc>
              <w:tc>
                <w:tcPr>
                  <w:tcW w:w="2177" w:type="dxa"/>
                  <w:tcBorders>
                    <w:tl2br w:val="nil"/>
                    <w:tr2bl w:val="nil"/>
                  </w:tcBorders>
                  <w:shd w:val="clear" w:color="auto" w:fill="auto"/>
                  <w:vAlign w:val="center"/>
                </w:tcPr>
                <w:p w14:paraId="3B6B7398">
                  <w:pPr>
                    <w:pStyle w:val="115"/>
                    <w:keepNext w:val="0"/>
                    <w:keepLines w:val="0"/>
                    <w:pageBreakBefore w:val="0"/>
                    <w:widowControl w:val="0"/>
                    <w:kinsoku/>
                    <w:wordWrap/>
                    <w:overflowPunct/>
                    <w:topLinePunct w:val="0"/>
                    <w:bidi w:val="0"/>
                    <w:adjustRightInd/>
                    <w:snapToGrid/>
                    <w:spacing w:line="240" w:lineRule="auto"/>
                    <w:ind w:left="0" w:leftChars="0" w:right="0" w:firstLine="0" w:firstLineChars="0"/>
                    <w:jc w:val="center"/>
                    <w:textAlignment w:val="auto"/>
                    <w:rPr>
                      <w:rFonts w:hint="default" w:ascii="Times New Roman" w:hAnsi="Times New Roman" w:eastAsia="宋体"/>
                      <w:color w:val="auto"/>
                      <w:spacing w:val="4"/>
                      <w:sz w:val="21"/>
                      <w:szCs w:val="21"/>
                      <w:shd w:val="clear" w:color="auto" w:fill="auto"/>
                      <w:vertAlign w:val="baseline"/>
                      <w:lang w:val="en-US" w:eastAsia="zh-CN"/>
                    </w:rPr>
                  </w:pPr>
                  <w:r>
                    <w:rPr>
                      <w:rFonts w:hint="eastAsia" w:ascii="Times New Roman" w:hAnsi="Times New Roman" w:eastAsia="宋体"/>
                      <w:color w:val="auto"/>
                      <w:spacing w:val="4"/>
                      <w:sz w:val="21"/>
                      <w:szCs w:val="21"/>
                      <w:shd w:val="clear" w:color="auto" w:fill="auto"/>
                      <w:lang w:val="en-US" w:eastAsia="zh-CN"/>
                    </w:rPr>
                    <w:t>建筑面积</w:t>
                  </w:r>
                  <w:r>
                    <w:rPr>
                      <w:rFonts w:hint="eastAsia" w:ascii="Times New Roman" w:hAnsi="Times New Roman"/>
                      <w:color w:val="auto"/>
                      <w:spacing w:val="4"/>
                      <w:sz w:val="21"/>
                      <w:szCs w:val="21"/>
                      <w:shd w:val="clear" w:color="auto" w:fill="auto"/>
                      <w:lang w:val="en-US" w:eastAsia="zh-CN"/>
                    </w:rPr>
                    <w:t>约</w:t>
                  </w:r>
                  <w:r>
                    <w:rPr>
                      <w:rFonts w:hint="eastAsia" w:ascii="Times New Roman" w:hAnsi="Times New Roman" w:eastAsia="宋体"/>
                      <w:color w:val="auto"/>
                      <w:spacing w:val="4"/>
                      <w:sz w:val="21"/>
                      <w:szCs w:val="21"/>
                      <w:shd w:val="clear" w:color="auto" w:fill="auto"/>
                      <w:lang w:val="en-US" w:eastAsia="zh-CN"/>
                    </w:rPr>
                    <w:t>为</w:t>
                  </w:r>
                  <w:r>
                    <w:rPr>
                      <w:rFonts w:hint="eastAsia" w:ascii="Times New Roman" w:hAnsi="Times New Roman"/>
                      <w:color w:val="auto"/>
                      <w:spacing w:val="4"/>
                      <w:sz w:val="21"/>
                      <w:szCs w:val="21"/>
                      <w:shd w:val="clear" w:color="auto" w:fill="auto"/>
                      <w:lang w:val="en-US" w:eastAsia="zh-CN"/>
                    </w:rPr>
                    <w:t>1850</w:t>
                  </w:r>
                  <w:r>
                    <w:rPr>
                      <w:rFonts w:hint="eastAsia" w:ascii="Times New Roman" w:hAnsi="Times New Roman" w:eastAsia="宋体"/>
                      <w:color w:val="auto"/>
                      <w:spacing w:val="4"/>
                      <w:sz w:val="21"/>
                      <w:szCs w:val="21"/>
                      <w:shd w:val="clear" w:color="auto" w:fill="auto"/>
                      <w:lang w:val="en-US" w:eastAsia="zh-CN"/>
                    </w:rPr>
                    <w:t>m</w:t>
                  </w:r>
                  <w:r>
                    <w:rPr>
                      <w:rFonts w:hint="eastAsia" w:ascii="Times New Roman" w:hAnsi="Times New Roman" w:eastAsia="宋体"/>
                      <w:color w:val="auto"/>
                      <w:spacing w:val="4"/>
                      <w:sz w:val="21"/>
                      <w:szCs w:val="21"/>
                      <w:shd w:val="clear" w:color="auto" w:fill="auto"/>
                      <w:vertAlign w:val="superscript"/>
                      <w:lang w:val="en-US" w:eastAsia="zh-CN"/>
                    </w:rPr>
                    <w:t>2</w:t>
                  </w:r>
                  <w:r>
                    <w:rPr>
                      <w:rFonts w:hint="eastAsia" w:ascii="Times New Roman" w:hAnsi="Times New Roman" w:eastAsia="宋体"/>
                      <w:color w:val="auto"/>
                      <w:spacing w:val="4"/>
                      <w:sz w:val="21"/>
                      <w:szCs w:val="21"/>
                      <w:shd w:val="clear" w:color="auto" w:fill="auto"/>
                      <w:vertAlign w:val="baseline"/>
                      <w:lang w:val="en-US" w:eastAsia="zh-CN"/>
                    </w:rPr>
                    <w:t>，</w:t>
                  </w:r>
                  <w:r>
                    <w:rPr>
                      <w:rFonts w:hint="eastAsia" w:ascii="Times New Roman" w:hAnsi="Times New Roman"/>
                      <w:color w:val="auto"/>
                      <w:spacing w:val="6"/>
                      <w:sz w:val="21"/>
                      <w:szCs w:val="21"/>
                      <w:shd w:val="clear" w:color="auto" w:fill="auto"/>
                      <w:lang w:val="en-US" w:eastAsia="zh-CN"/>
                    </w:rPr>
                    <w:t>构筑物</w:t>
                  </w:r>
                  <w:r>
                    <w:rPr>
                      <w:rFonts w:hint="eastAsia" w:ascii="Times New Roman" w:hAnsi="Times New Roman"/>
                      <w:color w:val="auto"/>
                      <w:spacing w:val="3"/>
                      <w:sz w:val="21"/>
                      <w:szCs w:val="21"/>
                      <w:shd w:val="clear" w:color="auto" w:fill="auto"/>
                      <w:lang w:val="en-US" w:eastAsia="zh-CN"/>
                    </w:rPr>
                    <w:t>利用现有</w:t>
                  </w:r>
                </w:p>
              </w:tc>
            </w:tr>
            <w:tr w14:paraId="584522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318" w:type="dxa"/>
                <w:trHeight w:val="51" w:hRule="atLeast"/>
              </w:trPr>
              <w:tc>
                <w:tcPr>
                  <w:tcW w:w="1436" w:type="dxa"/>
                  <w:vMerge w:val="continue"/>
                  <w:tcBorders>
                    <w:tl2br w:val="nil"/>
                    <w:tr2bl w:val="nil"/>
                  </w:tcBorders>
                  <w:shd w:val="clear" w:color="auto" w:fill="auto"/>
                  <w:vAlign w:val="center"/>
                </w:tcPr>
                <w:p w14:paraId="709F14FA">
                  <w:pPr>
                    <w:pStyle w:val="115"/>
                    <w:keepNext w:val="0"/>
                    <w:keepLines w:val="0"/>
                    <w:pageBreakBefore w:val="0"/>
                    <w:widowControl w:val="0"/>
                    <w:kinsoku/>
                    <w:wordWrap/>
                    <w:overflowPunct/>
                    <w:topLinePunct w:val="0"/>
                    <w:bidi w:val="0"/>
                    <w:adjustRightInd/>
                    <w:snapToGrid/>
                    <w:spacing w:line="240" w:lineRule="auto"/>
                    <w:ind w:left="0" w:leftChars="0" w:right="0" w:firstLine="0" w:firstLineChars="0"/>
                    <w:jc w:val="center"/>
                    <w:textAlignment w:val="auto"/>
                    <w:rPr>
                      <w:rFonts w:ascii="Times New Roman" w:hAnsi="Times New Roman" w:eastAsia="宋体"/>
                      <w:color w:val="auto"/>
                      <w:spacing w:val="3"/>
                      <w:sz w:val="21"/>
                      <w:szCs w:val="21"/>
                      <w:shd w:val="clear" w:color="auto" w:fill="auto"/>
                    </w:rPr>
                  </w:pPr>
                </w:p>
              </w:tc>
              <w:tc>
                <w:tcPr>
                  <w:tcW w:w="2109" w:type="dxa"/>
                  <w:vMerge w:val="continue"/>
                  <w:tcBorders>
                    <w:tl2br w:val="nil"/>
                    <w:tr2bl w:val="nil"/>
                  </w:tcBorders>
                  <w:shd w:val="clear" w:color="auto" w:fill="auto"/>
                  <w:vAlign w:val="center"/>
                </w:tcPr>
                <w:p w14:paraId="1D9A4FA8">
                  <w:pPr>
                    <w:pStyle w:val="115"/>
                    <w:keepNext w:val="0"/>
                    <w:keepLines w:val="0"/>
                    <w:pageBreakBefore w:val="0"/>
                    <w:widowControl w:val="0"/>
                    <w:kinsoku/>
                    <w:wordWrap/>
                    <w:overflowPunct/>
                    <w:topLinePunct w:val="0"/>
                    <w:bidi w:val="0"/>
                    <w:adjustRightInd/>
                    <w:snapToGrid/>
                    <w:spacing w:line="240" w:lineRule="auto"/>
                    <w:ind w:left="0" w:leftChars="0" w:right="0" w:firstLine="0" w:firstLineChars="0"/>
                    <w:jc w:val="center"/>
                    <w:textAlignment w:val="auto"/>
                    <w:rPr>
                      <w:rFonts w:hint="eastAsia" w:ascii="Times New Roman" w:hAnsi="Times New Roman" w:eastAsia="宋体"/>
                      <w:color w:val="auto"/>
                      <w:spacing w:val="6"/>
                      <w:sz w:val="21"/>
                      <w:szCs w:val="21"/>
                      <w:shd w:val="clear" w:color="auto" w:fill="auto"/>
                      <w:lang w:val="en-US" w:eastAsia="zh-CN"/>
                    </w:rPr>
                  </w:pPr>
                </w:p>
              </w:tc>
              <w:tc>
                <w:tcPr>
                  <w:tcW w:w="2950" w:type="dxa"/>
                  <w:tcBorders>
                    <w:tl2br w:val="nil"/>
                    <w:tr2bl w:val="nil"/>
                  </w:tcBorders>
                  <w:shd w:val="clear" w:color="auto" w:fill="auto"/>
                  <w:vAlign w:val="center"/>
                </w:tcPr>
                <w:p w14:paraId="4281E9CC">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Times New Roman" w:hAnsi="Times New Roman" w:eastAsia="宋体"/>
                      <w:color w:val="auto"/>
                      <w:spacing w:val="15"/>
                      <w:sz w:val="21"/>
                      <w:szCs w:val="21"/>
                      <w:highlight w:val="yellow"/>
                      <w:shd w:val="clear" w:color="auto" w:fill="auto"/>
                      <w:lang w:val="en-US" w:eastAsia="zh-CN"/>
                    </w:rPr>
                  </w:pPr>
                  <w:r>
                    <w:rPr>
                      <w:rFonts w:hint="eastAsia" w:ascii="Times New Roman" w:hAnsi="Times New Roman"/>
                      <w:color w:val="auto"/>
                      <w:spacing w:val="15"/>
                      <w:sz w:val="21"/>
                      <w:szCs w:val="21"/>
                      <w:highlight w:val="none"/>
                      <w:shd w:val="clear" w:color="auto" w:fill="auto"/>
                      <w:lang w:val="en-US" w:eastAsia="zh-CN"/>
                    </w:rPr>
                    <w:t>2</w:t>
                  </w:r>
                  <w:r>
                    <w:rPr>
                      <w:rFonts w:hint="eastAsia" w:ascii="Times New Roman" w:hAnsi="Times New Roman" w:eastAsia="宋体"/>
                      <w:color w:val="auto"/>
                      <w:spacing w:val="15"/>
                      <w:sz w:val="21"/>
                      <w:szCs w:val="21"/>
                      <w:highlight w:val="none"/>
                      <w:shd w:val="clear" w:color="auto" w:fill="auto"/>
                      <w:lang w:val="en-US" w:eastAsia="zh-CN"/>
                    </w:rPr>
                    <w:t>F设</w:t>
                  </w:r>
                  <w:r>
                    <w:rPr>
                      <w:rFonts w:hint="eastAsia" w:ascii="Times New Roman" w:hAnsi="Times New Roman"/>
                      <w:color w:val="auto"/>
                      <w:spacing w:val="15"/>
                      <w:sz w:val="21"/>
                      <w:szCs w:val="21"/>
                      <w:highlight w:val="none"/>
                      <w:shd w:val="clear" w:color="auto" w:fill="auto"/>
                      <w:lang w:val="en-US" w:eastAsia="zh-CN"/>
                    </w:rPr>
                    <w:t>中医科、西医内科、儿科、外科、骨科、妇科、口腔科等；</w:t>
                  </w:r>
                </w:p>
              </w:tc>
              <w:tc>
                <w:tcPr>
                  <w:tcW w:w="2177" w:type="dxa"/>
                  <w:tcBorders>
                    <w:tl2br w:val="nil"/>
                    <w:tr2bl w:val="nil"/>
                  </w:tcBorders>
                  <w:shd w:val="clear" w:color="auto" w:fill="auto"/>
                  <w:vAlign w:val="center"/>
                </w:tcPr>
                <w:p w14:paraId="0BC6B9B6">
                  <w:pPr>
                    <w:pStyle w:val="115"/>
                    <w:keepNext w:val="0"/>
                    <w:keepLines w:val="0"/>
                    <w:pageBreakBefore w:val="0"/>
                    <w:widowControl w:val="0"/>
                    <w:kinsoku/>
                    <w:wordWrap/>
                    <w:overflowPunct/>
                    <w:topLinePunct w:val="0"/>
                    <w:bidi w:val="0"/>
                    <w:adjustRightInd/>
                    <w:snapToGrid/>
                    <w:spacing w:line="240" w:lineRule="auto"/>
                    <w:ind w:left="0" w:leftChars="0" w:right="0" w:firstLine="0" w:firstLineChars="0"/>
                    <w:jc w:val="center"/>
                    <w:textAlignment w:val="auto"/>
                    <w:rPr>
                      <w:rFonts w:ascii="Times New Roman" w:hAnsi="Times New Roman" w:eastAsia="宋体"/>
                      <w:color w:val="auto"/>
                      <w:spacing w:val="4"/>
                      <w:sz w:val="21"/>
                      <w:szCs w:val="21"/>
                      <w:shd w:val="clear" w:color="auto" w:fill="auto"/>
                    </w:rPr>
                  </w:pPr>
                  <w:r>
                    <w:rPr>
                      <w:rFonts w:hint="eastAsia" w:ascii="Times New Roman" w:hAnsi="Times New Roman" w:eastAsia="宋体"/>
                      <w:color w:val="auto"/>
                      <w:spacing w:val="4"/>
                      <w:sz w:val="21"/>
                      <w:szCs w:val="21"/>
                      <w:shd w:val="clear" w:color="auto" w:fill="auto"/>
                      <w:lang w:val="en-US" w:eastAsia="zh-CN"/>
                    </w:rPr>
                    <w:t>建筑面积</w:t>
                  </w:r>
                  <w:r>
                    <w:rPr>
                      <w:rFonts w:hint="eastAsia" w:ascii="Times New Roman" w:hAnsi="Times New Roman"/>
                      <w:color w:val="auto"/>
                      <w:spacing w:val="4"/>
                      <w:sz w:val="21"/>
                      <w:szCs w:val="21"/>
                      <w:shd w:val="clear" w:color="auto" w:fill="auto"/>
                      <w:lang w:val="en-US" w:eastAsia="zh-CN"/>
                    </w:rPr>
                    <w:t>约</w:t>
                  </w:r>
                  <w:r>
                    <w:rPr>
                      <w:rFonts w:hint="eastAsia" w:ascii="Times New Roman" w:hAnsi="Times New Roman" w:eastAsia="宋体"/>
                      <w:color w:val="auto"/>
                      <w:spacing w:val="4"/>
                      <w:sz w:val="21"/>
                      <w:szCs w:val="21"/>
                      <w:shd w:val="clear" w:color="auto" w:fill="auto"/>
                      <w:lang w:val="en-US" w:eastAsia="zh-CN"/>
                    </w:rPr>
                    <w:t>为</w:t>
                  </w:r>
                  <w:r>
                    <w:rPr>
                      <w:rFonts w:hint="eastAsia" w:ascii="Times New Roman" w:hAnsi="Times New Roman"/>
                      <w:color w:val="auto"/>
                      <w:spacing w:val="4"/>
                      <w:sz w:val="21"/>
                      <w:szCs w:val="21"/>
                      <w:shd w:val="clear" w:color="auto" w:fill="auto"/>
                      <w:lang w:val="en-US" w:eastAsia="zh-CN"/>
                    </w:rPr>
                    <w:t>1400</w:t>
                  </w:r>
                  <w:r>
                    <w:rPr>
                      <w:rFonts w:hint="eastAsia" w:ascii="Times New Roman" w:hAnsi="Times New Roman" w:eastAsia="宋体"/>
                      <w:color w:val="auto"/>
                      <w:spacing w:val="4"/>
                      <w:sz w:val="21"/>
                      <w:szCs w:val="21"/>
                      <w:shd w:val="clear" w:color="auto" w:fill="auto"/>
                      <w:lang w:val="en-US" w:eastAsia="zh-CN"/>
                    </w:rPr>
                    <w:t>m</w:t>
                  </w:r>
                  <w:r>
                    <w:rPr>
                      <w:rFonts w:hint="eastAsia" w:ascii="Times New Roman" w:hAnsi="Times New Roman" w:eastAsia="宋体"/>
                      <w:color w:val="auto"/>
                      <w:spacing w:val="4"/>
                      <w:sz w:val="21"/>
                      <w:szCs w:val="21"/>
                      <w:shd w:val="clear" w:color="auto" w:fill="auto"/>
                      <w:vertAlign w:val="superscript"/>
                      <w:lang w:val="en-US" w:eastAsia="zh-CN"/>
                    </w:rPr>
                    <w:t>2</w:t>
                  </w:r>
                  <w:r>
                    <w:rPr>
                      <w:rFonts w:hint="eastAsia" w:ascii="Times New Roman" w:hAnsi="Times New Roman" w:eastAsia="宋体"/>
                      <w:color w:val="auto"/>
                      <w:spacing w:val="4"/>
                      <w:sz w:val="21"/>
                      <w:szCs w:val="21"/>
                      <w:shd w:val="clear" w:color="auto" w:fill="auto"/>
                      <w:vertAlign w:val="baseline"/>
                      <w:lang w:val="en-US" w:eastAsia="zh-CN"/>
                    </w:rPr>
                    <w:t>，</w:t>
                  </w:r>
                  <w:r>
                    <w:rPr>
                      <w:rFonts w:hint="eastAsia" w:ascii="Times New Roman" w:hAnsi="Times New Roman"/>
                      <w:color w:val="auto"/>
                      <w:spacing w:val="6"/>
                      <w:sz w:val="21"/>
                      <w:szCs w:val="21"/>
                      <w:shd w:val="clear" w:color="auto" w:fill="auto"/>
                      <w:lang w:val="en-US" w:eastAsia="zh-CN"/>
                    </w:rPr>
                    <w:t>构筑物</w:t>
                  </w:r>
                  <w:r>
                    <w:rPr>
                      <w:rFonts w:hint="eastAsia" w:ascii="Times New Roman" w:hAnsi="Times New Roman"/>
                      <w:color w:val="auto"/>
                      <w:spacing w:val="3"/>
                      <w:sz w:val="21"/>
                      <w:szCs w:val="21"/>
                      <w:shd w:val="clear" w:color="auto" w:fill="auto"/>
                      <w:lang w:val="en-US" w:eastAsia="zh-CN"/>
                    </w:rPr>
                    <w:t>利用现有</w:t>
                  </w:r>
                </w:p>
              </w:tc>
            </w:tr>
            <w:tr w14:paraId="4E9604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318" w:type="dxa"/>
                <w:trHeight w:val="51" w:hRule="atLeast"/>
              </w:trPr>
              <w:tc>
                <w:tcPr>
                  <w:tcW w:w="1436" w:type="dxa"/>
                  <w:vMerge w:val="continue"/>
                  <w:tcBorders>
                    <w:tl2br w:val="nil"/>
                    <w:tr2bl w:val="nil"/>
                  </w:tcBorders>
                  <w:shd w:val="clear" w:color="auto" w:fill="auto"/>
                  <w:vAlign w:val="center"/>
                </w:tcPr>
                <w:p w14:paraId="6CF59C38">
                  <w:pPr>
                    <w:pStyle w:val="115"/>
                    <w:keepNext w:val="0"/>
                    <w:keepLines w:val="0"/>
                    <w:pageBreakBefore w:val="0"/>
                    <w:widowControl w:val="0"/>
                    <w:kinsoku/>
                    <w:wordWrap/>
                    <w:overflowPunct/>
                    <w:topLinePunct w:val="0"/>
                    <w:bidi w:val="0"/>
                    <w:adjustRightInd/>
                    <w:snapToGrid/>
                    <w:spacing w:line="240" w:lineRule="auto"/>
                    <w:ind w:left="0" w:leftChars="0" w:right="0" w:firstLine="0" w:firstLineChars="0"/>
                    <w:jc w:val="center"/>
                    <w:textAlignment w:val="auto"/>
                    <w:rPr>
                      <w:rFonts w:ascii="Times New Roman" w:hAnsi="Times New Roman" w:eastAsia="宋体"/>
                      <w:color w:val="auto"/>
                      <w:spacing w:val="3"/>
                      <w:sz w:val="21"/>
                      <w:szCs w:val="21"/>
                      <w:shd w:val="clear" w:color="auto" w:fill="auto"/>
                    </w:rPr>
                  </w:pPr>
                </w:p>
              </w:tc>
              <w:tc>
                <w:tcPr>
                  <w:tcW w:w="2109" w:type="dxa"/>
                  <w:vMerge w:val="continue"/>
                  <w:tcBorders>
                    <w:tl2br w:val="nil"/>
                    <w:tr2bl w:val="nil"/>
                  </w:tcBorders>
                  <w:shd w:val="clear" w:color="auto" w:fill="auto"/>
                  <w:vAlign w:val="center"/>
                </w:tcPr>
                <w:p w14:paraId="07ADF48A">
                  <w:pPr>
                    <w:pStyle w:val="115"/>
                    <w:keepNext w:val="0"/>
                    <w:keepLines w:val="0"/>
                    <w:pageBreakBefore w:val="0"/>
                    <w:widowControl w:val="0"/>
                    <w:kinsoku/>
                    <w:wordWrap/>
                    <w:overflowPunct/>
                    <w:topLinePunct w:val="0"/>
                    <w:bidi w:val="0"/>
                    <w:adjustRightInd/>
                    <w:snapToGrid/>
                    <w:spacing w:line="240" w:lineRule="auto"/>
                    <w:ind w:left="0" w:leftChars="0" w:right="0" w:firstLine="0" w:firstLineChars="0"/>
                    <w:jc w:val="center"/>
                    <w:textAlignment w:val="auto"/>
                    <w:rPr>
                      <w:rFonts w:hint="eastAsia" w:ascii="Times New Roman" w:hAnsi="Times New Roman" w:eastAsia="宋体"/>
                      <w:color w:val="auto"/>
                      <w:spacing w:val="6"/>
                      <w:sz w:val="21"/>
                      <w:szCs w:val="21"/>
                      <w:shd w:val="clear" w:color="auto" w:fill="auto"/>
                      <w:lang w:val="en-US" w:eastAsia="zh-CN"/>
                    </w:rPr>
                  </w:pPr>
                </w:p>
              </w:tc>
              <w:tc>
                <w:tcPr>
                  <w:tcW w:w="2950" w:type="dxa"/>
                  <w:tcBorders>
                    <w:tl2br w:val="nil"/>
                    <w:tr2bl w:val="nil"/>
                  </w:tcBorders>
                  <w:shd w:val="clear" w:color="auto" w:fill="auto"/>
                  <w:vAlign w:val="center"/>
                </w:tcPr>
                <w:p w14:paraId="23E454B7">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Times New Roman" w:hAnsi="Times New Roman" w:eastAsia="宋体"/>
                      <w:color w:val="auto"/>
                      <w:spacing w:val="15"/>
                      <w:sz w:val="21"/>
                      <w:szCs w:val="21"/>
                      <w:highlight w:val="yellow"/>
                      <w:shd w:val="clear" w:color="auto" w:fill="auto"/>
                      <w:lang w:val="en-US"/>
                    </w:rPr>
                  </w:pPr>
                  <w:r>
                    <w:rPr>
                      <w:rFonts w:hint="eastAsia" w:ascii="Times New Roman" w:hAnsi="Times New Roman"/>
                      <w:color w:val="auto"/>
                      <w:spacing w:val="15"/>
                      <w:sz w:val="21"/>
                      <w:szCs w:val="21"/>
                      <w:highlight w:val="none"/>
                      <w:shd w:val="clear" w:color="auto" w:fill="auto"/>
                      <w:lang w:val="en-US" w:eastAsia="zh-CN"/>
                    </w:rPr>
                    <w:t>3</w:t>
                  </w:r>
                  <w:r>
                    <w:rPr>
                      <w:rFonts w:hint="eastAsia" w:ascii="Times New Roman" w:hAnsi="Times New Roman" w:eastAsia="宋体"/>
                      <w:color w:val="auto"/>
                      <w:spacing w:val="15"/>
                      <w:sz w:val="21"/>
                      <w:szCs w:val="21"/>
                      <w:highlight w:val="none"/>
                      <w:shd w:val="clear" w:color="auto" w:fill="auto"/>
                      <w:lang w:val="en-US" w:eastAsia="zh-CN"/>
                    </w:rPr>
                    <w:t>F</w:t>
                  </w:r>
                  <w:r>
                    <w:rPr>
                      <w:rFonts w:hint="eastAsia" w:ascii="Times New Roman" w:hAnsi="Times New Roman"/>
                      <w:color w:val="auto"/>
                      <w:spacing w:val="15"/>
                      <w:sz w:val="21"/>
                      <w:szCs w:val="21"/>
                      <w:highlight w:val="none"/>
                      <w:shd w:val="clear" w:color="auto" w:fill="auto"/>
                      <w:lang w:val="en-US" w:eastAsia="zh-CN"/>
                    </w:rPr>
                    <w:t>检验科</w:t>
                  </w:r>
                </w:p>
              </w:tc>
              <w:tc>
                <w:tcPr>
                  <w:tcW w:w="2177" w:type="dxa"/>
                  <w:tcBorders>
                    <w:tl2br w:val="nil"/>
                    <w:tr2bl w:val="nil"/>
                  </w:tcBorders>
                  <w:shd w:val="clear" w:color="auto" w:fill="auto"/>
                  <w:vAlign w:val="center"/>
                </w:tcPr>
                <w:p w14:paraId="798D8895">
                  <w:pPr>
                    <w:pStyle w:val="115"/>
                    <w:keepNext w:val="0"/>
                    <w:keepLines w:val="0"/>
                    <w:pageBreakBefore w:val="0"/>
                    <w:widowControl w:val="0"/>
                    <w:kinsoku/>
                    <w:wordWrap/>
                    <w:overflowPunct/>
                    <w:topLinePunct w:val="0"/>
                    <w:bidi w:val="0"/>
                    <w:adjustRightInd/>
                    <w:snapToGrid/>
                    <w:spacing w:line="240" w:lineRule="auto"/>
                    <w:ind w:left="0" w:leftChars="0" w:right="0" w:firstLine="0" w:firstLineChars="0"/>
                    <w:jc w:val="center"/>
                    <w:textAlignment w:val="auto"/>
                    <w:rPr>
                      <w:rFonts w:ascii="Times New Roman" w:hAnsi="Times New Roman" w:eastAsia="宋体"/>
                      <w:color w:val="auto"/>
                      <w:spacing w:val="4"/>
                      <w:sz w:val="21"/>
                      <w:szCs w:val="21"/>
                      <w:shd w:val="clear" w:color="auto" w:fill="auto"/>
                    </w:rPr>
                  </w:pPr>
                  <w:r>
                    <w:rPr>
                      <w:rFonts w:hint="eastAsia" w:ascii="Times New Roman" w:hAnsi="Times New Roman" w:eastAsia="宋体"/>
                      <w:color w:val="auto"/>
                      <w:spacing w:val="4"/>
                      <w:sz w:val="21"/>
                      <w:szCs w:val="21"/>
                      <w:shd w:val="clear" w:color="auto" w:fill="auto"/>
                      <w:lang w:val="en-US" w:eastAsia="zh-CN"/>
                    </w:rPr>
                    <w:t>建筑面积</w:t>
                  </w:r>
                  <w:r>
                    <w:rPr>
                      <w:rFonts w:hint="eastAsia" w:ascii="Times New Roman" w:hAnsi="Times New Roman"/>
                      <w:color w:val="auto"/>
                      <w:spacing w:val="4"/>
                      <w:sz w:val="21"/>
                      <w:szCs w:val="21"/>
                      <w:shd w:val="clear" w:color="auto" w:fill="auto"/>
                      <w:lang w:val="en-US" w:eastAsia="zh-CN"/>
                    </w:rPr>
                    <w:t>约</w:t>
                  </w:r>
                  <w:r>
                    <w:rPr>
                      <w:rFonts w:hint="eastAsia" w:ascii="Times New Roman" w:hAnsi="Times New Roman" w:eastAsia="宋体"/>
                      <w:color w:val="auto"/>
                      <w:spacing w:val="4"/>
                      <w:sz w:val="21"/>
                      <w:szCs w:val="21"/>
                      <w:shd w:val="clear" w:color="auto" w:fill="auto"/>
                      <w:lang w:val="en-US" w:eastAsia="zh-CN"/>
                    </w:rPr>
                    <w:t>为</w:t>
                  </w:r>
                  <w:r>
                    <w:rPr>
                      <w:rFonts w:hint="eastAsia" w:ascii="Times New Roman" w:hAnsi="Times New Roman"/>
                      <w:color w:val="auto"/>
                      <w:spacing w:val="4"/>
                      <w:sz w:val="21"/>
                      <w:szCs w:val="21"/>
                      <w:shd w:val="clear" w:color="auto" w:fill="auto"/>
                      <w:lang w:val="en-US" w:eastAsia="zh-CN"/>
                    </w:rPr>
                    <w:t>1450</w:t>
                  </w:r>
                  <w:r>
                    <w:rPr>
                      <w:rFonts w:hint="eastAsia" w:ascii="Times New Roman" w:hAnsi="Times New Roman" w:eastAsia="宋体"/>
                      <w:color w:val="auto"/>
                      <w:spacing w:val="4"/>
                      <w:sz w:val="21"/>
                      <w:szCs w:val="21"/>
                      <w:shd w:val="clear" w:color="auto" w:fill="auto"/>
                      <w:lang w:val="en-US" w:eastAsia="zh-CN"/>
                    </w:rPr>
                    <w:t>m</w:t>
                  </w:r>
                  <w:r>
                    <w:rPr>
                      <w:rFonts w:hint="eastAsia" w:ascii="Times New Roman" w:hAnsi="Times New Roman" w:eastAsia="宋体"/>
                      <w:color w:val="auto"/>
                      <w:spacing w:val="4"/>
                      <w:sz w:val="21"/>
                      <w:szCs w:val="21"/>
                      <w:shd w:val="clear" w:color="auto" w:fill="auto"/>
                      <w:vertAlign w:val="superscript"/>
                      <w:lang w:val="en-US" w:eastAsia="zh-CN"/>
                    </w:rPr>
                    <w:t>2</w:t>
                  </w:r>
                  <w:r>
                    <w:rPr>
                      <w:rFonts w:hint="eastAsia" w:ascii="Times New Roman" w:hAnsi="Times New Roman" w:eastAsia="宋体"/>
                      <w:color w:val="auto"/>
                      <w:spacing w:val="4"/>
                      <w:sz w:val="21"/>
                      <w:szCs w:val="21"/>
                      <w:shd w:val="clear" w:color="auto" w:fill="auto"/>
                      <w:vertAlign w:val="baseline"/>
                      <w:lang w:val="en-US" w:eastAsia="zh-CN"/>
                    </w:rPr>
                    <w:t>，</w:t>
                  </w:r>
                  <w:r>
                    <w:rPr>
                      <w:rFonts w:hint="eastAsia" w:ascii="Times New Roman" w:hAnsi="Times New Roman"/>
                      <w:color w:val="auto"/>
                      <w:spacing w:val="6"/>
                      <w:sz w:val="21"/>
                      <w:szCs w:val="21"/>
                      <w:shd w:val="clear" w:color="auto" w:fill="auto"/>
                      <w:lang w:val="en-US" w:eastAsia="zh-CN"/>
                    </w:rPr>
                    <w:t>构筑物</w:t>
                  </w:r>
                  <w:r>
                    <w:rPr>
                      <w:rFonts w:hint="eastAsia" w:ascii="Times New Roman" w:hAnsi="Times New Roman"/>
                      <w:color w:val="auto"/>
                      <w:spacing w:val="3"/>
                      <w:sz w:val="21"/>
                      <w:szCs w:val="21"/>
                      <w:shd w:val="clear" w:color="auto" w:fill="auto"/>
                      <w:lang w:val="en-US" w:eastAsia="zh-CN"/>
                    </w:rPr>
                    <w:t>利用现有</w:t>
                  </w:r>
                </w:p>
              </w:tc>
            </w:tr>
            <w:tr w14:paraId="41DCDC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318" w:type="dxa"/>
                <w:trHeight w:val="51" w:hRule="atLeast"/>
              </w:trPr>
              <w:tc>
                <w:tcPr>
                  <w:tcW w:w="1436" w:type="dxa"/>
                  <w:vMerge w:val="continue"/>
                  <w:tcBorders>
                    <w:tl2br w:val="nil"/>
                    <w:tr2bl w:val="nil"/>
                  </w:tcBorders>
                  <w:shd w:val="clear" w:color="auto" w:fill="auto"/>
                  <w:vAlign w:val="center"/>
                </w:tcPr>
                <w:p w14:paraId="17C6703B">
                  <w:pPr>
                    <w:pStyle w:val="115"/>
                    <w:keepNext w:val="0"/>
                    <w:keepLines w:val="0"/>
                    <w:pageBreakBefore w:val="0"/>
                    <w:widowControl w:val="0"/>
                    <w:kinsoku/>
                    <w:wordWrap/>
                    <w:overflowPunct/>
                    <w:topLinePunct w:val="0"/>
                    <w:bidi w:val="0"/>
                    <w:adjustRightInd/>
                    <w:snapToGrid/>
                    <w:spacing w:line="240" w:lineRule="auto"/>
                    <w:ind w:left="0" w:leftChars="0" w:right="0" w:firstLine="0" w:firstLineChars="0"/>
                    <w:jc w:val="center"/>
                    <w:textAlignment w:val="auto"/>
                    <w:rPr>
                      <w:rFonts w:ascii="Times New Roman" w:hAnsi="Times New Roman" w:eastAsia="宋体"/>
                      <w:color w:val="auto"/>
                      <w:spacing w:val="3"/>
                      <w:sz w:val="21"/>
                      <w:szCs w:val="21"/>
                      <w:shd w:val="clear" w:color="auto" w:fill="auto"/>
                    </w:rPr>
                  </w:pPr>
                </w:p>
              </w:tc>
              <w:tc>
                <w:tcPr>
                  <w:tcW w:w="2109" w:type="dxa"/>
                  <w:vMerge w:val="restart"/>
                  <w:tcBorders>
                    <w:tl2br w:val="nil"/>
                    <w:tr2bl w:val="nil"/>
                  </w:tcBorders>
                  <w:shd w:val="clear" w:color="auto" w:fill="auto"/>
                  <w:vAlign w:val="center"/>
                </w:tcPr>
                <w:p w14:paraId="5C462B8B">
                  <w:pPr>
                    <w:pStyle w:val="115"/>
                    <w:keepNext w:val="0"/>
                    <w:keepLines w:val="0"/>
                    <w:pageBreakBefore w:val="0"/>
                    <w:widowControl w:val="0"/>
                    <w:kinsoku/>
                    <w:wordWrap/>
                    <w:overflowPunct/>
                    <w:topLinePunct w:val="0"/>
                    <w:bidi w:val="0"/>
                    <w:adjustRightInd/>
                    <w:snapToGrid/>
                    <w:spacing w:line="240" w:lineRule="auto"/>
                    <w:ind w:left="0" w:leftChars="0" w:right="0" w:firstLine="0" w:firstLineChars="0"/>
                    <w:jc w:val="center"/>
                    <w:textAlignment w:val="auto"/>
                    <w:rPr>
                      <w:rFonts w:hint="eastAsia" w:ascii="Times New Roman" w:hAnsi="Times New Roman" w:eastAsia="宋体"/>
                      <w:color w:val="auto"/>
                      <w:spacing w:val="6"/>
                      <w:sz w:val="21"/>
                      <w:szCs w:val="21"/>
                      <w:shd w:val="clear" w:color="auto" w:fill="auto"/>
                      <w:lang w:val="en-US" w:eastAsia="zh-CN"/>
                    </w:rPr>
                  </w:pPr>
                  <w:r>
                    <w:rPr>
                      <w:rFonts w:hint="eastAsia" w:ascii="Times New Roman" w:hAnsi="Times New Roman" w:eastAsia="宋体"/>
                      <w:color w:val="auto"/>
                      <w:spacing w:val="6"/>
                      <w:sz w:val="21"/>
                      <w:szCs w:val="21"/>
                      <w:shd w:val="clear" w:color="auto" w:fill="auto"/>
                      <w:lang w:val="en-US" w:eastAsia="zh-CN"/>
                    </w:rPr>
                    <w:t>2#楼</w:t>
                  </w:r>
                </w:p>
              </w:tc>
              <w:tc>
                <w:tcPr>
                  <w:tcW w:w="2950" w:type="dxa"/>
                  <w:tcBorders>
                    <w:tl2br w:val="nil"/>
                    <w:tr2bl w:val="nil"/>
                  </w:tcBorders>
                  <w:shd w:val="clear" w:color="auto" w:fill="auto"/>
                  <w:vAlign w:val="center"/>
                </w:tcPr>
                <w:p w14:paraId="14744088">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Times New Roman" w:hAnsi="Times New Roman" w:eastAsia="宋体"/>
                      <w:color w:val="auto"/>
                      <w:spacing w:val="15"/>
                      <w:sz w:val="21"/>
                      <w:szCs w:val="21"/>
                      <w:highlight w:val="yellow"/>
                      <w:shd w:val="clear" w:color="auto" w:fill="auto"/>
                      <w:lang w:val="en-US" w:eastAsia="zh-CN"/>
                    </w:rPr>
                  </w:pPr>
                  <w:r>
                    <w:rPr>
                      <w:rFonts w:hint="eastAsia" w:ascii="Times New Roman" w:hAnsi="Times New Roman" w:eastAsia="宋体"/>
                      <w:color w:val="auto"/>
                      <w:spacing w:val="15"/>
                      <w:sz w:val="21"/>
                      <w:szCs w:val="21"/>
                      <w:highlight w:val="none"/>
                      <w:shd w:val="clear" w:color="auto" w:fill="auto"/>
                      <w:lang w:val="en-US" w:eastAsia="zh-CN"/>
                    </w:rPr>
                    <w:t>1F设</w:t>
                  </w:r>
                  <w:r>
                    <w:rPr>
                      <w:rFonts w:hint="eastAsia" w:ascii="Times New Roman" w:hAnsi="Times New Roman"/>
                      <w:color w:val="auto"/>
                      <w:spacing w:val="15"/>
                      <w:sz w:val="21"/>
                      <w:szCs w:val="21"/>
                      <w:highlight w:val="none"/>
                      <w:shd w:val="clear" w:color="auto" w:fill="auto"/>
                      <w:lang w:val="en-US" w:eastAsia="zh-CN"/>
                    </w:rPr>
                    <w:t>放射科</w:t>
                  </w:r>
                </w:p>
              </w:tc>
              <w:tc>
                <w:tcPr>
                  <w:tcW w:w="2177" w:type="dxa"/>
                  <w:vMerge w:val="restart"/>
                  <w:tcBorders>
                    <w:tl2br w:val="nil"/>
                    <w:tr2bl w:val="nil"/>
                  </w:tcBorders>
                  <w:shd w:val="clear" w:color="auto" w:fill="auto"/>
                  <w:vAlign w:val="center"/>
                </w:tcPr>
                <w:p w14:paraId="064AEC7A">
                  <w:pPr>
                    <w:pStyle w:val="115"/>
                    <w:keepNext w:val="0"/>
                    <w:keepLines w:val="0"/>
                    <w:pageBreakBefore w:val="0"/>
                    <w:widowControl w:val="0"/>
                    <w:kinsoku/>
                    <w:wordWrap/>
                    <w:overflowPunct/>
                    <w:topLinePunct w:val="0"/>
                    <w:bidi w:val="0"/>
                    <w:adjustRightInd/>
                    <w:snapToGrid/>
                    <w:spacing w:line="240" w:lineRule="auto"/>
                    <w:ind w:left="0" w:leftChars="0" w:right="0" w:firstLine="0" w:firstLineChars="0"/>
                    <w:jc w:val="center"/>
                    <w:textAlignment w:val="auto"/>
                    <w:rPr>
                      <w:rFonts w:ascii="Times New Roman" w:hAnsi="Times New Roman" w:eastAsia="宋体"/>
                      <w:color w:val="auto"/>
                      <w:spacing w:val="4"/>
                      <w:sz w:val="21"/>
                      <w:szCs w:val="21"/>
                      <w:shd w:val="clear" w:color="auto" w:fill="auto"/>
                    </w:rPr>
                  </w:pPr>
                  <w:r>
                    <w:rPr>
                      <w:rFonts w:hint="eastAsia" w:ascii="Times New Roman" w:hAnsi="Times New Roman"/>
                      <w:color w:val="auto"/>
                      <w:spacing w:val="4"/>
                      <w:sz w:val="21"/>
                      <w:szCs w:val="21"/>
                      <w:shd w:val="clear" w:color="auto" w:fill="auto"/>
                      <w:lang w:val="en-US" w:eastAsia="zh-CN"/>
                    </w:rPr>
                    <w:t>每层的</w:t>
                  </w:r>
                  <w:r>
                    <w:rPr>
                      <w:rFonts w:hint="eastAsia" w:ascii="Times New Roman" w:hAnsi="Times New Roman" w:eastAsia="宋体"/>
                      <w:color w:val="auto"/>
                      <w:spacing w:val="4"/>
                      <w:sz w:val="21"/>
                      <w:szCs w:val="21"/>
                      <w:shd w:val="clear" w:color="auto" w:fill="auto"/>
                      <w:lang w:val="en-US" w:eastAsia="zh-CN"/>
                    </w:rPr>
                    <w:t>建筑面积为</w:t>
                  </w:r>
                  <w:r>
                    <w:rPr>
                      <w:rFonts w:hint="eastAsia" w:ascii="Times New Roman" w:hAnsi="Times New Roman"/>
                      <w:color w:val="auto"/>
                      <w:spacing w:val="4"/>
                      <w:sz w:val="21"/>
                      <w:szCs w:val="21"/>
                      <w:shd w:val="clear" w:color="auto" w:fill="auto"/>
                      <w:lang w:val="en-US" w:eastAsia="zh-CN"/>
                    </w:rPr>
                    <w:t>1634.44</w:t>
                  </w:r>
                  <w:r>
                    <w:rPr>
                      <w:rFonts w:hint="eastAsia" w:ascii="Times New Roman" w:hAnsi="Times New Roman" w:eastAsia="宋体"/>
                      <w:color w:val="auto"/>
                      <w:spacing w:val="4"/>
                      <w:sz w:val="21"/>
                      <w:szCs w:val="21"/>
                      <w:shd w:val="clear" w:color="auto" w:fill="auto"/>
                      <w:lang w:val="en-US" w:eastAsia="zh-CN"/>
                    </w:rPr>
                    <w:t>m</w:t>
                  </w:r>
                  <w:r>
                    <w:rPr>
                      <w:rFonts w:hint="eastAsia" w:ascii="Times New Roman" w:hAnsi="Times New Roman" w:eastAsia="宋体"/>
                      <w:color w:val="auto"/>
                      <w:spacing w:val="4"/>
                      <w:sz w:val="21"/>
                      <w:szCs w:val="21"/>
                      <w:shd w:val="clear" w:color="auto" w:fill="auto"/>
                      <w:vertAlign w:val="superscript"/>
                      <w:lang w:val="en-US" w:eastAsia="zh-CN"/>
                    </w:rPr>
                    <w:t>2</w:t>
                  </w:r>
                  <w:r>
                    <w:rPr>
                      <w:rFonts w:hint="eastAsia" w:ascii="Times New Roman" w:hAnsi="Times New Roman" w:eastAsia="宋体"/>
                      <w:color w:val="auto"/>
                      <w:spacing w:val="4"/>
                      <w:sz w:val="21"/>
                      <w:szCs w:val="21"/>
                      <w:shd w:val="clear" w:color="auto" w:fill="auto"/>
                      <w:vertAlign w:val="baseline"/>
                      <w:lang w:val="en-US" w:eastAsia="zh-CN"/>
                    </w:rPr>
                    <w:t>，</w:t>
                  </w:r>
                  <w:r>
                    <w:rPr>
                      <w:rFonts w:hint="eastAsia" w:ascii="Times New Roman" w:hAnsi="Times New Roman"/>
                      <w:color w:val="auto"/>
                      <w:spacing w:val="6"/>
                      <w:sz w:val="21"/>
                      <w:szCs w:val="21"/>
                      <w:shd w:val="clear" w:color="auto" w:fill="auto"/>
                      <w:lang w:val="en-US" w:eastAsia="zh-CN"/>
                    </w:rPr>
                    <w:t>构筑物</w:t>
                  </w:r>
                  <w:r>
                    <w:rPr>
                      <w:rFonts w:hint="eastAsia" w:ascii="Times New Roman" w:hAnsi="Times New Roman"/>
                      <w:color w:val="auto"/>
                      <w:spacing w:val="3"/>
                      <w:sz w:val="21"/>
                      <w:szCs w:val="21"/>
                      <w:shd w:val="clear" w:color="auto" w:fill="auto"/>
                      <w:lang w:val="en-US" w:eastAsia="zh-CN"/>
                    </w:rPr>
                    <w:t>利用现有</w:t>
                  </w:r>
                </w:p>
              </w:tc>
            </w:tr>
            <w:tr w14:paraId="401FD00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318" w:type="dxa"/>
                <w:trHeight w:val="352" w:hRule="atLeast"/>
              </w:trPr>
              <w:tc>
                <w:tcPr>
                  <w:tcW w:w="1436" w:type="dxa"/>
                  <w:vMerge w:val="continue"/>
                  <w:tcBorders>
                    <w:tl2br w:val="nil"/>
                    <w:tr2bl w:val="nil"/>
                  </w:tcBorders>
                  <w:shd w:val="clear" w:color="auto" w:fill="auto"/>
                  <w:vAlign w:val="center"/>
                </w:tcPr>
                <w:p w14:paraId="4FF0C759">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ascii="Times New Roman" w:hAnsi="Times New Roman" w:eastAsia="宋体"/>
                      <w:sz w:val="21"/>
                      <w:shd w:val="clear" w:color="auto" w:fill="auto"/>
                    </w:rPr>
                  </w:pPr>
                </w:p>
              </w:tc>
              <w:tc>
                <w:tcPr>
                  <w:tcW w:w="2109" w:type="dxa"/>
                  <w:vMerge w:val="continue"/>
                  <w:tcBorders>
                    <w:tl2br w:val="nil"/>
                    <w:tr2bl w:val="nil"/>
                  </w:tcBorders>
                  <w:shd w:val="clear" w:color="auto" w:fill="auto"/>
                  <w:vAlign w:val="center"/>
                </w:tcPr>
                <w:p w14:paraId="29CADB42">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ascii="Times New Roman" w:hAnsi="Times New Roman" w:eastAsia="宋体"/>
                      <w:sz w:val="21"/>
                      <w:shd w:val="clear" w:color="auto" w:fill="auto"/>
                    </w:rPr>
                  </w:pPr>
                </w:p>
              </w:tc>
              <w:tc>
                <w:tcPr>
                  <w:tcW w:w="2950" w:type="dxa"/>
                  <w:tcBorders>
                    <w:tl2br w:val="nil"/>
                    <w:tr2bl w:val="nil"/>
                  </w:tcBorders>
                  <w:shd w:val="clear" w:color="auto" w:fill="auto"/>
                  <w:vAlign w:val="center"/>
                </w:tcPr>
                <w:p w14:paraId="5C6C4097">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Times New Roman" w:hAnsi="Times New Roman" w:eastAsia="宋体"/>
                      <w:color w:val="auto"/>
                      <w:spacing w:val="15"/>
                      <w:sz w:val="21"/>
                      <w:szCs w:val="21"/>
                      <w:highlight w:val="yellow"/>
                      <w:shd w:val="clear" w:color="auto" w:fill="auto"/>
                      <w:lang w:val="en-US"/>
                    </w:rPr>
                  </w:pPr>
                  <w:r>
                    <w:rPr>
                      <w:rFonts w:hint="eastAsia" w:ascii="Times New Roman" w:hAnsi="Times New Roman" w:eastAsia="宋体"/>
                      <w:color w:val="auto"/>
                      <w:spacing w:val="15"/>
                      <w:sz w:val="21"/>
                      <w:szCs w:val="21"/>
                      <w:highlight w:val="none"/>
                      <w:shd w:val="clear" w:color="auto" w:fill="auto"/>
                      <w:lang w:val="en-US" w:eastAsia="zh-CN"/>
                    </w:rPr>
                    <w:t>2F、3F</w:t>
                  </w:r>
                  <w:r>
                    <w:rPr>
                      <w:rFonts w:hint="eastAsia" w:ascii="Times New Roman" w:hAnsi="Times New Roman"/>
                      <w:color w:val="auto"/>
                      <w:spacing w:val="15"/>
                      <w:sz w:val="21"/>
                      <w:szCs w:val="21"/>
                      <w:highlight w:val="none"/>
                      <w:shd w:val="clear" w:color="auto" w:fill="auto"/>
                      <w:lang w:val="en-US" w:eastAsia="zh-CN"/>
                    </w:rPr>
                    <w:t>、</w:t>
                  </w:r>
                  <w:r>
                    <w:rPr>
                      <w:rFonts w:hint="eastAsia" w:ascii="Times New Roman" w:hAnsi="Times New Roman" w:eastAsia="宋体"/>
                      <w:color w:val="auto"/>
                      <w:spacing w:val="15"/>
                      <w:sz w:val="21"/>
                      <w:szCs w:val="21"/>
                      <w:highlight w:val="none"/>
                      <w:shd w:val="clear" w:color="auto" w:fill="auto"/>
                      <w:lang w:val="en-US" w:eastAsia="zh-CN"/>
                    </w:rPr>
                    <w:t>10F</w:t>
                  </w:r>
                  <w:r>
                    <w:rPr>
                      <w:rFonts w:hint="eastAsia" w:ascii="Times New Roman" w:hAnsi="Times New Roman"/>
                      <w:color w:val="auto"/>
                      <w:spacing w:val="15"/>
                      <w:sz w:val="21"/>
                      <w:szCs w:val="21"/>
                      <w:highlight w:val="none"/>
                      <w:shd w:val="clear" w:color="auto" w:fill="auto"/>
                      <w:lang w:val="en-US" w:eastAsia="zh-CN"/>
                    </w:rPr>
                    <w:t>空置预留</w:t>
                  </w:r>
                </w:p>
              </w:tc>
              <w:tc>
                <w:tcPr>
                  <w:tcW w:w="2177" w:type="dxa"/>
                  <w:vMerge w:val="continue"/>
                  <w:tcBorders>
                    <w:tl2br w:val="nil"/>
                    <w:tr2bl w:val="nil"/>
                  </w:tcBorders>
                  <w:shd w:val="clear" w:color="auto" w:fill="auto"/>
                  <w:vAlign w:val="center"/>
                </w:tcPr>
                <w:p w14:paraId="04C6225D">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ascii="Times New Roman" w:hAnsi="Times New Roman" w:eastAsia="宋体"/>
                      <w:color w:val="auto"/>
                      <w:spacing w:val="15"/>
                      <w:sz w:val="21"/>
                      <w:szCs w:val="21"/>
                      <w:highlight w:val="yellow"/>
                      <w:shd w:val="clear" w:color="auto" w:fill="auto"/>
                    </w:rPr>
                  </w:pPr>
                </w:p>
              </w:tc>
            </w:tr>
            <w:tr w14:paraId="1E3D68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318" w:type="dxa"/>
                <w:trHeight w:val="307" w:hRule="atLeast"/>
              </w:trPr>
              <w:tc>
                <w:tcPr>
                  <w:tcW w:w="1436" w:type="dxa"/>
                  <w:vMerge w:val="continue"/>
                  <w:tcBorders>
                    <w:tl2br w:val="nil"/>
                    <w:tr2bl w:val="nil"/>
                  </w:tcBorders>
                  <w:shd w:val="clear" w:color="auto" w:fill="auto"/>
                  <w:vAlign w:val="center"/>
                </w:tcPr>
                <w:p w14:paraId="2B8F5CDF">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ascii="Times New Roman" w:hAnsi="Times New Roman" w:eastAsia="宋体"/>
                      <w:color w:val="auto"/>
                      <w:spacing w:val="15"/>
                      <w:sz w:val="21"/>
                      <w:szCs w:val="21"/>
                      <w:highlight w:val="yellow"/>
                      <w:shd w:val="clear" w:color="auto" w:fill="auto"/>
                    </w:rPr>
                  </w:pPr>
                </w:p>
              </w:tc>
              <w:tc>
                <w:tcPr>
                  <w:tcW w:w="2109" w:type="dxa"/>
                  <w:vMerge w:val="continue"/>
                  <w:tcBorders>
                    <w:tl2br w:val="nil"/>
                    <w:tr2bl w:val="nil"/>
                  </w:tcBorders>
                  <w:shd w:val="clear" w:color="auto" w:fill="auto"/>
                  <w:vAlign w:val="center"/>
                </w:tcPr>
                <w:p w14:paraId="4B1B1736">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ascii="Times New Roman" w:hAnsi="Times New Roman" w:eastAsia="宋体"/>
                      <w:color w:val="auto"/>
                      <w:spacing w:val="15"/>
                      <w:sz w:val="21"/>
                      <w:szCs w:val="21"/>
                      <w:highlight w:val="yellow"/>
                      <w:shd w:val="clear" w:color="auto" w:fill="auto"/>
                    </w:rPr>
                  </w:pPr>
                </w:p>
              </w:tc>
              <w:tc>
                <w:tcPr>
                  <w:tcW w:w="2950" w:type="dxa"/>
                  <w:tcBorders>
                    <w:tl2br w:val="nil"/>
                    <w:tr2bl w:val="nil"/>
                  </w:tcBorders>
                  <w:shd w:val="clear" w:color="auto" w:fill="auto"/>
                  <w:vAlign w:val="center"/>
                </w:tcPr>
                <w:p w14:paraId="6C6F44B4">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Times New Roman" w:hAnsi="Times New Roman" w:eastAsia="宋体" w:cs="宋体"/>
                      <w:color w:val="auto"/>
                      <w:spacing w:val="15"/>
                      <w:kern w:val="2"/>
                      <w:sz w:val="21"/>
                      <w:szCs w:val="21"/>
                      <w:highlight w:val="yellow"/>
                      <w:shd w:val="clear" w:color="auto" w:fill="auto"/>
                      <w:lang w:val="en-US" w:eastAsia="en-US" w:bidi="ar-SA"/>
                    </w:rPr>
                  </w:pPr>
                  <w:r>
                    <w:rPr>
                      <w:rFonts w:hint="eastAsia" w:ascii="Times New Roman" w:hAnsi="Times New Roman" w:eastAsia="宋体"/>
                      <w:color w:val="auto"/>
                      <w:spacing w:val="15"/>
                      <w:sz w:val="21"/>
                      <w:szCs w:val="21"/>
                      <w:highlight w:val="none"/>
                      <w:shd w:val="clear" w:color="auto" w:fill="auto"/>
                      <w:lang w:val="en-US" w:eastAsia="zh-CN"/>
                    </w:rPr>
                    <w:t>4F</w:t>
                  </w:r>
                  <w:r>
                    <w:rPr>
                      <w:rFonts w:hint="eastAsia" w:ascii="Times New Roman" w:hAnsi="Times New Roman"/>
                      <w:color w:val="auto"/>
                      <w:spacing w:val="15"/>
                      <w:sz w:val="21"/>
                      <w:szCs w:val="21"/>
                      <w:highlight w:val="none"/>
                      <w:shd w:val="clear" w:color="auto" w:fill="auto"/>
                      <w:lang w:val="en-US" w:eastAsia="zh-CN"/>
                    </w:rPr>
                    <w:t>手术室</w:t>
                  </w:r>
                </w:p>
              </w:tc>
              <w:tc>
                <w:tcPr>
                  <w:tcW w:w="2177" w:type="dxa"/>
                  <w:vMerge w:val="continue"/>
                  <w:tcBorders>
                    <w:tl2br w:val="nil"/>
                    <w:tr2bl w:val="nil"/>
                  </w:tcBorders>
                  <w:shd w:val="clear" w:color="auto" w:fill="auto"/>
                  <w:vAlign w:val="center"/>
                </w:tcPr>
                <w:p w14:paraId="3F6ED604">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ascii="Times New Roman" w:hAnsi="Times New Roman" w:eastAsia="宋体"/>
                      <w:color w:val="auto"/>
                      <w:spacing w:val="15"/>
                      <w:sz w:val="21"/>
                      <w:szCs w:val="21"/>
                      <w:highlight w:val="yellow"/>
                      <w:shd w:val="clear" w:color="auto" w:fill="auto"/>
                    </w:rPr>
                  </w:pPr>
                </w:p>
              </w:tc>
            </w:tr>
            <w:tr w14:paraId="5DDF7C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318" w:type="dxa"/>
                <w:trHeight w:val="51" w:hRule="atLeast"/>
              </w:trPr>
              <w:tc>
                <w:tcPr>
                  <w:tcW w:w="1436" w:type="dxa"/>
                  <w:vMerge w:val="continue"/>
                  <w:tcBorders>
                    <w:tl2br w:val="nil"/>
                    <w:tr2bl w:val="nil"/>
                  </w:tcBorders>
                  <w:shd w:val="clear" w:color="auto" w:fill="auto"/>
                  <w:vAlign w:val="center"/>
                </w:tcPr>
                <w:p w14:paraId="7FD59A5D">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ascii="Times New Roman" w:hAnsi="Times New Roman" w:eastAsia="宋体"/>
                      <w:color w:val="auto"/>
                      <w:spacing w:val="15"/>
                      <w:sz w:val="21"/>
                      <w:szCs w:val="21"/>
                      <w:highlight w:val="yellow"/>
                      <w:shd w:val="clear" w:color="auto" w:fill="auto"/>
                    </w:rPr>
                  </w:pPr>
                </w:p>
              </w:tc>
              <w:tc>
                <w:tcPr>
                  <w:tcW w:w="2109" w:type="dxa"/>
                  <w:vMerge w:val="continue"/>
                  <w:tcBorders>
                    <w:tl2br w:val="nil"/>
                    <w:tr2bl w:val="nil"/>
                  </w:tcBorders>
                  <w:shd w:val="clear" w:color="auto" w:fill="auto"/>
                  <w:vAlign w:val="center"/>
                </w:tcPr>
                <w:p w14:paraId="479B5C2F">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ascii="Times New Roman" w:hAnsi="Times New Roman" w:eastAsia="宋体"/>
                      <w:color w:val="auto"/>
                      <w:spacing w:val="15"/>
                      <w:sz w:val="21"/>
                      <w:szCs w:val="21"/>
                      <w:highlight w:val="yellow"/>
                      <w:shd w:val="clear" w:color="auto" w:fill="auto"/>
                    </w:rPr>
                  </w:pPr>
                </w:p>
              </w:tc>
              <w:tc>
                <w:tcPr>
                  <w:tcW w:w="2950" w:type="dxa"/>
                  <w:tcBorders>
                    <w:tl2br w:val="nil"/>
                    <w:tr2bl w:val="nil"/>
                  </w:tcBorders>
                  <w:shd w:val="clear" w:color="auto" w:fill="auto"/>
                  <w:vAlign w:val="center"/>
                </w:tcPr>
                <w:p w14:paraId="65376E5D">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Times New Roman" w:hAnsi="Times New Roman" w:eastAsia="宋体" w:cs="宋体"/>
                      <w:color w:val="auto"/>
                      <w:spacing w:val="15"/>
                      <w:kern w:val="2"/>
                      <w:sz w:val="21"/>
                      <w:szCs w:val="21"/>
                      <w:highlight w:val="yellow"/>
                      <w:shd w:val="clear" w:color="auto" w:fill="auto"/>
                      <w:lang w:val="en-US" w:eastAsia="en-US" w:bidi="ar-SA"/>
                    </w:rPr>
                  </w:pPr>
                  <w:r>
                    <w:rPr>
                      <w:rFonts w:hint="eastAsia" w:ascii="Times New Roman" w:hAnsi="Times New Roman" w:eastAsia="宋体"/>
                      <w:color w:val="auto"/>
                      <w:spacing w:val="15"/>
                      <w:sz w:val="21"/>
                      <w:szCs w:val="21"/>
                      <w:highlight w:val="none"/>
                      <w:shd w:val="clear" w:color="auto" w:fill="auto"/>
                      <w:lang w:val="en-US" w:eastAsia="zh-CN"/>
                    </w:rPr>
                    <w:t>5F</w:t>
                  </w:r>
                  <w:r>
                    <w:rPr>
                      <w:rFonts w:hint="eastAsia" w:ascii="Times New Roman" w:hAnsi="Times New Roman"/>
                      <w:color w:val="auto"/>
                      <w:spacing w:val="15"/>
                      <w:sz w:val="21"/>
                      <w:szCs w:val="21"/>
                      <w:highlight w:val="none"/>
                      <w:shd w:val="clear" w:color="auto" w:fill="auto"/>
                      <w:lang w:val="en-US" w:eastAsia="zh-CN"/>
                    </w:rPr>
                    <w:t>机电房</w:t>
                  </w:r>
                </w:p>
              </w:tc>
              <w:tc>
                <w:tcPr>
                  <w:tcW w:w="2177" w:type="dxa"/>
                  <w:vMerge w:val="continue"/>
                  <w:tcBorders>
                    <w:tl2br w:val="nil"/>
                    <w:tr2bl w:val="nil"/>
                  </w:tcBorders>
                  <w:shd w:val="clear" w:color="auto" w:fill="auto"/>
                  <w:vAlign w:val="center"/>
                </w:tcPr>
                <w:p w14:paraId="46198DB1">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ascii="Times New Roman" w:hAnsi="Times New Roman" w:eastAsia="宋体"/>
                      <w:color w:val="auto"/>
                      <w:spacing w:val="15"/>
                      <w:sz w:val="21"/>
                      <w:szCs w:val="21"/>
                      <w:highlight w:val="yellow"/>
                      <w:shd w:val="clear" w:color="auto" w:fill="auto"/>
                    </w:rPr>
                  </w:pPr>
                </w:p>
              </w:tc>
            </w:tr>
            <w:tr w14:paraId="44BB61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318" w:type="dxa"/>
                <w:trHeight w:val="51" w:hRule="atLeast"/>
              </w:trPr>
              <w:tc>
                <w:tcPr>
                  <w:tcW w:w="1436" w:type="dxa"/>
                  <w:vMerge w:val="continue"/>
                  <w:tcBorders>
                    <w:tl2br w:val="nil"/>
                    <w:tr2bl w:val="nil"/>
                  </w:tcBorders>
                  <w:shd w:val="clear" w:color="auto" w:fill="auto"/>
                  <w:vAlign w:val="center"/>
                </w:tcPr>
                <w:p w14:paraId="0E4FEEEE">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ascii="Times New Roman" w:hAnsi="Times New Roman" w:eastAsia="宋体"/>
                      <w:color w:val="auto"/>
                      <w:spacing w:val="15"/>
                      <w:sz w:val="21"/>
                      <w:szCs w:val="21"/>
                      <w:highlight w:val="yellow"/>
                      <w:shd w:val="clear" w:color="auto" w:fill="auto"/>
                    </w:rPr>
                  </w:pPr>
                </w:p>
              </w:tc>
              <w:tc>
                <w:tcPr>
                  <w:tcW w:w="2109" w:type="dxa"/>
                  <w:vMerge w:val="continue"/>
                  <w:tcBorders>
                    <w:tl2br w:val="nil"/>
                    <w:tr2bl w:val="nil"/>
                  </w:tcBorders>
                  <w:shd w:val="clear" w:color="auto" w:fill="auto"/>
                  <w:vAlign w:val="center"/>
                </w:tcPr>
                <w:p w14:paraId="2E23C61B">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ascii="Times New Roman" w:hAnsi="Times New Roman" w:eastAsia="宋体"/>
                      <w:color w:val="auto"/>
                      <w:spacing w:val="15"/>
                      <w:sz w:val="21"/>
                      <w:szCs w:val="21"/>
                      <w:highlight w:val="yellow"/>
                      <w:shd w:val="clear" w:color="auto" w:fill="auto"/>
                    </w:rPr>
                  </w:pPr>
                </w:p>
              </w:tc>
              <w:tc>
                <w:tcPr>
                  <w:tcW w:w="2950" w:type="dxa"/>
                  <w:tcBorders>
                    <w:tl2br w:val="nil"/>
                    <w:tr2bl w:val="nil"/>
                  </w:tcBorders>
                  <w:shd w:val="clear" w:color="auto" w:fill="auto"/>
                  <w:vAlign w:val="center"/>
                </w:tcPr>
                <w:p w14:paraId="43979F5D">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Times New Roman" w:hAnsi="Times New Roman" w:eastAsia="宋体" w:cs="宋体"/>
                      <w:color w:val="auto"/>
                      <w:spacing w:val="15"/>
                      <w:kern w:val="2"/>
                      <w:sz w:val="21"/>
                      <w:szCs w:val="21"/>
                      <w:highlight w:val="yellow"/>
                      <w:shd w:val="clear" w:color="auto" w:fill="auto"/>
                      <w:lang w:val="en-US" w:eastAsia="en-US" w:bidi="ar-SA"/>
                    </w:rPr>
                  </w:pPr>
                  <w:r>
                    <w:rPr>
                      <w:rFonts w:hint="eastAsia" w:ascii="Times New Roman" w:hAnsi="Times New Roman" w:eastAsia="宋体"/>
                      <w:color w:val="auto"/>
                      <w:spacing w:val="15"/>
                      <w:sz w:val="21"/>
                      <w:szCs w:val="21"/>
                      <w:highlight w:val="none"/>
                      <w:shd w:val="clear" w:color="auto" w:fill="auto"/>
                      <w:lang w:val="en-US" w:eastAsia="zh-CN"/>
                    </w:rPr>
                    <w:t>6F</w:t>
                  </w:r>
                  <w:r>
                    <w:rPr>
                      <w:rFonts w:hint="eastAsia" w:ascii="Times New Roman" w:hAnsi="Times New Roman"/>
                      <w:color w:val="auto"/>
                      <w:spacing w:val="15"/>
                      <w:sz w:val="21"/>
                      <w:szCs w:val="21"/>
                      <w:highlight w:val="none"/>
                      <w:shd w:val="clear" w:color="auto" w:fill="auto"/>
                      <w:lang w:val="en-US" w:eastAsia="zh-CN"/>
                    </w:rPr>
                    <w:t>行政办公区</w:t>
                  </w:r>
                </w:p>
              </w:tc>
              <w:tc>
                <w:tcPr>
                  <w:tcW w:w="2177" w:type="dxa"/>
                  <w:vMerge w:val="continue"/>
                  <w:tcBorders>
                    <w:tl2br w:val="nil"/>
                    <w:tr2bl w:val="nil"/>
                  </w:tcBorders>
                  <w:shd w:val="clear" w:color="auto" w:fill="auto"/>
                  <w:vAlign w:val="center"/>
                </w:tcPr>
                <w:p w14:paraId="7859581F">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ascii="Times New Roman" w:hAnsi="Times New Roman" w:eastAsia="宋体"/>
                      <w:color w:val="auto"/>
                      <w:spacing w:val="15"/>
                      <w:sz w:val="21"/>
                      <w:szCs w:val="21"/>
                      <w:highlight w:val="yellow"/>
                      <w:shd w:val="clear" w:color="auto" w:fill="auto"/>
                    </w:rPr>
                  </w:pPr>
                </w:p>
              </w:tc>
            </w:tr>
            <w:tr w14:paraId="4C4CA2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318" w:type="dxa"/>
                <w:trHeight w:val="90" w:hRule="atLeast"/>
              </w:trPr>
              <w:tc>
                <w:tcPr>
                  <w:tcW w:w="1436" w:type="dxa"/>
                  <w:vMerge w:val="continue"/>
                  <w:tcBorders>
                    <w:tl2br w:val="nil"/>
                    <w:tr2bl w:val="nil"/>
                  </w:tcBorders>
                  <w:shd w:val="clear" w:color="auto" w:fill="auto"/>
                  <w:vAlign w:val="center"/>
                </w:tcPr>
                <w:p w14:paraId="7F6B07BA">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ascii="Times New Roman" w:hAnsi="Times New Roman" w:eastAsia="宋体"/>
                      <w:color w:val="auto"/>
                      <w:spacing w:val="15"/>
                      <w:sz w:val="21"/>
                      <w:szCs w:val="21"/>
                      <w:highlight w:val="yellow"/>
                      <w:shd w:val="clear" w:color="auto" w:fill="auto"/>
                    </w:rPr>
                  </w:pPr>
                </w:p>
              </w:tc>
              <w:tc>
                <w:tcPr>
                  <w:tcW w:w="2109" w:type="dxa"/>
                  <w:vMerge w:val="continue"/>
                  <w:tcBorders>
                    <w:tl2br w:val="nil"/>
                    <w:tr2bl w:val="nil"/>
                  </w:tcBorders>
                  <w:shd w:val="clear" w:color="auto" w:fill="auto"/>
                  <w:vAlign w:val="center"/>
                </w:tcPr>
                <w:p w14:paraId="0A1D2CD7">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ascii="Times New Roman" w:hAnsi="Times New Roman" w:eastAsia="宋体"/>
                      <w:color w:val="auto"/>
                      <w:spacing w:val="15"/>
                      <w:sz w:val="21"/>
                      <w:szCs w:val="21"/>
                      <w:highlight w:val="yellow"/>
                      <w:shd w:val="clear" w:color="auto" w:fill="auto"/>
                    </w:rPr>
                  </w:pPr>
                </w:p>
              </w:tc>
              <w:tc>
                <w:tcPr>
                  <w:tcW w:w="2950" w:type="dxa"/>
                  <w:tcBorders>
                    <w:tl2br w:val="nil"/>
                    <w:tr2bl w:val="nil"/>
                  </w:tcBorders>
                  <w:shd w:val="clear" w:color="auto" w:fill="auto"/>
                  <w:vAlign w:val="center"/>
                </w:tcPr>
                <w:p w14:paraId="1280EFA8">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Times New Roman" w:hAnsi="Times New Roman" w:eastAsia="宋体" w:cs="宋体"/>
                      <w:color w:val="auto"/>
                      <w:spacing w:val="15"/>
                      <w:kern w:val="2"/>
                      <w:sz w:val="21"/>
                      <w:szCs w:val="21"/>
                      <w:highlight w:val="yellow"/>
                      <w:shd w:val="clear" w:color="auto" w:fill="auto"/>
                      <w:lang w:val="en-US" w:eastAsia="en-US" w:bidi="ar-SA"/>
                    </w:rPr>
                  </w:pPr>
                  <w:r>
                    <w:rPr>
                      <w:rFonts w:hint="eastAsia" w:ascii="Times New Roman" w:hAnsi="Times New Roman" w:eastAsia="宋体"/>
                      <w:color w:val="auto"/>
                      <w:spacing w:val="15"/>
                      <w:sz w:val="21"/>
                      <w:szCs w:val="21"/>
                      <w:highlight w:val="none"/>
                      <w:shd w:val="clear" w:color="auto" w:fill="auto"/>
                      <w:lang w:val="en-US" w:eastAsia="zh-CN"/>
                    </w:rPr>
                    <w:t>7F</w:t>
                  </w:r>
                  <w:r>
                    <w:rPr>
                      <w:rFonts w:hint="eastAsia" w:ascii="Times New Roman" w:hAnsi="Times New Roman"/>
                      <w:color w:val="auto"/>
                      <w:spacing w:val="15"/>
                      <w:sz w:val="21"/>
                      <w:szCs w:val="21"/>
                      <w:highlight w:val="none"/>
                      <w:shd w:val="clear" w:color="auto" w:fill="auto"/>
                      <w:lang w:val="en-US" w:eastAsia="zh-CN"/>
                    </w:rPr>
                    <w:t>、</w:t>
                  </w:r>
                  <w:r>
                    <w:rPr>
                      <w:rFonts w:hint="eastAsia" w:ascii="Times New Roman" w:hAnsi="Times New Roman" w:eastAsia="宋体"/>
                      <w:color w:val="auto"/>
                      <w:spacing w:val="15"/>
                      <w:sz w:val="21"/>
                      <w:szCs w:val="21"/>
                      <w:highlight w:val="none"/>
                      <w:shd w:val="clear" w:color="auto" w:fill="auto"/>
                      <w:lang w:val="en-US" w:eastAsia="zh-CN"/>
                    </w:rPr>
                    <w:t>8F</w:t>
                  </w:r>
                  <w:r>
                    <w:rPr>
                      <w:rFonts w:hint="eastAsia" w:ascii="Times New Roman" w:hAnsi="Times New Roman"/>
                      <w:color w:val="auto"/>
                      <w:spacing w:val="15"/>
                      <w:sz w:val="21"/>
                      <w:szCs w:val="21"/>
                      <w:highlight w:val="none"/>
                      <w:shd w:val="clear" w:color="auto" w:fill="auto"/>
                      <w:lang w:val="en-US" w:eastAsia="zh-CN"/>
                    </w:rPr>
                    <w:t>、</w:t>
                  </w:r>
                  <w:r>
                    <w:rPr>
                      <w:rFonts w:hint="eastAsia" w:ascii="Times New Roman" w:hAnsi="Times New Roman" w:eastAsia="宋体"/>
                      <w:color w:val="auto"/>
                      <w:spacing w:val="15"/>
                      <w:sz w:val="21"/>
                      <w:szCs w:val="21"/>
                      <w:highlight w:val="none"/>
                      <w:shd w:val="clear" w:color="auto" w:fill="auto"/>
                      <w:lang w:val="en-US" w:eastAsia="zh-CN"/>
                    </w:rPr>
                    <w:t>9F</w:t>
                  </w:r>
                  <w:r>
                    <w:rPr>
                      <w:rFonts w:hint="eastAsia" w:ascii="Times New Roman" w:hAnsi="Times New Roman"/>
                      <w:color w:val="auto"/>
                      <w:spacing w:val="15"/>
                      <w:sz w:val="21"/>
                      <w:szCs w:val="21"/>
                      <w:highlight w:val="none"/>
                      <w:shd w:val="clear" w:color="auto" w:fill="auto"/>
                      <w:lang w:val="en-US" w:eastAsia="zh-CN"/>
                    </w:rPr>
                    <w:t>住院部</w:t>
                  </w:r>
                </w:p>
              </w:tc>
              <w:tc>
                <w:tcPr>
                  <w:tcW w:w="2177" w:type="dxa"/>
                  <w:vMerge w:val="continue"/>
                  <w:tcBorders>
                    <w:tl2br w:val="nil"/>
                    <w:tr2bl w:val="nil"/>
                  </w:tcBorders>
                  <w:shd w:val="clear" w:color="auto" w:fill="auto"/>
                  <w:vAlign w:val="center"/>
                </w:tcPr>
                <w:p w14:paraId="05342B9E">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ascii="Times New Roman" w:hAnsi="Times New Roman" w:eastAsia="宋体"/>
                      <w:color w:val="auto"/>
                      <w:spacing w:val="15"/>
                      <w:sz w:val="21"/>
                      <w:szCs w:val="21"/>
                      <w:highlight w:val="yellow"/>
                      <w:shd w:val="clear" w:color="auto" w:fill="auto"/>
                    </w:rPr>
                  </w:pPr>
                </w:p>
              </w:tc>
            </w:tr>
            <w:tr w14:paraId="49872E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318" w:type="dxa"/>
              </w:trPr>
              <w:tc>
                <w:tcPr>
                  <w:tcW w:w="1436" w:type="dxa"/>
                  <w:vMerge w:val="continue"/>
                  <w:tcBorders>
                    <w:tl2br w:val="nil"/>
                    <w:tr2bl w:val="nil"/>
                  </w:tcBorders>
                  <w:shd w:val="clear" w:color="auto" w:fill="auto"/>
                  <w:vAlign w:val="center"/>
                </w:tcPr>
                <w:p w14:paraId="341E297C">
                  <w:pPr>
                    <w:pStyle w:val="115"/>
                    <w:keepNext w:val="0"/>
                    <w:keepLines w:val="0"/>
                    <w:pageBreakBefore w:val="0"/>
                    <w:widowControl w:val="0"/>
                    <w:kinsoku/>
                    <w:wordWrap/>
                    <w:overflowPunct/>
                    <w:topLinePunct w:val="0"/>
                    <w:bidi w:val="0"/>
                    <w:adjustRightInd/>
                    <w:snapToGrid/>
                    <w:spacing w:line="240" w:lineRule="auto"/>
                    <w:ind w:left="0" w:leftChars="0" w:right="0" w:firstLine="0" w:firstLineChars="0"/>
                    <w:jc w:val="center"/>
                    <w:textAlignment w:val="auto"/>
                    <w:rPr>
                      <w:rFonts w:ascii="Times New Roman" w:hAnsi="Times New Roman" w:eastAsia="宋体"/>
                      <w:color w:val="auto"/>
                      <w:spacing w:val="3"/>
                      <w:sz w:val="21"/>
                      <w:szCs w:val="21"/>
                      <w:shd w:val="clear" w:color="auto" w:fill="auto"/>
                    </w:rPr>
                  </w:pPr>
                </w:p>
              </w:tc>
              <w:tc>
                <w:tcPr>
                  <w:tcW w:w="2109" w:type="dxa"/>
                  <w:tcBorders>
                    <w:tl2br w:val="nil"/>
                    <w:tr2bl w:val="nil"/>
                  </w:tcBorders>
                  <w:shd w:val="clear" w:color="auto" w:fill="auto"/>
                  <w:vAlign w:val="center"/>
                </w:tcPr>
                <w:p w14:paraId="2AF3CCED">
                  <w:pPr>
                    <w:pStyle w:val="115"/>
                    <w:keepNext w:val="0"/>
                    <w:keepLines w:val="0"/>
                    <w:pageBreakBefore w:val="0"/>
                    <w:widowControl w:val="0"/>
                    <w:kinsoku/>
                    <w:wordWrap/>
                    <w:overflowPunct/>
                    <w:topLinePunct w:val="0"/>
                    <w:bidi w:val="0"/>
                    <w:adjustRightInd/>
                    <w:snapToGrid/>
                    <w:spacing w:line="240" w:lineRule="auto"/>
                    <w:ind w:left="0" w:leftChars="0" w:right="0" w:firstLine="0" w:firstLineChars="0"/>
                    <w:jc w:val="center"/>
                    <w:textAlignment w:val="auto"/>
                    <w:rPr>
                      <w:rFonts w:hint="default" w:ascii="Times New Roman" w:hAnsi="Times New Roman" w:eastAsia="宋体"/>
                      <w:color w:val="auto"/>
                      <w:spacing w:val="6"/>
                      <w:sz w:val="21"/>
                      <w:szCs w:val="21"/>
                      <w:shd w:val="clear" w:color="auto" w:fill="auto"/>
                      <w:lang w:val="en-US" w:eastAsia="zh-CN"/>
                    </w:rPr>
                  </w:pPr>
                  <w:r>
                    <w:rPr>
                      <w:rFonts w:hint="default" w:ascii="Times New Roman" w:hAnsi="Times New Roman" w:eastAsia="宋体"/>
                      <w:color w:val="auto"/>
                      <w:spacing w:val="6"/>
                      <w:sz w:val="21"/>
                      <w:szCs w:val="21"/>
                      <w:shd w:val="clear" w:color="auto" w:fill="auto"/>
                      <w:lang w:val="en-US" w:eastAsia="zh-CN"/>
                    </w:rPr>
                    <w:t>负压病房大楼</w:t>
                  </w:r>
                </w:p>
              </w:tc>
              <w:tc>
                <w:tcPr>
                  <w:tcW w:w="2950" w:type="dxa"/>
                  <w:tcBorders>
                    <w:tl2br w:val="nil"/>
                    <w:tr2bl w:val="nil"/>
                  </w:tcBorders>
                  <w:shd w:val="clear" w:color="auto" w:fill="auto"/>
                  <w:vAlign w:val="center"/>
                </w:tcPr>
                <w:p w14:paraId="0BDDE0F5">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default" w:ascii="Times New Roman" w:hAnsi="Times New Roman" w:eastAsia="宋体" w:cs="宋体"/>
                      <w:color w:val="auto"/>
                      <w:kern w:val="2"/>
                      <w:sz w:val="21"/>
                      <w:szCs w:val="21"/>
                      <w:shd w:val="clear" w:color="auto" w:fill="auto"/>
                      <w:lang w:val="en-US" w:eastAsia="zh-CN" w:bidi="ar-SA"/>
                    </w:rPr>
                  </w:pPr>
                  <w:r>
                    <w:rPr>
                      <w:rFonts w:hint="eastAsia" w:ascii="Times New Roman" w:hAnsi="Times New Roman" w:eastAsia="宋体" w:cs="宋体"/>
                      <w:color w:val="auto"/>
                      <w:kern w:val="2"/>
                      <w:sz w:val="21"/>
                      <w:szCs w:val="21"/>
                      <w:shd w:val="clear" w:color="auto" w:fill="auto"/>
                      <w:lang w:val="en-US" w:eastAsia="zh-CN" w:bidi="ar-SA"/>
                    </w:rPr>
                    <w:t>空置预留</w:t>
                  </w:r>
                </w:p>
              </w:tc>
              <w:tc>
                <w:tcPr>
                  <w:tcW w:w="2177" w:type="dxa"/>
                  <w:tcBorders>
                    <w:tl2br w:val="nil"/>
                    <w:tr2bl w:val="nil"/>
                  </w:tcBorders>
                  <w:shd w:val="clear" w:color="auto" w:fill="auto"/>
                  <w:vAlign w:val="center"/>
                </w:tcPr>
                <w:p w14:paraId="2BD9F685">
                  <w:pPr>
                    <w:pStyle w:val="115"/>
                    <w:keepNext w:val="0"/>
                    <w:keepLines w:val="0"/>
                    <w:pageBreakBefore w:val="0"/>
                    <w:widowControl w:val="0"/>
                    <w:kinsoku/>
                    <w:wordWrap/>
                    <w:overflowPunct/>
                    <w:topLinePunct w:val="0"/>
                    <w:bidi w:val="0"/>
                    <w:adjustRightInd/>
                    <w:snapToGrid/>
                    <w:spacing w:line="240" w:lineRule="auto"/>
                    <w:ind w:left="0" w:leftChars="0" w:right="0" w:firstLine="0" w:firstLineChars="0"/>
                    <w:jc w:val="center"/>
                    <w:textAlignment w:val="auto"/>
                    <w:rPr>
                      <w:rFonts w:hint="eastAsia" w:ascii="Times New Roman" w:hAnsi="Times New Roman" w:eastAsia="宋体"/>
                      <w:color w:val="auto"/>
                      <w:spacing w:val="4"/>
                      <w:sz w:val="21"/>
                      <w:szCs w:val="21"/>
                      <w:shd w:val="clear" w:color="auto" w:fill="auto"/>
                      <w:lang w:val="en-US" w:eastAsia="zh-CN"/>
                    </w:rPr>
                  </w:pPr>
                  <w:r>
                    <w:rPr>
                      <w:rFonts w:hint="eastAsia" w:ascii="Times New Roman" w:hAnsi="Times New Roman"/>
                      <w:color w:val="auto"/>
                      <w:spacing w:val="4"/>
                      <w:sz w:val="21"/>
                      <w:szCs w:val="21"/>
                      <w:shd w:val="clear" w:color="auto" w:fill="auto"/>
                      <w:lang w:val="en-US" w:eastAsia="zh-CN"/>
                    </w:rPr>
                    <w:t>/</w:t>
                  </w:r>
                </w:p>
              </w:tc>
            </w:tr>
            <w:tr w14:paraId="4F91F76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318" w:type="dxa"/>
              </w:trPr>
              <w:tc>
                <w:tcPr>
                  <w:tcW w:w="1436" w:type="dxa"/>
                  <w:vMerge w:val="restart"/>
                  <w:tcBorders>
                    <w:tl2br w:val="nil"/>
                    <w:tr2bl w:val="nil"/>
                  </w:tcBorders>
                  <w:shd w:val="clear" w:color="auto" w:fill="auto"/>
                  <w:vAlign w:val="center"/>
                </w:tcPr>
                <w:p w14:paraId="678B3A65">
                  <w:pPr>
                    <w:pStyle w:val="115"/>
                    <w:keepNext w:val="0"/>
                    <w:keepLines w:val="0"/>
                    <w:pageBreakBefore w:val="0"/>
                    <w:widowControl w:val="0"/>
                    <w:kinsoku/>
                    <w:wordWrap/>
                    <w:overflowPunct/>
                    <w:topLinePunct w:val="0"/>
                    <w:bidi w:val="0"/>
                    <w:adjustRightInd/>
                    <w:snapToGrid/>
                    <w:spacing w:line="240" w:lineRule="auto"/>
                    <w:ind w:left="0" w:leftChars="0" w:right="0" w:firstLine="0" w:firstLineChars="0"/>
                    <w:jc w:val="center"/>
                    <w:textAlignment w:val="auto"/>
                    <w:rPr>
                      <w:rFonts w:hint="eastAsia" w:ascii="Times New Roman" w:hAnsi="Times New Roman" w:eastAsia="宋体" w:cs="宋体"/>
                      <w:color w:val="auto"/>
                      <w:kern w:val="2"/>
                      <w:sz w:val="21"/>
                      <w:szCs w:val="21"/>
                      <w:shd w:val="clear" w:color="auto" w:fill="auto"/>
                      <w:lang w:val="en-US" w:eastAsia="zh-CN" w:bidi="ar-SA"/>
                    </w:rPr>
                  </w:pPr>
                  <w:r>
                    <w:rPr>
                      <w:rFonts w:hint="eastAsia" w:ascii="Times New Roman" w:hAnsi="Times New Roman" w:eastAsia="宋体" w:cs="宋体"/>
                      <w:color w:val="auto"/>
                      <w:kern w:val="2"/>
                      <w:sz w:val="21"/>
                      <w:szCs w:val="21"/>
                      <w:shd w:val="clear" w:color="auto" w:fill="auto"/>
                      <w:lang w:val="en-US" w:eastAsia="zh-CN" w:bidi="ar-SA"/>
                    </w:rPr>
                    <w:t>辅助</w:t>
                  </w:r>
                </w:p>
                <w:p w14:paraId="622AFF08">
                  <w:pPr>
                    <w:pStyle w:val="115"/>
                    <w:keepNext w:val="0"/>
                    <w:keepLines w:val="0"/>
                    <w:pageBreakBefore w:val="0"/>
                    <w:widowControl w:val="0"/>
                    <w:kinsoku/>
                    <w:wordWrap/>
                    <w:overflowPunct/>
                    <w:topLinePunct w:val="0"/>
                    <w:bidi w:val="0"/>
                    <w:adjustRightInd/>
                    <w:snapToGrid/>
                    <w:spacing w:line="240" w:lineRule="auto"/>
                    <w:ind w:left="0" w:leftChars="0" w:right="0" w:firstLine="0" w:firstLineChars="0"/>
                    <w:jc w:val="center"/>
                    <w:textAlignment w:val="auto"/>
                    <w:rPr>
                      <w:rFonts w:hint="default" w:ascii="Times New Roman" w:hAnsi="Times New Roman" w:eastAsia="宋体" w:cs="宋体"/>
                      <w:color w:val="auto"/>
                      <w:kern w:val="2"/>
                      <w:sz w:val="21"/>
                      <w:szCs w:val="21"/>
                      <w:shd w:val="clear" w:color="auto" w:fill="auto"/>
                      <w:lang w:val="en-US" w:eastAsia="zh-CN" w:bidi="ar-SA"/>
                    </w:rPr>
                  </w:pPr>
                  <w:r>
                    <w:rPr>
                      <w:rFonts w:hint="eastAsia" w:ascii="Times New Roman" w:hAnsi="Times New Roman" w:eastAsia="宋体" w:cs="宋体"/>
                      <w:color w:val="auto"/>
                      <w:kern w:val="2"/>
                      <w:sz w:val="21"/>
                      <w:szCs w:val="21"/>
                      <w:shd w:val="clear" w:color="auto" w:fill="auto"/>
                      <w:lang w:val="en-US" w:eastAsia="zh-CN" w:bidi="ar-SA"/>
                    </w:rPr>
                    <w:t>工程</w:t>
                  </w:r>
                </w:p>
              </w:tc>
              <w:tc>
                <w:tcPr>
                  <w:tcW w:w="2109" w:type="dxa"/>
                  <w:tcBorders>
                    <w:tl2br w:val="nil"/>
                    <w:tr2bl w:val="nil"/>
                  </w:tcBorders>
                  <w:shd w:val="clear" w:color="auto" w:fill="auto"/>
                  <w:vAlign w:val="center"/>
                </w:tcPr>
                <w:p w14:paraId="31399A2B">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宋体"/>
                      <w:color w:val="auto"/>
                      <w:kern w:val="2"/>
                      <w:sz w:val="21"/>
                      <w:szCs w:val="21"/>
                      <w:shd w:val="clear" w:color="auto" w:fill="auto"/>
                      <w:lang w:val="en-US" w:eastAsia="zh-CN" w:bidi="ar-SA"/>
                    </w:rPr>
                  </w:pPr>
                  <w:r>
                    <w:rPr>
                      <w:rFonts w:hint="eastAsia" w:ascii="Times New Roman" w:hAnsi="Times New Roman" w:eastAsia="宋体"/>
                      <w:color w:val="auto"/>
                      <w:spacing w:val="6"/>
                      <w:sz w:val="21"/>
                      <w:szCs w:val="21"/>
                      <w:shd w:val="clear" w:color="auto" w:fill="auto"/>
                      <w:lang w:eastAsia="zh-CN"/>
                    </w:rPr>
                    <w:t>危废贮存库</w:t>
                  </w:r>
                </w:p>
              </w:tc>
              <w:tc>
                <w:tcPr>
                  <w:tcW w:w="2950" w:type="dxa"/>
                  <w:tcBorders>
                    <w:tl2br w:val="nil"/>
                    <w:tr2bl w:val="nil"/>
                  </w:tcBorders>
                  <w:shd w:val="clear" w:color="auto" w:fill="auto"/>
                  <w:vAlign w:val="center"/>
                </w:tcPr>
                <w:p w14:paraId="613400F8">
                  <w:pPr>
                    <w:pStyle w:val="115"/>
                    <w:keepNext w:val="0"/>
                    <w:keepLines w:val="0"/>
                    <w:pageBreakBefore w:val="0"/>
                    <w:widowControl w:val="0"/>
                    <w:kinsoku/>
                    <w:wordWrap/>
                    <w:overflowPunct/>
                    <w:topLinePunct w:val="0"/>
                    <w:bidi w:val="0"/>
                    <w:adjustRightInd/>
                    <w:snapToGrid/>
                    <w:spacing w:line="240" w:lineRule="auto"/>
                    <w:ind w:left="0" w:leftChars="0" w:right="0" w:rightChars="0" w:firstLine="0" w:firstLineChars="0"/>
                    <w:jc w:val="center"/>
                    <w:textAlignment w:val="auto"/>
                    <w:rPr>
                      <w:rFonts w:ascii="Times New Roman" w:hAnsi="Times New Roman" w:eastAsia="宋体" w:cs="宋体"/>
                      <w:color w:val="auto"/>
                      <w:kern w:val="2"/>
                      <w:sz w:val="21"/>
                      <w:szCs w:val="21"/>
                      <w:highlight w:val="none"/>
                      <w:shd w:val="clear" w:color="auto" w:fill="auto"/>
                      <w:lang w:val="en-US" w:eastAsia="en-US" w:bidi="ar-SA"/>
                    </w:rPr>
                  </w:pPr>
                  <w:r>
                    <w:rPr>
                      <w:rFonts w:ascii="Times New Roman" w:hAnsi="Times New Roman" w:eastAsia="宋体"/>
                      <w:color w:val="auto"/>
                      <w:spacing w:val="10"/>
                      <w:position w:val="1"/>
                      <w:sz w:val="21"/>
                      <w:szCs w:val="21"/>
                      <w:highlight w:val="none"/>
                      <w:shd w:val="clear" w:color="auto" w:fill="auto"/>
                    </w:rPr>
                    <w:t>位于</w:t>
                  </w:r>
                  <w:r>
                    <w:rPr>
                      <w:rFonts w:hint="eastAsia" w:ascii="Times New Roman" w:hAnsi="Times New Roman"/>
                      <w:color w:val="auto"/>
                      <w:spacing w:val="10"/>
                      <w:position w:val="1"/>
                      <w:sz w:val="21"/>
                      <w:szCs w:val="21"/>
                      <w:highlight w:val="none"/>
                      <w:shd w:val="clear" w:color="auto" w:fill="auto"/>
                      <w:lang w:val="en-US" w:eastAsia="zh-CN"/>
                    </w:rPr>
                    <w:t>1</w:t>
                  </w:r>
                  <w:r>
                    <w:rPr>
                      <w:rFonts w:hint="default" w:ascii="Times New Roman" w:hAnsi="Times New Roman" w:eastAsia="宋体" w:cs="宋体"/>
                      <w:color w:val="auto"/>
                      <w:kern w:val="2"/>
                      <w:sz w:val="21"/>
                      <w:szCs w:val="21"/>
                      <w:shd w:val="clear" w:color="auto" w:fill="auto"/>
                      <w:lang w:val="en-US" w:eastAsia="zh-CN" w:bidi="ar-SA"/>
                    </w:rPr>
                    <w:t>#楼</w:t>
                  </w:r>
                  <w:r>
                    <w:rPr>
                      <w:rFonts w:hint="eastAsia" w:ascii="Times New Roman" w:hAnsi="Times New Roman" w:eastAsia="宋体"/>
                      <w:color w:val="auto"/>
                      <w:spacing w:val="10"/>
                      <w:position w:val="1"/>
                      <w:sz w:val="21"/>
                      <w:szCs w:val="21"/>
                      <w:highlight w:val="none"/>
                      <w:shd w:val="clear" w:color="auto" w:fill="auto"/>
                    </w:rPr>
                    <w:t>西侧面</w:t>
                  </w:r>
                </w:p>
              </w:tc>
              <w:tc>
                <w:tcPr>
                  <w:tcW w:w="2177" w:type="dxa"/>
                  <w:tcBorders>
                    <w:tl2br w:val="nil"/>
                    <w:tr2bl w:val="nil"/>
                  </w:tcBorders>
                  <w:shd w:val="clear" w:color="auto" w:fill="auto"/>
                  <w:vAlign w:val="center"/>
                </w:tcPr>
                <w:p w14:paraId="7A52C062">
                  <w:pPr>
                    <w:pStyle w:val="115"/>
                    <w:keepNext w:val="0"/>
                    <w:keepLines w:val="0"/>
                    <w:pageBreakBefore w:val="0"/>
                    <w:widowControl w:val="0"/>
                    <w:kinsoku/>
                    <w:wordWrap/>
                    <w:overflowPunct/>
                    <w:topLinePunct w:val="0"/>
                    <w:bidi w:val="0"/>
                    <w:adjustRightInd/>
                    <w:snapToGrid/>
                    <w:spacing w:line="240" w:lineRule="auto"/>
                    <w:ind w:left="0" w:right="0" w:firstLine="0"/>
                    <w:jc w:val="center"/>
                    <w:textAlignment w:val="auto"/>
                    <w:rPr>
                      <w:rFonts w:hint="eastAsia" w:ascii="Times New Roman" w:hAnsi="Times New Roman" w:eastAsia="宋体" w:cs="宋体"/>
                      <w:color w:val="auto"/>
                      <w:kern w:val="2"/>
                      <w:sz w:val="21"/>
                      <w:szCs w:val="21"/>
                      <w:shd w:val="clear" w:color="auto" w:fill="auto"/>
                      <w:lang w:val="en-US" w:eastAsia="zh-CN" w:bidi="ar-SA"/>
                    </w:rPr>
                  </w:pPr>
                  <w:r>
                    <w:rPr>
                      <w:rFonts w:hint="eastAsia" w:ascii="Times New Roman" w:hAnsi="Times New Roman" w:cs="宋体"/>
                      <w:color w:val="auto"/>
                      <w:kern w:val="2"/>
                      <w:sz w:val="21"/>
                      <w:szCs w:val="21"/>
                      <w:shd w:val="clear" w:color="auto" w:fill="auto"/>
                      <w:lang w:val="en-US" w:eastAsia="zh-CN" w:bidi="ar-SA"/>
                    </w:rPr>
                    <w:t>新建</w:t>
                  </w:r>
                </w:p>
              </w:tc>
            </w:tr>
            <w:tr w14:paraId="3AACC8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318" w:type="dxa"/>
              </w:trPr>
              <w:tc>
                <w:tcPr>
                  <w:tcW w:w="1436" w:type="dxa"/>
                  <w:vMerge w:val="continue"/>
                  <w:tcBorders>
                    <w:tl2br w:val="nil"/>
                    <w:tr2bl w:val="nil"/>
                  </w:tcBorders>
                  <w:vAlign w:val="center"/>
                </w:tcPr>
                <w:p w14:paraId="77BF7EB3">
                  <w:pPr>
                    <w:pStyle w:val="46"/>
                    <w:keepNext w:val="0"/>
                    <w:keepLines w:val="0"/>
                    <w:pageBreakBefore w:val="0"/>
                    <w:widowControl w:val="0"/>
                    <w:kinsoku/>
                    <w:wordWrap/>
                    <w:overflowPunct/>
                    <w:topLinePunct w:val="0"/>
                    <w:bidi w:val="0"/>
                    <w:adjustRightInd/>
                    <w:snapToGrid/>
                    <w:spacing w:line="240" w:lineRule="auto"/>
                    <w:ind w:left="0" w:right="0" w:firstLine="0" w:firstLineChars="0"/>
                    <w:jc w:val="center"/>
                    <w:textAlignment w:val="auto"/>
                    <w:rPr>
                      <w:rFonts w:ascii="Times New Roman" w:hAnsi="Times New Roman" w:eastAsia="宋体"/>
                      <w:color w:val="auto"/>
                      <w:sz w:val="21"/>
                      <w:szCs w:val="21"/>
                      <w:highlight w:val="none"/>
                      <w:shd w:val="clear" w:color="auto" w:fill="auto"/>
                      <w:vertAlign w:val="baseline"/>
                    </w:rPr>
                  </w:pPr>
                </w:p>
              </w:tc>
              <w:tc>
                <w:tcPr>
                  <w:tcW w:w="2109" w:type="dxa"/>
                  <w:tcBorders>
                    <w:tl2br w:val="nil"/>
                    <w:tr2bl w:val="nil"/>
                  </w:tcBorders>
                  <w:shd w:val="clear" w:color="auto" w:fill="auto"/>
                  <w:vAlign w:val="center"/>
                </w:tcPr>
                <w:p w14:paraId="77329633">
                  <w:pPr>
                    <w:pStyle w:val="115"/>
                    <w:keepNext w:val="0"/>
                    <w:keepLines w:val="0"/>
                    <w:pageBreakBefore w:val="0"/>
                    <w:widowControl w:val="0"/>
                    <w:kinsoku/>
                    <w:wordWrap/>
                    <w:overflowPunct/>
                    <w:topLinePunct w:val="0"/>
                    <w:bidi w:val="0"/>
                    <w:adjustRightInd/>
                    <w:snapToGrid/>
                    <w:spacing w:line="240" w:lineRule="auto"/>
                    <w:ind w:left="0" w:right="0" w:firstLine="0" w:firstLineChars="0"/>
                    <w:jc w:val="center"/>
                    <w:textAlignment w:val="auto"/>
                    <w:rPr>
                      <w:rFonts w:hint="default" w:ascii="Times New Roman" w:hAnsi="Times New Roman" w:eastAsia="宋体" w:cs="宋体"/>
                      <w:color w:val="auto"/>
                      <w:kern w:val="2"/>
                      <w:sz w:val="21"/>
                      <w:szCs w:val="21"/>
                      <w:shd w:val="clear" w:color="auto" w:fill="auto"/>
                      <w:lang w:val="en-US" w:eastAsia="zh-CN" w:bidi="ar-SA"/>
                    </w:rPr>
                  </w:pPr>
                  <w:r>
                    <w:rPr>
                      <w:rFonts w:hint="eastAsia" w:ascii="Times New Roman" w:hAnsi="Times New Roman" w:eastAsia="宋体" w:cs="宋体"/>
                      <w:color w:val="auto"/>
                      <w:kern w:val="2"/>
                      <w:sz w:val="21"/>
                      <w:szCs w:val="21"/>
                      <w:shd w:val="clear" w:color="auto" w:fill="auto"/>
                      <w:lang w:val="en-US" w:eastAsia="zh-CN" w:bidi="ar-SA"/>
                    </w:rPr>
                    <w:t>一般固体废物储存库</w:t>
                  </w:r>
                </w:p>
              </w:tc>
              <w:tc>
                <w:tcPr>
                  <w:tcW w:w="2950" w:type="dxa"/>
                  <w:tcBorders>
                    <w:tl2br w:val="nil"/>
                    <w:tr2bl w:val="nil"/>
                  </w:tcBorders>
                  <w:shd w:val="clear" w:color="auto" w:fill="auto"/>
                  <w:vAlign w:val="center"/>
                </w:tcPr>
                <w:p w14:paraId="6363C0F6">
                  <w:pPr>
                    <w:pStyle w:val="115"/>
                    <w:keepNext w:val="0"/>
                    <w:keepLines w:val="0"/>
                    <w:pageBreakBefore w:val="0"/>
                    <w:widowControl w:val="0"/>
                    <w:kinsoku/>
                    <w:wordWrap/>
                    <w:overflowPunct/>
                    <w:topLinePunct w:val="0"/>
                    <w:bidi w:val="0"/>
                    <w:adjustRightInd/>
                    <w:snapToGrid/>
                    <w:spacing w:line="240" w:lineRule="auto"/>
                    <w:ind w:left="0" w:leftChars="0" w:right="0" w:firstLine="0" w:firstLineChars="0"/>
                    <w:jc w:val="center"/>
                    <w:textAlignment w:val="auto"/>
                    <w:rPr>
                      <w:rFonts w:ascii="Times New Roman" w:hAnsi="Times New Roman" w:eastAsia="宋体" w:cs="宋体"/>
                      <w:color w:val="auto"/>
                      <w:kern w:val="2"/>
                      <w:sz w:val="21"/>
                      <w:szCs w:val="21"/>
                      <w:highlight w:val="none"/>
                      <w:shd w:val="clear" w:color="auto" w:fill="auto"/>
                      <w:lang w:val="en-US" w:eastAsia="en-US" w:bidi="ar-SA"/>
                    </w:rPr>
                  </w:pPr>
                  <w:r>
                    <w:rPr>
                      <w:rFonts w:ascii="Times New Roman" w:hAnsi="Times New Roman" w:eastAsia="宋体"/>
                      <w:color w:val="auto"/>
                      <w:spacing w:val="10"/>
                      <w:position w:val="1"/>
                      <w:sz w:val="21"/>
                      <w:szCs w:val="21"/>
                      <w:highlight w:val="none"/>
                      <w:shd w:val="clear" w:color="auto" w:fill="auto"/>
                    </w:rPr>
                    <w:t>位于</w:t>
                  </w:r>
                  <w:r>
                    <w:rPr>
                      <w:rFonts w:hint="eastAsia" w:ascii="Times New Roman" w:hAnsi="Times New Roman"/>
                      <w:color w:val="auto"/>
                      <w:spacing w:val="10"/>
                      <w:position w:val="1"/>
                      <w:sz w:val="21"/>
                      <w:szCs w:val="21"/>
                      <w:highlight w:val="none"/>
                      <w:shd w:val="clear" w:color="auto" w:fill="auto"/>
                      <w:lang w:val="en-US" w:eastAsia="zh-CN"/>
                    </w:rPr>
                    <w:t>1</w:t>
                  </w:r>
                  <w:r>
                    <w:rPr>
                      <w:rFonts w:hint="default" w:ascii="Times New Roman" w:hAnsi="Times New Roman" w:eastAsia="宋体" w:cs="宋体"/>
                      <w:color w:val="auto"/>
                      <w:kern w:val="2"/>
                      <w:sz w:val="21"/>
                      <w:szCs w:val="21"/>
                      <w:shd w:val="clear" w:color="auto" w:fill="auto"/>
                      <w:lang w:val="en-US" w:eastAsia="zh-CN" w:bidi="ar-SA"/>
                    </w:rPr>
                    <w:t>#楼</w:t>
                  </w:r>
                  <w:r>
                    <w:rPr>
                      <w:rFonts w:hint="eastAsia" w:ascii="Times New Roman" w:hAnsi="Times New Roman" w:eastAsia="宋体"/>
                      <w:color w:val="auto"/>
                      <w:spacing w:val="10"/>
                      <w:position w:val="1"/>
                      <w:sz w:val="21"/>
                      <w:szCs w:val="21"/>
                      <w:highlight w:val="none"/>
                      <w:shd w:val="clear" w:color="auto" w:fill="auto"/>
                    </w:rPr>
                    <w:t>西侧面</w:t>
                  </w:r>
                </w:p>
              </w:tc>
              <w:tc>
                <w:tcPr>
                  <w:tcW w:w="2177" w:type="dxa"/>
                  <w:tcBorders>
                    <w:tl2br w:val="nil"/>
                    <w:tr2bl w:val="nil"/>
                  </w:tcBorders>
                  <w:shd w:val="clear" w:color="auto" w:fill="auto"/>
                  <w:vAlign w:val="center"/>
                </w:tcPr>
                <w:p w14:paraId="24E4E5B3">
                  <w:pPr>
                    <w:pStyle w:val="115"/>
                    <w:keepNext w:val="0"/>
                    <w:keepLines w:val="0"/>
                    <w:pageBreakBefore w:val="0"/>
                    <w:widowControl w:val="0"/>
                    <w:kinsoku/>
                    <w:wordWrap/>
                    <w:overflowPunct/>
                    <w:topLinePunct w:val="0"/>
                    <w:bidi w:val="0"/>
                    <w:adjustRightInd/>
                    <w:snapToGrid/>
                    <w:spacing w:line="240" w:lineRule="auto"/>
                    <w:ind w:left="0" w:right="0" w:firstLine="0" w:firstLineChars="0"/>
                    <w:jc w:val="center"/>
                    <w:textAlignment w:val="auto"/>
                    <w:rPr>
                      <w:rFonts w:ascii="Times New Roman" w:hAnsi="Times New Roman" w:eastAsia="宋体" w:cs="宋体"/>
                      <w:color w:val="auto"/>
                      <w:kern w:val="2"/>
                      <w:sz w:val="21"/>
                      <w:szCs w:val="21"/>
                      <w:shd w:val="clear" w:color="auto" w:fill="auto"/>
                      <w:lang w:val="en-US" w:eastAsia="en-US" w:bidi="ar-SA"/>
                    </w:rPr>
                  </w:pPr>
                  <w:r>
                    <w:rPr>
                      <w:rFonts w:hint="eastAsia" w:ascii="Times New Roman" w:hAnsi="Times New Roman" w:cs="宋体"/>
                      <w:color w:val="auto"/>
                      <w:kern w:val="2"/>
                      <w:sz w:val="21"/>
                      <w:szCs w:val="21"/>
                      <w:shd w:val="clear" w:color="auto" w:fill="auto"/>
                      <w:lang w:val="en-US" w:eastAsia="zh-CN" w:bidi="ar-SA"/>
                    </w:rPr>
                    <w:t>新建</w:t>
                  </w:r>
                </w:p>
              </w:tc>
            </w:tr>
            <w:tr w14:paraId="4EAB07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318" w:type="dxa"/>
              </w:trPr>
              <w:tc>
                <w:tcPr>
                  <w:tcW w:w="1436" w:type="dxa"/>
                  <w:vMerge w:val="restart"/>
                  <w:tcBorders>
                    <w:tl2br w:val="nil"/>
                    <w:tr2bl w:val="nil"/>
                  </w:tcBorders>
                  <w:shd w:val="clear" w:color="auto" w:fill="auto"/>
                  <w:vAlign w:val="center"/>
                </w:tcPr>
                <w:p w14:paraId="43D3A84A">
                  <w:pPr>
                    <w:pStyle w:val="115"/>
                    <w:keepNext w:val="0"/>
                    <w:keepLines w:val="0"/>
                    <w:pageBreakBefore w:val="0"/>
                    <w:widowControl w:val="0"/>
                    <w:kinsoku/>
                    <w:wordWrap/>
                    <w:overflowPunct/>
                    <w:topLinePunct w:val="0"/>
                    <w:bidi w:val="0"/>
                    <w:adjustRightInd/>
                    <w:snapToGrid/>
                    <w:spacing w:line="240" w:lineRule="auto"/>
                    <w:ind w:left="0" w:right="0" w:firstLine="0"/>
                    <w:jc w:val="center"/>
                    <w:textAlignment w:val="auto"/>
                    <w:rPr>
                      <w:rFonts w:ascii="Times New Roman" w:hAnsi="Times New Roman" w:eastAsia="宋体"/>
                      <w:color w:val="auto"/>
                      <w:sz w:val="21"/>
                      <w:szCs w:val="21"/>
                      <w:shd w:val="clear" w:color="auto" w:fill="auto"/>
                    </w:rPr>
                  </w:pPr>
                  <w:r>
                    <w:rPr>
                      <w:rFonts w:ascii="Times New Roman" w:hAnsi="Times New Roman" w:eastAsia="宋体"/>
                      <w:color w:val="auto"/>
                      <w:spacing w:val="1"/>
                      <w:sz w:val="21"/>
                      <w:szCs w:val="21"/>
                      <w:shd w:val="clear" w:color="auto" w:fill="auto"/>
                    </w:rPr>
                    <w:t>公用</w:t>
                  </w:r>
                </w:p>
                <w:p w14:paraId="350FA0D9">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olor w:val="auto"/>
                      <w:sz w:val="21"/>
                      <w:szCs w:val="21"/>
                      <w:highlight w:val="none"/>
                      <w:shd w:val="clear" w:color="auto" w:fill="auto"/>
                      <w:vertAlign w:val="baseline"/>
                    </w:rPr>
                  </w:pPr>
                  <w:r>
                    <w:rPr>
                      <w:rFonts w:ascii="Times New Roman" w:hAnsi="Times New Roman" w:eastAsia="宋体"/>
                      <w:color w:val="auto"/>
                      <w:spacing w:val="3"/>
                      <w:sz w:val="21"/>
                      <w:szCs w:val="21"/>
                      <w:shd w:val="clear" w:color="auto" w:fill="auto"/>
                    </w:rPr>
                    <w:t>工程</w:t>
                  </w:r>
                </w:p>
              </w:tc>
              <w:tc>
                <w:tcPr>
                  <w:tcW w:w="2109" w:type="dxa"/>
                  <w:tcBorders>
                    <w:tl2br w:val="nil"/>
                    <w:tr2bl w:val="nil"/>
                  </w:tcBorders>
                  <w:shd w:val="clear" w:color="auto" w:fill="auto"/>
                  <w:vAlign w:val="center"/>
                </w:tcPr>
                <w:p w14:paraId="7CDB5FAE">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s="宋体"/>
                      <w:color w:val="auto"/>
                      <w:kern w:val="2"/>
                      <w:sz w:val="21"/>
                      <w:szCs w:val="21"/>
                      <w:shd w:val="clear" w:color="auto" w:fill="auto"/>
                      <w:lang w:val="en-US" w:eastAsia="en-US" w:bidi="ar-SA"/>
                    </w:rPr>
                  </w:pPr>
                  <w:r>
                    <w:rPr>
                      <w:rFonts w:ascii="Times New Roman" w:hAnsi="Times New Roman" w:eastAsia="宋体"/>
                      <w:color w:val="auto"/>
                      <w:spacing w:val="7"/>
                      <w:sz w:val="21"/>
                      <w:szCs w:val="21"/>
                      <w:shd w:val="clear" w:color="auto" w:fill="auto"/>
                    </w:rPr>
                    <w:t>供水系统</w:t>
                  </w:r>
                </w:p>
              </w:tc>
              <w:tc>
                <w:tcPr>
                  <w:tcW w:w="2950" w:type="dxa"/>
                  <w:tcBorders>
                    <w:tl2br w:val="nil"/>
                    <w:tr2bl w:val="nil"/>
                  </w:tcBorders>
                  <w:shd w:val="clear" w:color="auto" w:fill="auto"/>
                  <w:vAlign w:val="center"/>
                </w:tcPr>
                <w:p w14:paraId="7AC3C794">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s="宋体"/>
                      <w:color w:val="auto"/>
                      <w:kern w:val="2"/>
                      <w:sz w:val="21"/>
                      <w:szCs w:val="21"/>
                      <w:shd w:val="clear" w:color="auto" w:fill="auto"/>
                      <w:lang w:val="en-US" w:eastAsia="en-US" w:bidi="ar-SA"/>
                    </w:rPr>
                  </w:pPr>
                  <w:r>
                    <w:rPr>
                      <w:rFonts w:ascii="Times New Roman" w:hAnsi="Times New Roman" w:eastAsia="宋体" w:cs="宋体"/>
                      <w:color w:val="auto"/>
                      <w:kern w:val="2"/>
                      <w:sz w:val="21"/>
                      <w:szCs w:val="21"/>
                      <w:shd w:val="clear" w:color="auto" w:fill="auto"/>
                      <w:lang w:val="en-US" w:eastAsia="en-US" w:bidi="ar-SA"/>
                    </w:rPr>
                    <w:t>接市政供水管网</w:t>
                  </w:r>
                </w:p>
              </w:tc>
              <w:tc>
                <w:tcPr>
                  <w:tcW w:w="2177" w:type="dxa"/>
                  <w:tcBorders>
                    <w:tl2br w:val="nil"/>
                    <w:tr2bl w:val="nil"/>
                  </w:tcBorders>
                  <w:shd w:val="clear" w:color="auto" w:fill="auto"/>
                  <w:vAlign w:val="center"/>
                </w:tcPr>
                <w:p w14:paraId="2515871D">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hint="default" w:ascii="Times New Roman" w:hAnsi="Times New Roman" w:eastAsia="宋体" w:cs="宋体"/>
                      <w:color w:val="auto"/>
                      <w:kern w:val="2"/>
                      <w:sz w:val="21"/>
                      <w:szCs w:val="21"/>
                      <w:shd w:val="clear" w:color="auto" w:fill="auto"/>
                      <w:lang w:val="en-US" w:eastAsia="zh-CN" w:bidi="ar-SA"/>
                    </w:rPr>
                  </w:pPr>
                  <w:r>
                    <w:rPr>
                      <w:rFonts w:hint="eastAsia" w:ascii="Times New Roman" w:hAnsi="Times New Roman"/>
                      <w:color w:val="auto"/>
                      <w:spacing w:val="3"/>
                      <w:sz w:val="21"/>
                      <w:szCs w:val="21"/>
                      <w:shd w:val="clear" w:color="auto" w:fill="auto"/>
                      <w:lang w:val="en-US" w:eastAsia="zh-CN"/>
                    </w:rPr>
                    <w:t>利用现有</w:t>
                  </w:r>
                </w:p>
              </w:tc>
            </w:tr>
            <w:tr w14:paraId="2D1B27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318" w:type="dxa"/>
              </w:trPr>
              <w:tc>
                <w:tcPr>
                  <w:tcW w:w="1436" w:type="dxa"/>
                  <w:vMerge w:val="continue"/>
                  <w:tcBorders>
                    <w:tl2br w:val="nil"/>
                    <w:tr2bl w:val="nil"/>
                  </w:tcBorders>
                  <w:vAlign w:val="center"/>
                </w:tcPr>
                <w:p w14:paraId="07D4330B">
                  <w:pPr>
                    <w:pStyle w:val="46"/>
                    <w:keepNext w:val="0"/>
                    <w:keepLines w:val="0"/>
                    <w:pageBreakBefore w:val="0"/>
                    <w:widowControl w:val="0"/>
                    <w:kinsoku/>
                    <w:wordWrap/>
                    <w:overflowPunct/>
                    <w:topLinePunct w:val="0"/>
                    <w:bidi w:val="0"/>
                    <w:adjustRightInd/>
                    <w:snapToGrid/>
                    <w:spacing w:line="240" w:lineRule="auto"/>
                    <w:ind w:left="0" w:right="0" w:firstLine="0" w:firstLineChars="0"/>
                    <w:jc w:val="center"/>
                    <w:textAlignment w:val="auto"/>
                    <w:rPr>
                      <w:rFonts w:ascii="Times New Roman" w:hAnsi="Times New Roman" w:eastAsia="宋体"/>
                      <w:color w:val="auto"/>
                      <w:sz w:val="21"/>
                      <w:szCs w:val="21"/>
                      <w:highlight w:val="none"/>
                      <w:shd w:val="clear" w:color="auto" w:fill="auto"/>
                      <w:vertAlign w:val="baseline"/>
                    </w:rPr>
                  </w:pPr>
                </w:p>
              </w:tc>
              <w:tc>
                <w:tcPr>
                  <w:tcW w:w="2109" w:type="dxa"/>
                  <w:tcBorders>
                    <w:tl2br w:val="nil"/>
                    <w:tr2bl w:val="nil"/>
                  </w:tcBorders>
                  <w:shd w:val="clear" w:color="auto" w:fill="auto"/>
                  <w:vAlign w:val="center"/>
                </w:tcPr>
                <w:p w14:paraId="57C1E46B">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s="宋体"/>
                      <w:color w:val="auto"/>
                      <w:kern w:val="2"/>
                      <w:sz w:val="21"/>
                      <w:szCs w:val="21"/>
                      <w:shd w:val="clear" w:color="auto" w:fill="auto"/>
                      <w:lang w:val="en-US" w:eastAsia="en-US" w:bidi="ar-SA"/>
                    </w:rPr>
                  </w:pPr>
                  <w:r>
                    <w:rPr>
                      <w:rFonts w:ascii="Times New Roman" w:hAnsi="Times New Roman" w:eastAsia="宋体"/>
                      <w:color w:val="auto"/>
                      <w:spacing w:val="7"/>
                      <w:sz w:val="21"/>
                      <w:szCs w:val="21"/>
                      <w:shd w:val="clear" w:color="auto" w:fill="auto"/>
                    </w:rPr>
                    <w:t>排水系统</w:t>
                  </w:r>
                </w:p>
              </w:tc>
              <w:tc>
                <w:tcPr>
                  <w:tcW w:w="2950" w:type="dxa"/>
                  <w:tcBorders>
                    <w:tl2br w:val="nil"/>
                    <w:tr2bl w:val="nil"/>
                  </w:tcBorders>
                  <w:shd w:val="clear" w:color="auto" w:fill="auto"/>
                  <w:vAlign w:val="center"/>
                </w:tcPr>
                <w:p w14:paraId="452ACEA7">
                  <w:pPr>
                    <w:pStyle w:val="115"/>
                    <w:keepNext w:val="0"/>
                    <w:keepLines w:val="0"/>
                    <w:pageBreakBefore w:val="0"/>
                    <w:widowControl w:val="0"/>
                    <w:kinsoku/>
                    <w:wordWrap/>
                    <w:overflowPunct/>
                    <w:topLinePunct w:val="0"/>
                    <w:bidi w:val="0"/>
                    <w:adjustRightInd/>
                    <w:snapToGrid/>
                    <w:spacing w:line="240" w:lineRule="auto"/>
                    <w:ind w:left="0" w:right="0" w:firstLine="0"/>
                    <w:jc w:val="center"/>
                    <w:textAlignment w:val="auto"/>
                    <w:rPr>
                      <w:rFonts w:ascii="Times New Roman" w:hAnsi="Times New Roman" w:eastAsia="宋体" w:cs="宋体"/>
                      <w:color w:val="auto"/>
                      <w:kern w:val="2"/>
                      <w:sz w:val="21"/>
                      <w:szCs w:val="21"/>
                      <w:shd w:val="clear" w:color="auto" w:fill="auto"/>
                      <w:lang w:val="en-US" w:eastAsia="en-US" w:bidi="ar-SA"/>
                    </w:rPr>
                  </w:pPr>
                  <w:r>
                    <w:rPr>
                      <w:rFonts w:ascii="Times New Roman" w:hAnsi="Times New Roman" w:eastAsia="宋体"/>
                      <w:color w:val="auto"/>
                      <w:spacing w:val="5"/>
                      <w:sz w:val="21"/>
                      <w:szCs w:val="21"/>
                      <w:shd w:val="clear" w:color="auto" w:fill="auto"/>
                    </w:rPr>
                    <w:t>采用雨污分流的排水体制，雨水经</w:t>
                  </w:r>
                  <w:r>
                    <w:rPr>
                      <w:rFonts w:ascii="Times New Roman" w:hAnsi="Times New Roman" w:eastAsia="宋体"/>
                      <w:color w:val="auto"/>
                      <w:spacing w:val="5"/>
                      <w:sz w:val="21"/>
                      <w:szCs w:val="21"/>
                      <w:highlight w:val="none"/>
                      <w:shd w:val="clear" w:color="auto" w:fill="auto"/>
                    </w:rPr>
                    <w:t>厂区雨水管道</w:t>
                  </w:r>
                  <w:r>
                    <w:rPr>
                      <w:rFonts w:ascii="Times New Roman" w:hAnsi="Times New Roman" w:eastAsia="宋体"/>
                      <w:color w:val="auto"/>
                      <w:spacing w:val="9"/>
                      <w:sz w:val="21"/>
                      <w:szCs w:val="21"/>
                      <w:highlight w:val="none"/>
                      <w:shd w:val="clear" w:color="auto" w:fill="auto"/>
                    </w:rPr>
                    <w:t>排入市政雨水管道。</w:t>
                  </w:r>
                  <w:r>
                    <w:rPr>
                      <w:rFonts w:hint="eastAsia" w:ascii="Times New Roman" w:hAnsi="Times New Roman" w:eastAsia="宋体"/>
                      <w:color w:val="auto"/>
                      <w:spacing w:val="9"/>
                      <w:sz w:val="21"/>
                      <w:szCs w:val="21"/>
                      <w:highlight w:val="none"/>
                      <w:shd w:val="clear" w:color="auto" w:fill="auto"/>
                      <w:lang w:val="en-US" w:eastAsia="zh-CN"/>
                    </w:rPr>
                    <w:t>生活污水、医疗废水经过化粪池预处理后</w:t>
                  </w:r>
                  <w:r>
                    <w:rPr>
                      <w:rFonts w:hint="eastAsia" w:ascii="Times New Roman" w:hAnsi="Times New Roman"/>
                      <w:color w:val="auto"/>
                      <w:spacing w:val="9"/>
                      <w:sz w:val="21"/>
                      <w:szCs w:val="21"/>
                      <w:highlight w:val="none"/>
                      <w:shd w:val="clear" w:color="auto" w:fill="auto"/>
                      <w:lang w:val="en-US" w:eastAsia="zh-CN"/>
                    </w:rPr>
                    <w:t>，经过</w:t>
                  </w:r>
                  <w:r>
                    <w:rPr>
                      <w:rFonts w:hint="eastAsia" w:ascii="Times New Roman" w:hAnsi="Times New Roman" w:eastAsia="宋体"/>
                      <w:color w:val="auto"/>
                      <w:spacing w:val="9"/>
                      <w:sz w:val="21"/>
                      <w:szCs w:val="21"/>
                      <w:highlight w:val="none"/>
                      <w:shd w:val="clear" w:color="auto" w:fill="auto"/>
                      <w:lang w:val="en-US" w:eastAsia="zh-CN"/>
                    </w:rPr>
                    <w:t>污水处理设施</w:t>
                  </w:r>
                  <w:r>
                    <w:rPr>
                      <w:rFonts w:hint="eastAsia" w:ascii="Times New Roman" w:hAnsi="Times New Roman"/>
                      <w:color w:val="auto"/>
                      <w:spacing w:val="9"/>
                      <w:sz w:val="21"/>
                      <w:szCs w:val="21"/>
                      <w:highlight w:val="none"/>
                      <w:shd w:val="clear" w:color="auto" w:fill="auto"/>
                      <w:lang w:val="en-US" w:eastAsia="zh-CN"/>
                    </w:rPr>
                    <w:t>（“生物接触氧化法+沉淀+消毒工艺”）</w:t>
                  </w:r>
                  <w:r>
                    <w:rPr>
                      <w:rFonts w:hint="eastAsia" w:ascii="Times New Roman" w:hAnsi="Times New Roman" w:eastAsia="宋体"/>
                      <w:color w:val="auto"/>
                      <w:spacing w:val="9"/>
                      <w:sz w:val="21"/>
                      <w:szCs w:val="21"/>
                      <w:highlight w:val="none"/>
                      <w:shd w:val="clear" w:color="auto" w:fill="auto"/>
                      <w:lang w:val="en-US" w:eastAsia="zh-CN"/>
                    </w:rPr>
                    <w:t>处理后进入市政污水管网，最终排入罗源城区污水处理厂统一处理后达标排放</w:t>
                  </w:r>
                  <w:r>
                    <w:rPr>
                      <w:rFonts w:hint="eastAsia" w:ascii="Times New Roman" w:hAnsi="Times New Roman"/>
                      <w:color w:val="auto"/>
                      <w:spacing w:val="9"/>
                      <w:sz w:val="21"/>
                      <w:szCs w:val="21"/>
                      <w:highlight w:val="none"/>
                      <w:shd w:val="clear" w:color="auto" w:fill="auto"/>
                      <w:lang w:val="en-US" w:eastAsia="zh-CN"/>
                    </w:rPr>
                    <w:t>。</w:t>
                  </w:r>
                </w:p>
              </w:tc>
              <w:tc>
                <w:tcPr>
                  <w:tcW w:w="2177" w:type="dxa"/>
                  <w:tcBorders>
                    <w:tl2br w:val="nil"/>
                    <w:tr2bl w:val="nil"/>
                  </w:tcBorders>
                  <w:shd w:val="clear" w:color="auto" w:fill="auto"/>
                  <w:vAlign w:val="center"/>
                </w:tcPr>
                <w:p w14:paraId="40714C26">
                  <w:pPr>
                    <w:pStyle w:val="115"/>
                    <w:keepNext w:val="0"/>
                    <w:keepLines w:val="0"/>
                    <w:pageBreakBefore w:val="0"/>
                    <w:widowControl w:val="0"/>
                    <w:kinsoku/>
                    <w:wordWrap/>
                    <w:overflowPunct/>
                    <w:topLinePunct w:val="0"/>
                    <w:bidi w:val="0"/>
                    <w:adjustRightInd/>
                    <w:snapToGrid/>
                    <w:spacing w:line="240" w:lineRule="auto"/>
                    <w:ind w:left="0" w:right="0" w:firstLine="0"/>
                    <w:jc w:val="center"/>
                    <w:textAlignment w:val="auto"/>
                    <w:rPr>
                      <w:rFonts w:hint="default" w:ascii="Times New Roman" w:hAnsi="Times New Roman" w:eastAsia="宋体" w:cs="宋体"/>
                      <w:color w:val="auto"/>
                      <w:kern w:val="2"/>
                      <w:sz w:val="21"/>
                      <w:szCs w:val="21"/>
                      <w:shd w:val="clear" w:color="auto" w:fill="auto"/>
                      <w:lang w:val="en-US" w:eastAsia="zh-CN" w:bidi="ar-SA"/>
                    </w:rPr>
                  </w:pPr>
                  <w:r>
                    <w:rPr>
                      <w:rFonts w:hint="eastAsia" w:ascii="Times New Roman" w:hAnsi="Times New Roman" w:eastAsia="宋体"/>
                      <w:color w:val="auto"/>
                      <w:spacing w:val="7"/>
                      <w:sz w:val="21"/>
                      <w:szCs w:val="21"/>
                      <w:shd w:val="clear" w:color="auto" w:fill="auto"/>
                      <w:lang w:val="en-US" w:eastAsia="zh-CN"/>
                    </w:rPr>
                    <w:t>本项目利用原</w:t>
                  </w:r>
                  <w:r>
                    <w:rPr>
                      <w:rFonts w:hint="eastAsia" w:ascii="Times New Roman" w:hAnsi="Times New Roman"/>
                      <w:color w:val="auto"/>
                      <w:spacing w:val="7"/>
                      <w:sz w:val="21"/>
                      <w:szCs w:val="21"/>
                      <w:shd w:val="clear" w:color="auto" w:fill="auto"/>
                      <w:lang w:val="en-US" w:eastAsia="zh-CN"/>
                    </w:rPr>
                    <w:t>罗源</w:t>
                  </w:r>
                  <w:r>
                    <w:rPr>
                      <w:rFonts w:hint="eastAsia" w:ascii="Times New Roman" w:hAnsi="Times New Roman" w:eastAsia="宋体"/>
                      <w:color w:val="auto"/>
                      <w:spacing w:val="7"/>
                      <w:sz w:val="21"/>
                      <w:szCs w:val="21"/>
                      <w:shd w:val="clear" w:color="auto" w:fill="auto"/>
                      <w:lang w:val="en-US" w:eastAsia="zh-CN"/>
                    </w:rPr>
                    <w:t>县医院已建污水处理设施，该设施现由中医院接管</w:t>
                  </w:r>
                  <w:r>
                    <w:rPr>
                      <w:rFonts w:hint="eastAsia" w:ascii="Times New Roman" w:hAnsi="Times New Roman" w:eastAsia="宋体"/>
                      <w:color w:val="auto"/>
                      <w:spacing w:val="4"/>
                      <w:sz w:val="21"/>
                      <w:szCs w:val="21"/>
                      <w:shd w:val="clear" w:color="auto" w:fill="auto"/>
                      <w:lang w:eastAsia="zh-CN"/>
                    </w:rPr>
                    <w:t>；</w:t>
                  </w:r>
                </w:p>
              </w:tc>
            </w:tr>
            <w:tr w14:paraId="4FBC00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318" w:type="dxa"/>
              </w:trPr>
              <w:tc>
                <w:tcPr>
                  <w:tcW w:w="1436" w:type="dxa"/>
                  <w:vMerge w:val="continue"/>
                  <w:tcBorders>
                    <w:tl2br w:val="nil"/>
                    <w:tr2bl w:val="nil"/>
                  </w:tcBorders>
                  <w:vAlign w:val="center"/>
                </w:tcPr>
                <w:p w14:paraId="76E6CD2C">
                  <w:pPr>
                    <w:pStyle w:val="46"/>
                    <w:keepNext w:val="0"/>
                    <w:keepLines w:val="0"/>
                    <w:pageBreakBefore w:val="0"/>
                    <w:widowControl w:val="0"/>
                    <w:kinsoku/>
                    <w:wordWrap/>
                    <w:overflowPunct/>
                    <w:topLinePunct w:val="0"/>
                    <w:bidi w:val="0"/>
                    <w:adjustRightInd/>
                    <w:snapToGrid/>
                    <w:spacing w:line="240" w:lineRule="auto"/>
                    <w:ind w:left="0" w:right="0" w:firstLine="0" w:firstLineChars="0"/>
                    <w:jc w:val="center"/>
                    <w:textAlignment w:val="auto"/>
                    <w:rPr>
                      <w:rFonts w:ascii="Times New Roman" w:hAnsi="Times New Roman" w:eastAsia="宋体"/>
                      <w:color w:val="auto"/>
                      <w:sz w:val="21"/>
                      <w:szCs w:val="21"/>
                      <w:highlight w:val="none"/>
                      <w:shd w:val="clear" w:color="auto" w:fill="auto"/>
                      <w:vertAlign w:val="baseline"/>
                    </w:rPr>
                  </w:pPr>
                </w:p>
              </w:tc>
              <w:tc>
                <w:tcPr>
                  <w:tcW w:w="2109" w:type="dxa"/>
                  <w:tcBorders>
                    <w:tl2br w:val="nil"/>
                    <w:tr2bl w:val="nil"/>
                  </w:tcBorders>
                  <w:shd w:val="clear" w:color="auto" w:fill="auto"/>
                  <w:vAlign w:val="center"/>
                </w:tcPr>
                <w:p w14:paraId="60AC0AA5">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s="宋体"/>
                      <w:color w:val="auto"/>
                      <w:kern w:val="2"/>
                      <w:sz w:val="21"/>
                      <w:szCs w:val="21"/>
                      <w:shd w:val="clear" w:color="auto" w:fill="auto"/>
                      <w:lang w:val="en-US" w:eastAsia="en-US" w:bidi="ar-SA"/>
                    </w:rPr>
                  </w:pPr>
                  <w:r>
                    <w:rPr>
                      <w:rFonts w:ascii="Times New Roman" w:hAnsi="Times New Roman" w:eastAsia="宋体"/>
                      <w:color w:val="auto"/>
                      <w:spacing w:val="7"/>
                      <w:sz w:val="21"/>
                      <w:szCs w:val="21"/>
                      <w:shd w:val="clear" w:color="auto" w:fill="auto"/>
                    </w:rPr>
                    <w:t>供电系统</w:t>
                  </w:r>
                </w:p>
              </w:tc>
              <w:tc>
                <w:tcPr>
                  <w:tcW w:w="2950" w:type="dxa"/>
                  <w:tcBorders>
                    <w:tl2br w:val="nil"/>
                    <w:tr2bl w:val="nil"/>
                  </w:tcBorders>
                  <w:shd w:val="clear" w:color="auto" w:fill="auto"/>
                  <w:vAlign w:val="center"/>
                </w:tcPr>
                <w:p w14:paraId="3F2E6871">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s="Times New Roman"/>
                      <w:color w:val="auto"/>
                      <w:kern w:val="2"/>
                      <w:sz w:val="21"/>
                      <w:szCs w:val="21"/>
                      <w:shd w:val="clear" w:color="auto" w:fill="auto"/>
                      <w:lang w:val="en-US" w:eastAsia="en-US" w:bidi="ar-SA"/>
                    </w:rPr>
                  </w:pPr>
                  <w:r>
                    <w:rPr>
                      <w:rFonts w:ascii="Times New Roman" w:hAnsi="Times New Roman" w:eastAsia="宋体" w:cs="宋体"/>
                      <w:color w:val="auto"/>
                      <w:kern w:val="2"/>
                      <w:sz w:val="21"/>
                      <w:szCs w:val="21"/>
                      <w:shd w:val="clear" w:color="auto" w:fill="auto"/>
                      <w:lang w:val="en-US" w:eastAsia="en-US" w:bidi="ar-SA"/>
                    </w:rPr>
                    <w:t>接市政供</w:t>
                  </w:r>
                  <w:r>
                    <w:rPr>
                      <w:rFonts w:hint="eastAsia" w:ascii="Times New Roman" w:hAnsi="Times New Roman" w:eastAsia="宋体" w:cs="宋体"/>
                      <w:color w:val="auto"/>
                      <w:kern w:val="2"/>
                      <w:sz w:val="21"/>
                      <w:szCs w:val="21"/>
                      <w:shd w:val="clear" w:color="auto" w:fill="auto"/>
                      <w:lang w:val="en-US" w:eastAsia="zh-CN" w:bidi="ar-SA"/>
                    </w:rPr>
                    <w:t>电</w:t>
                  </w:r>
                  <w:r>
                    <w:rPr>
                      <w:rFonts w:ascii="Times New Roman" w:hAnsi="Times New Roman" w:eastAsia="宋体" w:cs="宋体"/>
                      <w:color w:val="auto"/>
                      <w:kern w:val="2"/>
                      <w:sz w:val="21"/>
                      <w:szCs w:val="21"/>
                      <w:shd w:val="clear" w:color="auto" w:fill="auto"/>
                      <w:lang w:val="en-US" w:eastAsia="en-US" w:bidi="ar-SA"/>
                    </w:rPr>
                    <w:t>管网</w:t>
                  </w:r>
                </w:p>
              </w:tc>
              <w:tc>
                <w:tcPr>
                  <w:tcW w:w="2177" w:type="dxa"/>
                  <w:tcBorders>
                    <w:tl2br w:val="nil"/>
                    <w:tr2bl w:val="nil"/>
                  </w:tcBorders>
                  <w:shd w:val="clear" w:color="auto" w:fill="auto"/>
                  <w:vAlign w:val="center"/>
                </w:tcPr>
                <w:p w14:paraId="3B68971B">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s="宋体"/>
                      <w:color w:val="auto"/>
                      <w:kern w:val="2"/>
                      <w:sz w:val="21"/>
                      <w:szCs w:val="21"/>
                      <w:shd w:val="clear" w:color="auto" w:fill="auto"/>
                      <w:lang w:val="en-US" w:eastAsia="en-US" w:bidi="ar-SA"/>
                    </w:rPr>
                  </w:pPr>
                  <w:r>
                    <w:rPr>
                      <w:rFonts w:hint="eastAsia" w:ascii="Times New Roman" w:hAnsi="Times New Roman"/>
                      <w:color w:val="auto"/>
                      <w:spacing w:val="3"/>
                      <w:sz w:val="21"/>
                      <w:szCs w:val="21"/>
                      <w:shd w:val="clear" w:color="auto" w:fill="auto"/>
                      <w:lang w:val="en-US" w:eastAsia="zh-CN"/>
                    </w:rPr>
                    <w:t>利用现有</w:t>
                  </w:r>
                </w:p>
              </w:tc>
            </w:tr>
            <w:tr w14:paraId="68954F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1436" w:type="dxa"/>
                  <w:vMerge w:val="restart"/>
                  <w:tcBorders>
                    <w:tl2br w:val="nil"/>
                    <w:tr2bl w:val="nil"/>
                  </w:tcBorders>
                  <w:shd w:val="clear" w:color="auto" w:fill="auto"/>
                  <w:vAlign w:val="center"/>
                </w:tcPr>
                <w:p w14:paraId="2BA274FE">
                  <w:pPr>
                    <w:pStyle w:val="115"/>
                    <w:keepNext w:val="0"/>
                    <w:keepLines w:val="0"/>
                    <w:pageBreakBefore w:val="0"/>
                    <w:widowControl w:val="0"/>
                    <w:kinsoku/>
                    <w:wordWrap/>
                    <w:overflowPunct/>
                    <w:topLinePunct w:val="0"/>
                    <w:bidi w:val="0"/>
                    <w:adjustRightInd/>
                    <w:snapToGrid/>
                    <w:spacing w:line="240" w:lineRule="auto"/>
                    <w:ind w:left="0" w:right="0" w:firstLine="0"/>
                    <w:jc w:val="center"/>
                    <w:textAlignment w:val="auto"/>
                    <w:rPr>
                      <w:rFonts w:ascii="Times New Roman" w:hAnsi="Times New Roman" w:eastAsia="宋体"/>
                      <w:color w:val="auto"/>
                      <w:sz w:val="21"/>
                      <w:szCs w:val="21"/>
                      <w:shd w:val="clear" w:color="auto" w:fill="auto"/>
                    </w:rPr>
                  </w:pPr>
                  <w:r>
                    <w:rPr>
                      <w:rFonts w:ascii="Times New Roman" w:hAnsi="Times New Roman" w:eastAsia="宋体"/>
                      <w:color w:val="auto"/>
                      <w:spacing w:val="4"/>
                      <w:sz w:val="21"/>
                      <w:szCs w:val="21"/>
                      <w:shd w:val="clear" w:color="auto" w:fill="auto"/>
                    </w:rPr>
                    <w:t>环保</w:t>
                  </w:r>
                </w:p>
                <w:p w14:paraId="17FF329D">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olor w:val="auto"/>
                      <w:sz w:val="21"/>
                      <w:szCs w:val="21"/>
                      <w:highlight w:val="none"/>
                      <w:shd w:val="clear" w:color="auto" w:fill="auto"/>
                      <w:vertAlign w:val="baseline"/>
                    </w:rPr>
                  </w:pPr>
                  <w:r>
                    <w:rPr>
                      <w:rFonts w:ascii="Times New Roman" w:hAnsi="Times New Roman" w:eastAsia="宋体"/>
                      <w:color w:val="auto"/>
                      <w:spacing w:val="3"/>
                      <w:sz w:val="21"/>
                      <w:szCs w:val="21"/>
                      <w:shd w:val="clear" w:color="auto" w:fill="auto"/>
                    </w:rPr>
                    <w:t>工程</w:t>
                  </w:r>
                </w:p>
              </w:tc>
              <w:tc>
                <w:tcPr>
                  <w:tcW w:w="2109" w:type="dxa"/>
                  <w:vMerge w:val="restart"/>
                  <w:tcBorders>
                    <w:tl2br w:val="nil"/>
                    <w:tr2bl w:val="nil"/>
                  </w:tcBorders>
                  <w:shd w:val="clear" w:color="auto" w:fill="auto"/>
                  <w:vAlign w:val="center"/>
                </w:tcPr>
                <w:p w14:paraId="7359C9F2">
                  <w:pPr>
                    <w:pStyle w:val="115"/>
                    <w:keepNext w:val="0"/>
                    <w:keepLines w:val="0"/>
                    <w:pageBreakBefore w:val="0"/>
                    <w:widowControl w:val="0"/>
                    <w:kinsoku/>
                    <w:wordWrap/>
                    <w:overflowPunct/>
                    <w:topLinePunct w:val="0"/>
                    <w:bidi w:val="0"/>
                    <w:adjustRightInd/>
                    <w:snapToGrid/>
                    <w:spacing w:line="240" w:lineRule="auto"/>
                    <w:ind w:left="0" w:right="0" w:firstLine="0"/>
                    <w:jc w:val="center"/>
                    <w:textAlignment w:val="auto"/>
                    <w:rPr>
                      <w:rFonts w:ascii="Times New Roman" w:hAnsi="Times New Roman" w:eastAsia="宋体"/>
                      <w:color w:val="auto"/>
                      <w:spacing w:val="7"/>
                      <w:sz w:val="21"/>
                      <w:szCs w:val="21"/>
                      <w:shd w:val="clear" w:color="auto" w:fill="auto"/>
                    </w:rPr>
                  </w:pPr>
                  <w:r>
                    <w:rPr>
                      <w:rFonts w:ascii="Times New Roman" w:hAnsi="Times New Roman" w:eastAsia="宋体"/>
                      <w:color w:val="auto"/>
                      <w:spacing w:val="8"/>
                      <w:sz w:val="21"/>
                      <w:szCs w:val="21"/>
                      <w:shd w:val="clear" w:color="auto" w:fill="auto"/>
                    </w:rPr>
                    <w:t>废水处理措</w:t>
                  </w:r>
                  <w:r>
                    <w:rPr>
                      <w:rFonts w:ascii="Times New Roman" w:hAnsi="Times New Roman" w:eastAsia="宋体"/>
                      <w:color w:val="auto"/>
                      <w:spacing w:val="1"/>
                      <w:sz w:val="21"/>
                      <w:szCs w:val="21"/>
                      <w:shd w:val="clear" w:color="auto" w:fill="auto"/>
                    </w:rPr>
                    <w:t>施</w:t>
                  </w:r>
                </w:p>
              </w:tc>
              <w:tc>
                <w:tcPr>
                  <w:tcW w:w="2950" w:type="dxa"/>
                  <w:tcBorders>
                    <w:tl2br w:val="nil"/>
                    <w:tr2bl w:val="nil"/>
                  </w:tcBorders>
                  <w:shd w:val="clear" w:color="auto" w:fill="auto"/>
                  <w:vAlign w:val="center"/>
                </w:tcPr>
                <w:p w14:paraId="7AEB92AD">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hint="eastAsia" w:ascii="Times New Roman" w:hAnsi="Times New Roman" w:eastAsia="宋体" w:cs="宋体"/>
                      <w:color w:val="auto"/>
                      <w:kern w:val="2"/>
                      <w:sz w:val="21"/>
                      <w:szCs w:val="21"/>
                      <w:shd w:val="clear" w:color="auto" w:fill="auto"/>
                      <w:lang w:val="en-US" w:eastAsia="zh-CN" w:bidi="ar-SA"/>
                    </w:rPr>
                  </w:pPr>
                  <w:r>
                    <w:rPr>
                      <w:rFonts w:hint="eastAsia" w:ascii="Times New Roman" w:hAnsi="Times New Roman" w:eastAsia="宋体" w:cs="宋体"/>
                      <w:color w:val="auto"/>
                      <w:kern w:val="2"/>
                      <w:sz w:val="21"/>
                      <w:szCs w:val="21"/>
                      <w:shd w:val="clear" w:color="auto" w:fill="auto"/>
                      <w:lang w:val="en-US" w:eastAsia="zh-CN" w:bidi="ar-SA"/>
                    </w:rPr>
                    <w:t>医疗废水</w:t>
                  </w:r>
                </w:p>
              </w:tc>
              <w:tc>
                <w:tcPr>
                  <w:tcW w:w="2177" w:type="dxa"/>
                  <w:vMerge w:val="restart"/>
                  <w:tcBorders>
                    <w:tl2br w:val="nil"/>
                    <w:tr2bl w:val="nil"/>
                  </w:tcBorders>
                  <w:shd w:val="clear" w:color="auto" w:fill="auto"/>
                  <w:vAlign w:val="center"/>
                </w:tcPr>
                <w:p w14:paraId="38DC7875">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hint="eastAsia" w:ascii="Times New Roman" w:hAnsi="Times New Roman" w:eastAsia="宋体"/>
                      <w:color w:val="auto"/>
                      <w:spacing w:val="6"/>
                      <w:sz w:val="21"/>
                      <w:szCs w:val="21"/>
                      <w:shd w:val="clear" w:color="auto" w:fill="auto"/>
                    </w:rPr>
                  </w:pPr>
                  <w:r>
                    <w:rPr>
                      <w:rFonts w:hint="eastAsia" w:ascii="Times New Roman" w:hAnsi="Times New Roman"/>
                      <w:color w:val="auto"/>
                      <w:spacing w:val="3"/>
                      <w:sz w:val="21"/>
                      <w:szCs w:val="21"/>
                      <w:shd w:val="clear" w:color="auto" w:fill="auto"/>
                      <w:lang w:val="en-US" w:eastAsia="zh-CN"/>
                    </w:rPr>
                    <w:t>利用现有</w:t>
                  </w:r>
                  <w:r>
                    <w:rPr>
                      <w:rFonts w:hint="eastAsia" w:ascii="Times New Roman" w:hAnsi="Times New Roman" w:eastAsia="宋体"/>
                      <w:color w:val="auto"/>
                      <w:spacing w:val="6"/>
                      <w:sz w:val="21"/>
                      <w:szCs w:val="21"/>
                      <w:shd w:val="clear" w:color="auto" w:fill="auto"/>
                    </w:rPr>
                    <w:t>污水处理站1座</w:t>
                  </w:r>
                  <w:r>
                    <w:rPr>
                      <w:rFonts w:hint="eastAsia" w:ascii="Times New Roman" w:hAnsi="Times New Roman"/>
                      <w:color w:val="auto"/>
                      <w:spacing w:val="6"/>
                      <w:sz w:val="21"/>
                      <w:szCs w:val="21"/>
                      <w:shd w:val="clear" w:color="auto" w:fill="auto"/>
                      <w:lang w:eastAsia="zh-CN"/>
                    </w:rPr>
                    <w:t>（</w:t>
                  </w:r>
                  <w:r>
                    <w:rPr>
                      <w:rFonts w:hint="eastAsia" w:ascii="Times New Roman" w:hAnsi="Times New Roman" w:eastAsia="宋体"/>
                      <w:color w:val="auto"/>
                      <w:spacing w:val="6"/>
                      <w:sz w:val="21"/>
                      <w:szCs w:val="21"/>
                      <w:shd w:val="clear" w:color="auto" w:fill="auto"/>
                    </w:rPr>
                    <w:t>140t/d</w:t>
                  </w:r>
                  <w:r>
                    <w:rPr>
                      <w:rFonts w:hint="eastAsia" w:ascii="Times New Roman" w:hAnsi="Times New Roman"/>
                      <w:color w:val="auto"/>
                      <w:spacing w:val="6"/>
                      <w:sz w:val="21"/>
                      <w:szCs w:val="21"/>
                      <w:shd w:val="clear" w:color="auto" w:fill="auto"/>
                      <w:lang w:eastAsia="zh-CN"/>
                    </w:rPr>
                    <w:t>）</w:t>
                  </w:r>
                  <w:r>
                    <w:rPr>
                      <w:rFonts w:hint="eastAsia" w:ascii="Times New Roman" w:hAnsi="Times New Roman" w:eastAsia="宋体"/>
                      <w:color w:val="auto"/>
                      <w:spacing w:val="6"/>
                      <w:sz w:val="21"/>
                      <w:szCs w:val="21"/>
                      <w:shd w:val="clear" w:color="auto" w:fill="auto"/>
                    </w:rPr>
                    <w:t>，服务全院。处理工艺</w:t>
                  </w:r>
                </w:p>
                <w:p w14:paraId="109266A7">
                  <w:pPr>
                    <w:pStyle w:val="115"/>
                    <w:keepNext w:val="0"/>
                    <w:keepLines w:val="0"/>
                    <w:pageBreakBefore w:val="0"/>
                    <w:widowControl w:val="0"/>
                    <w:kinsoku/>
                    <w:wordWrap/>
                    <w:overflowPunct/>
                    <w:topLinePunct w:val="0"/>
                    <w:bidi w:val="0"/>
                    <w:adjustRightInd/>
                    <w:snapToGrid/>
                    <w:spacing w:line="240" w:lineRule="auto"/>
                    <w:ind w:left="0" w:right="0" w:firstLine="0"/>
                    <w:jc w:val="center"/>
                    <w:textAlignment w:val="auto"/>
                    <w:rPr>
                      <w:rFonts w:hint="default" w:ascii="Times New Roman" w:hAnsi="Times New Roman" w:eastAsia="宋体" w:cs="宋体"/>
                      <w:color w:val="auto"/>
                      <w:kern w:val="2"/>
                      <w:sz w:val="21"/>
                      <w:szCs w:val="21"/>
                      <w:shd w:val="clear" w:color="auto" w:fill="auto"/>
                      <w:lang w:val="en-US" w:eastAsia="zh-CN" w:bidi="ar-SA"/>
                    </w:rPr>
                  </w:pPr>
                  <w:r>
                    <w:rPr>
                      <w:rFonts w:hint="eastAsia" w:ascii="Times New Roman" w:hAnsi="Times New Roman" w:eastAsia="宋体"/>
                      <w:color w:val="auto"/>
                      <w:spacing w:val="6"/>
                      <w:sz w:val="21"/>
                      <w:szCs w:val="21"/>
                      <w:shd w:val="clear" w:color="auto" w:fill="auto"/>
                    </w:rPr>
                    <w:t>为“生物接触氧化法+沉淀+消毒工艺”。本项目</w:t>
                  </w:r>
                  <w:r>
                    <w:rPr>
                      <w:rFonts w:hint="eastAsia" w:ascii="Times New Roman" w:hAnsi="Times New Roman" w:eastAsia="宋体"/>
                      <w:color w:val="auto"/>
                      <w:spacing w:val="9"/>
                      <w:sz w:val="21"/>
                      <w:szCs w:val="21"/>
                      <w:highlight w:val="none"/>
                      <w:shd w:val="clear" w:color="auto" w:fill="auto"/>
                      <w:lang w:val="en-US" w:eastAsia="zh-CN"/>
                    </w:rPr>
                    <w:t>生活污水、医疗废水经过化粪池预处理后</w:t>
                  </w:r>
                  <w:r>
                    <w:rPr>
                      <w:rFonts w:hint="eastAsia" w:ascii="Times New Roman" w:hAnsi="Times New Roman"/>
                      <w:color w:val="auto"/>
                      <w:spacing w:val="9"/>
                      <w:sz w:val="21"/>
                      <w:szCs w:val="21"/>
                      <w:highlight w:val="none"/>
                      <w:shd w:val="clear" w:color="auto" w:fill="auto"/>
                      <w:lang w:val="en-US" w:eastAsia="zh-CN"/>
                    </w:rPr>
                    <w:t>，经过</w:t>
                  </w:r>
                  <w:r>
                    <w:rPr>
                      <w:rFonts w:hint="eastAsia" w:ascii="Times New Roman" w:hAnsi="Times New Roman" w:eastAsia="宋体"/>
                      <w:color w:val="auto"/>
                      <w:spacing w:val="9"/>
                      <w:sz w:val="21"/>
                      <w:szCs w:val="21"/>
                      <w:highlight w:val="none"/>
                      <w:shd w:val="clear" w:color="auto" w:fill="auto"/>
                      <w:lang w:val="en-US" w:eastAsia="zh-CN"/>
                    </w:rPr>
                    <w:t>污水处理设施</w:t>
                  </w:r>
                  <w:r>
                    <w:rPr>
                      <w:rFonts w:hint="eastAsia" w:ascii="Times New Roman" w:hAnsi="Times New Roman"/>
                      <w:color w:val="auto"/>
                      <w:spacing w:val="9"/>
                      <w:sz w:val="21"/>
                      <w:szCs w:val="21"/>
                      <w:highlight w:val="none"/>
                      <w:shd w:val="clear" w:color="auto" w:fill="auto"/>
                      <w:lang w:val="en-US" w:eastAsia="zh-CN"/>
                    </w:rPr>
                    <w:t>（“生物接触氧化法+沉淀+消毒工艺”）</w:t>
                  </w:r>
                  <w:r>
                    <w:rPr>
                      <w:rFonts w:hint="eastAsia" w:ascii="Times New Roman" w:hAnsi="Times New Roman" w:eastAsia="宋体"/>
                      <w:color w:val="auto"/>
                      <w:spacing w:val="9"/>
                      <w:sz w:val="21"/>
                      <w:szCs w:val="21"/>
                      <w:highlight w:val="none"/>
                      <w:shd w:val="clear" w:color="auto" w:fill="auto"/>
                      <w:lang w:val="en-US" w:eastAsia="zh-CN"/>
                    </w:rPr>
                    <w:t>处理后进入市政污水管网，最终排入罗源城区污水处理厂</w:t>
                  </w:r>
                  <w:r>
                    <w:rPr>
                      <w:rFonts w:hint="eastAsia" w:ascii="Times New Roman" w:hAnsi="Times New Roman" w:eastAsia="宋体"/>
                      <w:color w:val="auto"/>
                      <w:spacing w:val="6"/>
                      <w:sz w:val="21"/>
                      <w:szCs w:val="21"/>
                      <w:shd w:val="clear" w:color="auto" w:fill="auto"/>
                    </w:rPr>
                    <w:t>深度处理后排入起步溪。</w:t>
                  </w:r>
                </w:p>
              </w:tc>
              <w:tc>
                <w:tcPr>
                  <w:tcW w:w="1318" w:type="dxa"/>
                  <w:tcBorders>
                    <w:tl2br w:val="nil"/>
                    <w:tr2bl w:val="nil"/>
                  </w:tcBorders>
                  <w:shd w:val="clear" w:color="auto" w:fill="auto"/>
                  <w:vAlign w:val="center"/>
                </w:tcPr>
                <w:p w14:paraId="3DD6D16E">
                  <w:pPr>
                    <w:pStyle w:val="115"/>
                    <w:keepNext w:val="0"/>
                    <w:keepLines w:val="0"/>
                    <w:pageBreakBefore w:val="0"/>
                    <w:widowControl w:val="0"/>
                    <w:kinsoku/>
                    <w:wordWrap/>
                    <w:overflowPunct/>
                    <w:topLinePunct w:val="0"/>
                    <w:bidi w:val="0"/>
                    <w:adjustRightInd/>
                    <w:snapToGrid/>
                    <w:spacing w:line="240" w:lineRule="auto"/>
                    <w:ind w:left="0" w:leftChars="0" w:right="0" w:firstLine="0"/>
                    <w:textAlignment w:val="auto"/>
                    <w:rPr>
                      <w:rFonts w:ascii="Times New Roman" w:hAnsi="Times New Roman" w:eastAsia="宋体" w:cs="宋体"/>
                      <w:color w:val="auto"/>
                      <w:kern w:val="2"/>
                      <w:sz w:val="21"/>
                      <w:szCs w:val="21"/>
                      <w:shd w:val="clear" w:color="auto" w:fill="auto"/>
                      <w:lang w:val="en-US" w:eastAsia="en-US" w:bidi="ar-SA"/>
                    </w:rPr>
                  </w:pPr>
                  <w:r>
                    <w:rPr>
                      <w:rFonts w:ascii="Times New Roman" w:hAnsi="Times New Roman" w:eastAsia="宋体"/>
                      <w:color w:val="auto"/>
                      <w:spacing w:val="4"/>
                      <w:sz w:val="21"/>
                      <w:szCs w:val="21"/>
                      <w:shd w:val="clear" w:color="auto" w:fill="auto"/>
                    </w:rPr>
                    <w:t>新建</w:t>
                  </w:r>
                </w:p>
              </w:tc>
            </w:tr>
            <w:tr w14:paraId="281D787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1436" w:type="dxa"/>
                  <w:vMerge w:val="continue"/>
                  <w:tcBorders>
                    <w:tl2br w:val="nil"/>
                    <w:tr2bl w:val="nil"/>
                  </w:tcBorders>
                  <w:vAlign w:val="center"/>
                </w:tcPr>
                <w:p w14:paraId="1527377F">
                  <w:pPr>
                    <w:pStyle w:val="46"/>
                    <w:keepNext w:val="0"/>
                    <w:keepLines w:val="0"/>
                    <w:pageBreakBefore w:val="0"/>
                    <w:widowControl w:val="0"/>
                    <w:kinsoku/>
                    <w:wordWrap/>
                    <w:overflowPunct/>
                    <w:topLinePunct w:val="0"/>
                    <w:bidi w:val="0"/>
                    <w:adjustRightInd/>
                    <w:snapToGrid/>
                    <w:spacing w:line="240" w:lineRule="auto"/>
                    <w:ind w:left="0" w:right="0" w:firstLine="0" w:firstLineChars="0"/>
                    <w:jc w:val="center"/>
                    <w:textAlignment w:val="auto"/>
                    <w:rPr>
                      <w:rFonts w:ascii="Times New Roman" w:hAnsi="Times New Roman" w:eastAsia="宋体"/>
                      <w:color w:val="auto"/>
                      <w:sz w:val="21"/>
                      <w:szCs w:val="21"/>
                      <w:highlight w:val="none"/>
                      <w:shd w:val="clear" w:color="auto" w:fill="auto"/>
                      <w:vertAlign w:val="baseline"/>
                    </w:rPr>
                  </w:pPr>
                </w:p>
              </w:tc>
              <w:tc>
                <w:tcPr>
                  <w:tcW w:w="2109" w:type="dxa"/>
                  <w:vMerge w:val="continue"/>
                  <w:tcBorders>
                    <w:tl2br w:val="nil"/>
                    <w:tr2bl w:val="nil"/>
                  </w:tcBorders>
                  <w:shd w:val="clear" w:color="auto" w:fill="auto"/>
                  <w:vAlign w:val="center"/>
                </w:tcPr>
                <w:p w14:paraId="00B1B80A">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olor w:val="auto"/>
                      <w:spacing w:val="7"/>
                      <w:sz w:val="21"/>
                      <w:szCs w:val="21"/>
                      <w:shd w:val="clear" w:color="auto" w:fill="auto"/>
                    </w:rPr>
                  </w:pPr>
                </w:p>
              </w:tc>
              <w:tc>
                <w:tcPr>
                  <w:tcW w:w="2950" w:type="dxa"/>
                  <w:tcBorders>
                    <w:tl2br w:val="nil"/>
                    <w:tr2bl w:val="nil"/>
                  </w:tcBorders>
                  <w:shd w:val="clear" w:color="auto" w:fill="auto"/>
                  <w:vAlign w:val="center"/>
                </w:tcPr>
                <w:p w14:paraId="6130BBA1">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s="宋体"/>
                      <w:color w:val="auto"/>
                      <w:kern w:val="2"/>
                      <w:sz w:val="21"/>
                      <w:szCs w:val="21"/>
                      <w:shd w:val="clear" w:color="auto" w:fill="auto"/>
                      <w:lang w:val="en-US" w:eastAsia="en-US" w:bidi="ar-SA"/>
                    </w:rPr>
                  </w:pPr>
                  <w:r>
                    <w:rPr>
                      <w:rFonts w:ascii="Times New Roman" w:hAnsi="Times New Roman" w:eastAsia="宋体"/>
                      <w:color w:val="auto"/>
                      <w:spacing w:val="6"/>
                      <w:sz w:val="21"/>
                      <w:szCs w:val="21"/>
                      <w:shd w:val="clear" w:color="auto" w:fill="auto"/>
                    </w:rPr>
                    <w:t>生活污水</w:t>
                  </w:r>
                </w:p>
              </w:tc>
              <w:tc>
                <w:tcPr>
                  <w:tcW w:w="2177" w:type="dxa"/>
                  <w:vMerge w:val="continue"/>
                  <w:tcBorders>
                    <w:tl2br w:val="nil"/>
                    <w:tr2bl w:val="nil"/>
                  </w:tcBorders>
                  <w:shd w:val="clear" w:color="auto" w:fill="auto"/>
                  <w:vAlign w:val="center"/>
                </w:tcPr>
                <w:p w14:paraId="7B6D54CC">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hint="default" w:ascii="Times New Roman" w:hAnsi="Times New Roman" w:eastAsia="宋体" w:cs="宋体"/>
                      <w:color w:val="auto"/>
                      <w:kern w:val="2"/>
                      <w:sz w:val="21"/>
                      <w:szCs w:val="21"/>
                      <w:shd w:val="clear" w:color="auto" w:fill="auto"/>
                      <w:lang w:val="en-US" w:eastAsia="en-US" w:bidi="ar-SA"/>
                    </w:rPr>
                  </w:pPr>
                </w:p>
              </w:tc>
              <w:tc>
                <w:tcPr>
                  <w:tcW w:w="1318" w:type="dxa"/>
                  <w:tcBorders>
                    <w:tl2br w:val="nil"/>
                    <w:tr2bl w:val="nil"/>
                  </w:tcBorders>
                  <w:shd w:val="clear" w:color="auto" w:fill="auto"/>
                  <w:vAlign w:val="center"/>
                </w:tcPr>
                <w:p w14:paraId="4657881F">
                  <w:pPr>
                    <w:pStyle w:val="115"/>
                    <w:keepNext w:val="0"/>
                    <w:keepLines w:val="0"/>
                    <w:pageBreakBefore w:val="0"/>
                    <w:widowControl w:val="0"/>
                    <w:kinsoku/>
                    <w:wordWrap/>
                    <w:overflowPunct/>
                    <w:topLinePunct w:val="0"/>
                    <w:bidi w:val="0"/>
                    <w:adjustRightInd/>
                    <w:snapToGrid/>
                    <w:spacing w:line="240" w:lineRule="auto"/>
                    <w:ind w:left="0" w:right="0" w:firstLine="0"/>
                    <w:textAlignment w:val="auto"/>
                    <w:rPr>
                      <w:rFonts w:ascii="Times New Roman" w:hAnsi="Times New Roman" w:eastAsia="宋体"/>
                      <w:color w:val="auto"/>
                      <w:sz w:val="21"/>
                      <w:szCs w:val="21"/>
                      <w:shd w:val="clear" w:color="auto" w:fill="auto"/>
                    </w:rPr>
                  </w:pPr>
                  <w:r>
                    <w:rPr>
                      <w:rFonts w:ascii="Times New Roman" w:hAnsi="Times New Roman" w:eastAsia="宋体"/>
                      <w:color w:val="auto"/>
                      <w:spacing w:val="8"/>
                      <w:sz w:val="21"/>
                      <w:szCs w:val="21"/>
                      <w:shd w:val="clear" w:color="auto" w:fill="auto"/>
                    </w:rPr>
                    <w:t>化粪池依托配</w:t>
                  </w:r>
                </w:p>
                <w:p w14:paraId="4F48CAD1">
                  <w:pPr>
                    <w:pStyle w:val="115"/>
                    <w:keepNext w:val="0"/>
                    <w:keepLines w:val="0"/>
                    <w:pageBreakBefore w:val="0"/>
                    <w:widowControl w:val="0"/>
                    <w:kinsoku/>
                    <w:wordWrap/>
                    <w:overflowPunct/>
                    <w:topLinePunct w:val="0"/>
                    <w:bidi w:val="0"/>
                    <w:adjustRightInd/>
                    <w:snapToGrid/>
                    <w:spacing w:line="240" w:lineRule="auto"/>
                    <w:ind w:left="0" w:leftChars="0" w:right="0" w:firstLine="0"/>
                    <w:textAlignment w:val="auto"/>
                    <w:rPr>
                      <w:rFonts w:ascii="Times New Roman" w:hAnsi="Times New Roman" w:eastAsia="宋体" w:cs="宋体"/>
                      <w:color w:val="auto"/>
                      <w:kern w:val="2"/>
                      <w:sz w:val="21"/>
                      <w:szCs w:val="21"/>
                      <w:shd w:val="clear" w:color="auto" w:fill="auto"/>
                      <w:lang w:val="en-US" w:eastAsia="en-US" w:bidi="ar-SA"/>
                    </w:rPr>
                  </w:pPr>
                  <w:r>
                    <w:rPr>
                      <w:rFonts w:ascii="Times New Roman" w:hAnsi="Times New Roman" w:eastAsia="宋体"/>
                      <w:color w:val="auto"/>
                      <w:sz w:val="21"/>
                      <w:szCs w:val="21"/>
                      <w:shd w:val="clear" w:color="auto" w:fill="auto"/>
                    </w:rPr>
                    <w:t>套</w:t>
                  </w:r>
                </w:p>
              </w:tc>
            </w:tr>
            <w:tr w14:paraId="7D87EC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094" w:hRule="atLeast"/>
              </w:trPr>
              <w:tc>
                <w:tcPr>
                  <w:tcW w:w="1436" w:type="dxa"/>
                  <w:vMerge w:val="continue"/>
                  <w:tcBorders>
                    <w:tl2br w:val="nil"/>
                    <w:tr2bl w:val="nil"/>
                  </w:tcBorders>
                  <w:vAlign w:val="center"/>
                </w:tcPr>
                <w:p w14:paraId="389D2614">
                  <w:pPr>
                    <w:pStyle w:val="46"/>
                    <w:keepNext w:val="0"/>
                    <w:keepLines w:val="0"/>
                    <w:pageBreakBefore w:val="0"/>
                    <w:widowControl w:val="0"/>
                    <w:kinsoku/>
                    <w:wordWrap/>
                    <w:overflowPunct/>
                    <w:topLinePunct w:val="0"/>
                    <w:bidi w:val="0"/>
                    <w:adjustRightInd/>
                    <w:snapToGrid/>
                    <w:spacing w:line="240" w:lineRule="auto"/>
                    <w:ind w:left="0" w:right="0" w:firstLine="0" w:firstLineChars="0"/>
                    <w:jc w:val="center"/>
                    <w:textAlignment w:val="auto"/>
                    <w:rPr>
                      <w:rFonts w:ascii="Times New Roman" w:hAnsi="Times New Roman" w:eastAsia="宋体"/>
                      <w:color w:val="auto"/>
                      <w:sz w:val="21"/>
                      <w:szCs w:val="21"/>
                      <w:highlight w:val="none"/>
                      <w:shd w:val="clear" w:color="auto" w:fill="auto"/>
                      <w:vertAlign w:val="baseline"/>
                    </w:rPr>
                  </w:pPr>
                </w:p>
              </w:tc>
              <w:tc>
                <w:tcPr>
                  <w:tcW w:w="2109" w:type="dxa"/>
                  <w:vMerge w:val="restart"/>
                  <w:tcBorders>
                    <w:tl2br w:val="nil"/>
                    <w:tr2bl w:val="nil"/>
                  </w:tcBorders>
                  <w:shd w:val="clear" w:color="auto" w:fill="auto"/>
                  <w:vAlign w:val="center"/>
                </w:tcPr>
                <w:p w14:paraId="1B8AB0CD">
                  <w:pPr>
                    <w:pStyle w:val="115"/>
                    <w:keepNext w:val="0"/>
                    <w:keepLines w:val="0"/>
                    <w:pageBreakBefore w:val="0"/>
                    <w:widowControl w:val="0"/>
                    <w:kinsoku/>
                    <w:wordWrap/>
                    <w:overflowPunct/>
                    <w:topLinePunct w:val="0"/>
                    <w:bidi w:val="0"/>
                    <w:adjustRightInd/>
                    <w:snapToGrid/>
                    <w:spacing w:line="240" w:lineRule="auto"/>
                    <w:ind w:left="0" w:right="0" w:firstLine="0"/>
                    <w:jc w:val="center"/>
                    <w:textAlignment w:val="auto"/>
                    <w:rPr>
                      <w:rFonts w:ascii="Times New Roman" w:hAnsi="Times New Roman" w:eastAsia="宋体" w:cs="宋体"/>
                      <w:color w:val="auto"/>
                      <w:kern w:val="2"/>
                      <w:sz w:val="21"/>
                      <w:szCs w:val="21"/>
                      <w:shd w:val="clear" w:color="auto" w:fill="auto"/>
                      <w:lang w:val="en-US" w:eastAsia="en-US" w:bidi="ar-SA"/>
                    </w:rPr>
                  </w:pPr>
                  <w:r>
                    <w:rPr>
                      <w:rFonts w:ascii="Times New Roman" w:hAnsi="Times New Roman" w:eastAsia="宋体"/>
                      <w:color w:val="auto"/>
                      <w:spacing w:val="8"/>
                      <w:sz w:val="21"/>
                      <w:szCs w:val="21"/>
                      <w:shd w:val="clear" w:color="auto" w:fill="auto"/>
                    </w:rPr>
                    <w:t>废气处理措</w:t>
                  </w:r>
                  <w:r>
                    <w:rPr>
                      <w:rFonts w:ascii="Times New Roman" w:hAnsi="Times New Roman" w:eastAsia="宋体"/>
                      <w:color w:val="auto"/>
                      <w:spacing w:val="1"/>
                      <w:sz w:val="21"/>
                      <w:szCs w:val="21"/>
                      <w:shd w:val="clear" w:color="auto" w:fill="auto"/>
                    </w:rPr>
                    <w:t>施</w:t>
                  </w:r>
                </w:p>
              </w:tc>
              <w:tc>
                <w:tcPr>
                  <w:tcW w:w="2950" w:type="dxa"/>
                  <w:tcBorders>
                    <w:tl2br w:val="nil"/>
                    <w:tr2bl w:val="nil"/>
                  </w:tcBorders>
                  <w:shd w:val="clear" w:color="auto" w:fill="auto"/>
                  <w:vAlign w:val="center"/>
                </w:tcPr>
                <w:p w14:paraId="010D6987">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hint="default" w:ascii="Times New Roman" w:hAnsi="Times New Roman" w:eastAsia="宋体" w:cs="宋体"/>
                      <w:color w:val="auto"/>
                      <w:kern w:val="2"/>
                      <w:sz w:val="21"/>
                      <w:szCs w:val="21"/>
                      <w:shd w:val="clear" w:color="auto" w:fill="auto"/>
                      <w:lang w:val="en-US" w:eastAsia="en-US" w:bidi="ar-SA"/>
                    </w:rPr>
                  </w:pPr>
                  <w:r>
                    <w:rPr>
                      <w:rFonts w:hint="eastAsia" w:ascii="Times New Roman" w:hAnsi="Times New Roman" w:eastAsia="宋体"/>
                      <w:color w:val="auto"/>
                      <w:spacing w:val="-3"/>
                      <w:sz w:val="21"/>
                      <w:szCs w:val="21"/>
                      <w:shd w:val="clear" w:color="auto" w:fill="auto"/>
                      <w:lang w:eastAsia="zh-CN"/>
                    </w:rPr>
                    <w:t>污水处理设施废气</w:t>
                  </w:r>
                </w:p>
              </w:tc>
              <w:tc>
                <w:tcPr>
                  <w:tcW w:w="2177" w:type="dxa"/>
                  <w:tcBorders>
                    <w:tl2br w:val="nil"/>
                    <w:tr2bl w:val="nil"/>
                  </w:tcBorders>
                  <w:shd w:val="clear" w:color="auto" w:fill="auto"/>
                  <w:vAlign w:val="center"/>
                </w:tcPr>
                <w:p w14:paraId="28691B0E">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hint="default" w:ascii="Times New Roman" w:hAnsi="Times New Roman" w:eastAsia="宋体" w:cs="宋体"/>
                      <w:color w:val="auto"/>
                      <w:kern w:val="2"/>
                      <w:sz w:val="21"/>
                      <w:szCs w:val="21"/>
                      <w:shd w:val="clear" w:color="auto" w:fill="auto"/>
                      <w:lang w:val="en-US" w:eastAsia="zh-CN" w:bidi="ar-SA"/>
                    </w:rPr>
                  </w:pPr>
                  <w:r>
                    <w:rPr>
                      <w:rFonts w:hint="eastAsia" w:ascii="Times New Roman" w:hAnsi="Times New Roman" w:cs="宋体"/>
                      <w:color w:val="auto"/>
                      <w:kern w:val="2"/>
                      <w:sz w:val="21"/>
                      <w:szCs w:val="21"/>
                      <w:shd w:val="clear" w:color="auto" w:fill="auto"/>
                      <w:lang w:val="en-US" w:eastAsia="zh-CN" w:bidi="ar-SA"/>
                    </w:rPr>
                    <w:t>经收集后由活性炭吸附后，引至15m排气筒排放</w:t>
                  </w:r>
                </w:p>
              </w:tc>
              <w:tc>
                <w:tcPr>
                  <w:tcW w:w="1318" w:type="dxa"/>
                  <w:vMerge w:val="restart"/>
                  <w:tcBorders>
                    <w:tl2br w:val="nil"/>
                    <w:tr2bl w:val="nil"/>
                  </w:tcBorders>
                  <w:shd w:val="clear" w:color="auto" w:fill="auto"/>
                  <w:vAlign w:val="center"/>
                </w:tcPr>
                <w:p w14:paraId="5B517850">
                  <w:pPr>
                    <w:pStyle w:val="115"/>
                    <w:keepNext w:val="0"/>
                    <w:keepLines w:val="0"/>
                    <w:pageBreakBefore w:val="0"/>
                    <w:widowControl w:val="0"/>
                    <w:kinsoku/>
                    <w:wordWrap/>
                    <w:overflowPunct/>
                    <w:topLinePunct w:val="0"/>
                    <w:bidi w:val="0"/>
                    <w:adjustRightInd/>
                    <w:snapToGrid/>
                    <w:spacing w:line="240" w:lineRule="auto"/>
                    <w:ind w:left="0" w:leftChars="0" w:right="0" w:firstLine="0"/>
                    <w:textAlignment w:val="auto"/>
                    <w:rPr>
                      <w:rFonts w:ascii="Times New Roman" w:hAnsi="Times New Roman" w:eastAsia="宋体" w:cs="宋体"/>
                      <w:color w:val="auto"/>
                      <w:kern w:val="2"/>
                      <w:sz w:val="21"/>
                      <w:szCs w:val="21"/>
                      <w:shd w:val="clear" w:color="auto" w:fill="auto"/>
                      <w:lang w:val="en-US" w:eastAsia="en-US" w:bidi="ar-SA"/>
                    </w:rPr>
                  </w:pPr>
                  <w:r>
                    <w:rPr>
                      <w:rFonts w:ascii="Times New Roman" w:hAnsi="Times New Roman" w:eastAsia="宋体"/>
                      <w:color w:val="auto"/>
                      <w:spacing w:val="4"/>
                      <w:sz w:val="21"/>
                      <w:szCs w:val="21"/>
                      <w:shd w:val="clear" w:color="auto" w:fill="auto"/>
                    </w:rPr>
                    <w:t>新建</w:t>
                  </w:r>
                </w:p>
              </w:tc>
            </w:tr>
            <w:tr w14:paraId="065316F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094" w:hRule="atLeast"/>
              </w:trPr>
              <w:tc>
                <w:tcPr>
                  <w:tcW w:w="1436" w:type="dxa"/>
                  <w:vMerge w:val="continue"/>
                  <w:tcBorders>
                    <w:tl2br w:val="nil"/>
                    <w:tr2bl w:val="nil"/>
                  </w:tcBorders>
                  <w:vAlign w:val="center"/>
                </w:tcPr>
                <w:p w14:paraId="01C45BDE">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olor w:val="auto"/>
                      <w:spacing w:val="-3"/>
                      <w:sz w:val="21"/>
                      <w:szCs w:val="21"/>
                      <w:shd w:val="clear" w:color="auto" w:fill="auto"/>
                    </w:rPr>
                  </w:pPr>
                </w:p>
              </w:tc>
              <w:tc>
                <w:tcPr>
                  <w:tcW w:w="2109" w:type="dxa"/>
                  <w:vMerge w:val="continue"/>
                  <w:tcBorders>
                    <w:tl2br w:val="nil"/>
                    <w:tr2bl w:val="nil"/>
                  </w:tcBorders>
                  <w:shd w:val="clear" w:color="auto" w:fill="auto"/>
                  <w:vAlign w:val="center"/>
                </w:tcPr>
                <w:p w14:paraId="3C256901">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olor w:val="auto"/>
                      <w:spacing w:val="-3"/>
                      <w:sz w:val="21"/>
                      <w:szCs w:val="21"/>
                      <w:shd w:val="clear" w:color="auto" w:fill="auto"/>
                    </w:rPr>
                  </w:pPr>
                </w:p>
              </w:tc>
              <w:tc>
                <w:tcPr>
                  <w:tcW w:w="2950" w:type="dxa"/>
                  <w:tcBorders>
                    <w:tl2br w:val="nil"/>
                    <w:tr2bl w:val="nil"/>
                  </w:tcBorders>
                  <w:shd w:val="clear" w:color="auto" w:fill="auto"/>
                  <w:vAlign w:val="center"/>
                </w:tcPr>
                <w:p w14:paraId="000DD4C1">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hint="default" w:ascii="Times New Roman" w:hAnsi="Times New Roman" w:eastAsia="宋体"/>
                      <w:color w:val="auto"/>
                      <w:spacing w:val="-3"/>
                      <w:sz w:val="21"/>
                      <w:szCs w:val="21"/>
                      <w:shd w:val="clear" w:color="auto" w:fill="auto"/>
                      <w:lang w:val="en-US" w:eastAsia="zh-CN"/>
                    </w:rPr>
                  </w:pPr>
                  <w:r>
                    <w:rPr>
                      <w:rFonts w:hint="eastAsia" w:ascii="Times New Roman" w:hAnsi="Times New Roman"/>
                      <w:color w:val="auto"/>
                      <w:spacing w:val="-3"/>
                      <w:sz w:val="21"/>
                      <w:szCs w:val="21"/>
                      <w:shd w:val="clear" w:color="auto" w:fill="auto"/>
                      <w:lang w:val="en-US" w:eastAsia="zh-CN"/>
                    </w:rPr>
                    <w:t>医疗区废气</w:t>
                  </w:r>
                </w:p>
              </w:tc>
              <w:tc>
                <w:tcPr>
                  <w:tcW w:w="2177" w:type="dxa"/>
                  <w:tcBorders>
                    <w:tl2br w:val="nil"/>
                    <w:tr2bl w:val="nil"/>
                  </w:tcBorders>
                  <w:shd w:val="clear" w:color="auto" w:fill="auto"/>
                  <w:vAlign w:val="center"/>
                </w:tcPr>
                <w:p w14:paraId="02ECAC0A">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hint="default" w:ascii="Times New Roman" w:hAnsi="Times New Roman" w:eastAsia="宋体"/>
                      <w:color w:val="auto"/>
                      <w:spacing w:val="-3"/>
                      <w:sz w:val="21"/>
                      <w:szCs w:val="21"/>
                      <w:shd w:val="clear" w:color="auto" w:fill="auto"/>
                      <w:lang w:val="en-US" w:eastAsia="zh-CN"/>
                    </w:rPr>
                  </w:pPr>
                  <w:r>
                    <w:rPr>
                      <w:rFonts w:hint="eastAsia" w:ascii="Times New Roman" w:hAnsi="Times New Roman"/>
                      <w:color w:val="auto"/>
                      <w:spacing w:val="-3"/>
                      <w:sz w:val="21"/>
                      <w:szCs w:val="21"/>
                      <w:shd w:val="clear" w:color="auto" w:fill="auto"/>
                      <w:lang w:val="en-US" w:eastAsia="zh-CN"/>
                    </w:rPr>
                    <w:t>设置通风排气设施，门诊、病房区域采取定时消毒</w:t>
                  </w:r>
                </w:p>
              </w:tc>
              <w:tc>
                <w:tcPr>
                  <w:tcW w:w="1318" w:type="dxa"/>
                  <w:vMerge w:val="continue"/>
                  <w:tcBorders>
                    <w:tl2br w:val="nil"/>
                    <w:tr2bl w:val="nil"/>
                  </w:tcBorders>
                  <w:shd w:val="clear" w:color="auto" w:fill="auto"/>
                  <w:vAlign w:val="center"/>
                </w:tcPr>
                <w:p w14:paraId="10802296">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olor w:val="auto"/>
                      <w:spacing w:val="-3"/>
                      <w:sz w:val="21"/>
                      <w:szCs w:val="21"/>
                      <w:shd w:val="clear" w:color="auto" w:fill="auto"/>
                    </w:rPr>
                  </w:pPr>
                </w:p>
              </w:tc>
            </w:tr>
            <w:tr w14:paraId="2195571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03" w:hRule="atLeast"/>
              </w:trPr>
              <w:tc>
                <w:tcPr>
                  <w:tcW w:w="1436" w:type="dxa"/>
                  <w:vMerge w:val="continue"/>
                  <w:tcBorders>
                    <w:tl2br w:val="nil"/>
                    <w:tr2bl w:val="nil"/>
                  </w:tcBorders>
                  <w:vAlign w:val="center"/>
                </w:tcPr>
                <w:p w14:paraId="49607AB6">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olor w:val="auto"/>
                      <w:spacing w:val="-3"/>
                      <w:sz w:val="21"/>
                      <w:szCs w:val="21"/>
                      <w:shd w:val="clear" w:color="auto" w:fill="auto"/>
                    </w:rPr>
                  </w:pPr>
                </w:p>
              </w:tc>
              <w:tc>
                <w:tcPr>
                  <w:tcW w:w="2109" w:type="dxa"/>
                  <w:vMerge w:val="continue"/>
                  <w:tcBorders>
                    <w:tl2br w:val="nil"/>
                    <w:tr2bl w:val="nil"/>
                  </w:tcBorders>
                  <w:shd w:val="clear" w:color="auto" w:fill="auto"/>
                  <w:vAlign w:val="center"/>
                </w:tcPr>
                <w:p w14:paraId="06AD946C">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olor w:val="auto"/>
                      <w:spacing w:val="-3"/>
                      <w:sz w:val="21"/>
                      <w:szCs w:val="21"/>
                      <w:shd w:val="clear" w:color="auto" w:fill="auto"/>
                    </w:rPr>
                  </w:pPr>
                </w:p>
              </w:tc>
              <w:tc>
                <w:tcPr>
                  <w:tcW w:w="2950" w:type="dxa"/>
                  <w:tcBorders>
                    <w:tl2br w:val="nil"/>
                    <w:tr2bl w:val="nil"/>
                  </w:tcBorders>
                  <w:shd w:val="clear" w:color="auto" w:fill="auto"/>
                  <w:vAlign w:val="center"/>
                </w:tcPr>
                <w:p w14:paraId="53001845">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hint="default" w:ascii="Times New Roman" w:hAnsi="Times New Roman" w:eastAsia="宋体"/>
                      <w:color w:val="auto"/>
                      <w:spacing w:val="-3"/>
                      <w:sz w:val="21"/>
                      <w:szCs w:val="21"/>
                      <w:shd w:val="clear" w:color="auto" w:fill="auto"/>
                      <w:lang w:val="en-US" w:eastAsia="zh-CN"/>
                    </w:rPr>
                  </w:pPr>
                  <w:r>
                    <w:rPr>
                      <w:rFonts w:hint="eastAsia" w:ascii="Times New Roman" w:hAnsi="Times New Roman"/>
                      <w:color w:val="auto"/>
                      <w:spacing w:val="-3"/>
                      <w:sz w:val="21"/>
                      <w:szCs w:val="21"/>
                      <w:shd w:val="clear" w:color="auto" w:fill="auto"/>
                      <w:lang w:val="en-US" w:eastAsia="zh-CN"/>
                    </w:rPr>
                    <w:t>化验室废气</w:t>
                  </w:r>
                </w:p>
              </w:tc>
              <w:tc>
                <w:tcPr>
                  <w:tcW w:w="2177" w:type="dxa"/>
                  <w:tcBorders>
                    <w:tl2br w:val="nil"/>
                    <w:tr2bl w:val="nil"/>
                  </w:tcBorders>
                  <w:shd w:val="clear" w:color="auto" w:fill="auto"/>
                  <w:vAlign w:val="center"/>
                </w:tcPr>
                <w:p w14:paraId="35CDD17E">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hint="default" w:ascii="Times New Roman" w:hAnsi="Times New Roman" w:eastAsia="宋体"/>
                      <w:color w:val="auto"/>
                      <w:spacing w:val="-3"/>
                      <w:sz w:val="21"/>
                      <w:szCs w:val="21"/>
                      <w:shd w:val="clear" w:color="auto" w:fill="auto"/>
                      <w:lang w:val="en-US" w:eastAsia="zh-CN"/>
                    </w:rPr>
                  </w:pPr>
                  <w:r>
                    <w:rPr>
                      <w:rFonts w:hint="eastAsia" w:ascii="Times New Roman" w:hAnsi="Times New Roman"/>
                      <w:color w:val="auto"/>
                      <w:spacing w:val="-3"/>
                      <w:sz w:val="21"/>
                      <w:szCs w:val="21"/>
                      <w:shd w:val="clear" w:color="auto" w:fill="auto"/>
                      <w:lang w:val="en-US" w:eastAsia="zh-CN"/>
                    </w:rPr>
                    <w:t>通过机械通风设备将实验室排放的各种废气经过处理后输送到楼顶排放</w:t>
                  </w:r>
                </w:p>
              </w:tc>
              <w:tc>
                <w:tcPr>
                  <w:tcW w:w="1318" w:type="dxa"/>
                  <w:vMerge w:val="continue"/>
                  <w:tcBorders>
                    <w:tl2br w:val="nil"/>
                    <w:tr2bl w:val="nil"/>
                  </w:tcBorders>
                  <w:shd w:val="clear" w:color="auto" w:fill="auto"/>
                  <w:vAlign w:val="center"/>
                </w:tcPr>
                <w:p w14:paraId="43D312FD">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olor w:val="auto"/>
                      <w:spacing w:val="-3"/>
                      <w:sz w:val="21"/>
                      <w:szCs w:val="21"/>
                      <w:shd w:val="clear" w:color="auto" w:fill="auto"/>
                    </w:rPr>
                  </w:pPr>
                </w:p>
              </w:tc>
            </w:tr>
            <w:tr w14:paraId="06EA0E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318" w:type="dxa"/>
              </w:trPr>
              <w:tc>
                <w:tcPr>
                  <w:tcW w:w="1436" w:type="dxa"/>
                  <w:tcBorders>
                    <w:tl2br w:val="nil"/>
                    <w:tr2bl w:val="nil"/>
                  </w:tcBorders>
                  <w:shd w:val="clear" w:color="auto" w:fill="auto"/>
                  <w:vAlign w:val="center"/>
                </w:tcPr>
                <w:p w14:paraId="023DF1C2">
                  <w:pPr>
                    <w:pStyle w:val="115"/>
                    <w:keepNext w:val="0"/>
                    <w:keepLines w:val="0"/>
                    <w:pageBreakBefore w:val="0"/>
                    <w:widowControl w:val="0"/>
                    <w:kinsoku/>
                    <w:wordWrap/>
                    <w:overflowPunct/>
                    <w:topLinePunct w:val="0"/>
                    <w:bidi w:val="0"/>
                    <w:adjustRightInd/>
                    <w:snapToGrid/>
                    <w:spacing w:line="240" w:lineRule="auto"/>
                    <w:ind w:left="0" w:right="0" w:firstLine="0"/>
                    <w:jc w:val="center"/>
                    <w:textAlignment w:val="auto"/>
                    <w:rPr>
                      <w:rFonts w:ascii="Times New Roman" w:hAnsi="Times New Roman" w:eastAsia="宋体"/>
                      <w:color w:val="auto"/>
                      <w:sz w:val="21"/>
                      <w:shd w:val="clear" w:color="auto" w:fill="auto"/>
                    </w:rPr>
                  </w:pPr>
                  <w:r>
                    <w:rPr>
                      <w:rFonts w:ascii="Times New Roman" w:hAnsi="Times New Roman" w:eastAsia="宋体"/>
                      <w:color w:val="auto"/>
                      <w:spacing w:val="6"/>
                      <w:sz w:val="21"/>
                      <w:shd w:val="clear" w:color="auto" w:fill="auto"/>
                    </w:rPr>
                    <w:t>噪声治理措</w:t>
                  </w:r>
                </w:p>
                <w:p w14:paraId="1B4680DE">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s="宋体"/>
                      <w:color w:val="auto"/>
                      <w:kern w:val="2"/>
                      <w:sz w:val="21"/>
                      <w:szCs w:val="24"/>
                      <w:shd w:val="clear" w:color="auto" w:fill="auto"/>
                      <w:lang w:val="en-US" w:eastAsia="en-US" w:bidi="ar-SA"/>
                    </w:rPr>
                  </w:pPr>
                  <w:r>
                    <w:rPr>
                      <w:rFonts w:ascii="Times New Roman" w:hAnsi="Times New Roman" w:eastAsia="宋体"/>
                      <w:color w:val="auto"/>
                      <w:spacing w:val="1"/>
                      <w:sz w:val="21"/>
                      <w:shd w:val="clear" w:color="auto" w:fill="auto"/>
                    </w:rPr>
                    <w:t>施</w:t>
                  </w:r>
                </w:p>
              </w:tc>
              <w:tc>
                <w:tcPr>
                  <w:tcW w:w="5059" w:type="dxa"/>
                  <w:gridSpan w:val="2"/>
                  <w:tcBorders>
                    <w:tl2br w:val="nil"/>
                    <w:tr2bl w:val="nil"/>
                  </w:tcBorders>
                  <w:shd w:val="clear" w:color="auto" w:fill="auto"/>
                  <w:vAlign w:val="center"/>
                </w:tcPr>
                <w:p w14:paraId="0F26683A">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s="宋体"/>
                      <w:color w:val="auto"/>
                      <w:kern w:val="2"/>
                      <w:sz w:val="21"/>
                      <w:szCs w:val="24"/>
                      <w:shd w:val="clear" w:color="auto" w:fill="auto"/>
                      <w:lang w:val="en-US" w:eastAsia="en-US" w:bidi="ar-SA"/>
                    </w:rPr>
                  </w:pPr>
                  <w:r>
                    <w:rPr>
                      <w:rFonts w:hint="eastAsia" w:ascii="Times New Roman" w:hAnsi="Times New Roman" w:eastAsia="宋体"/>
                      <w:color w:val="auto"/>
                      <w:spacing w:val="8"/>
                      <w:sz w:val="21"/>
                      <w:shd w:val="clear" w:color="auto" w:fill="auto"/>
                    </w:rPr>
                    <w:t>水泵等安装减振垫，墙体隔声、设备底座减震</w:t>
                  </w:r>
                </w:p>
              </w:tc>
              <w:tc>
                <w:tcPr>
                  <w:tcW w:w="2177" w:type="dxa"/>
                  <w:tcBorders>
                    <w:tl2br w:val="nil"/>
                    <w:tr2bl w:val="nil"/>
                  </w:tcBorders>
                  <w:shd w:val="clear" w:color="auto" w:fill="auto"/>
                  <w:vAlign w:val="center"/>
                </w:tcPr>
                <w:p w14:paraId="39B2678C">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olor w:val="auto"/>
                      <w:spacing w:val="3"/>
                      <w:sz w:val="21"/>
                      <w:szCs w:val="21"/>
                      <w:shd w:val="clear" w:color="auto" w:fill="auto"/>
                    </w:rPr>
                  </w:pPr>
                  <w:r>
                    <w:rPr>
                      <w:rFonts w:ascii="Times New Roman" w:hAnsi="Times New Roman" w:eastAsia="宋体"/>
                      <w:color w:val="auto"/>
                      <w:spacing w:val="4"/>
                      <w:sz w:val="21"/>
                      <w:shd w:val="clear" w:color="auto" w:fill="auto"/>
                    </w:rPr>
                    <w:t>新建</w:t>
                  </w:r>
                </w:p>
              </w:tc>
            </w:tr>
            <w:tr w14:paraId="0DD80A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318" w:type="dxa"/>
              </w:trPr>
              <w:tc>
                <w:tcPr>
                  <w:tcW w:w="1436" w:type="dxa"/>
                  <w:vMerge w:val="restart"/>
                  <w:tcBorders>
                    <w:tl2br w:val="nil"/>
                    <w:tr2bl w:val="nil"/>
                  </w:tcBorders>
                  <w:shd w:val="clear" w:color="auto" w:fill="auto"/>
                  <w:vAlign w:val="center"/>
                </w:tcPr>
                <w:p w14:paraId="673B0F36">
                  <w:pPr>
                    <w:pStyle w:val="115"/>
                    <w:keepNext w:val="0"/>
                    <w:keepLines w:val="0"/>
                    <w:pageBreakBefore w:val="0"/>
                    <w:widowControl w:val="0"/>
                    <w:kinsoku/>
                    <w:wordWrap/>
                    <w:overflowPunct/>
                    <w:topLinePunct w:val="0"/>
                    <w:bidi w:val="0"/>
                    <w:adjustRightInd/>
                    <w:snapToGrid/>
                    <w:spacing w:line="240" w:lineRule="auto"/>
                    <w:ind w:left="0" w:right="0" w:firstLine="0"/>
                    <w:jc w:val="center"/>
                    <w:textAlignment w:val="auto"/>
                    <w:rPr>
                      <w:rFonts w:ascii="Times New Roman" w:hAnsi="Times New Roman" w:eastAsia="宋体"/>
                      <w:color w:val="auto"/>
                      <w:sz w:val="21"/>
                      <w:shd w:val="clear" w:color="auto" w:fill="auto"/>
                    </w:rPr>
                  </w:pPr>
                  <w:r>
                    <w:rPr>
                      <w:rFonts w:ascii="Times New Roman" w:hAnsi="Times New Roman" w:eastAsia="宋体"/>
                      <w:color w:val="auto"/>
                      <w:spacing w:val="4"/>
                      <w:sz w:val="21"/>
                      <w:shd w:val="clear" w:color="auto" w:fill="auto"/>
                    </w:rPr>
                    <w:t>固废治理措</w:t>
                  </w:r>
                </w:p>
                <w:p w14:paraId="5AAE1A0E">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olor w:val="auto"/>
                      <w:sz w:val="21"/>
                      <w:szCs w:val="21"/>
                      <w:highlight w:val="none"/>
                      <w:shd w:val="clear" w:color="auto" w:fill="auto"/>
                      <w:vertAlign w:val="baseline"/>
                    </w:rPr>
                  </w:pPr>
                  <w:r>
                    <w:rPr>
                      <w:rFonts w:ascii="Times New Roman" w:hAnsi="Times New Roman" w:eastAsia="宋体"/>
                      <w:color w:val="auto"/>
                      <w:spacing w:val="1"/>
                      <w:sz w:val="21"/>
                      <w:shd w:val="clear" w:color="auto" w:fill="auto"/>
                    </w:rPr>
                    <w:t>施</w:t>
                  </w:r>
                </w:p>
              </w:tc>
              <w:tc>
                <w:tcPr>
                  <w:tcW w:w="2109" w:type="dxa"/>
                  <w:tcBorders>
                    <w:tl2br w:val="nil"/>
                    <w:tr2bl w:val="nil"/>
                  </w:tcBorders>
                  <w:shd w:val="clear" w:color="auto" w:fill="auto"/>
                  <w:vAlign w:val="center"/>
                </w:tcPr>
                <w:p w14:paraId="5BB8E13D">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s="宋体"/>
                      <w:color w:val="auto"/>
                      <w:kern w:val="2"/>
                      <w:sz w:val="21"/>
                      <w:szCs w:val="24"/>
                      <w:shd w:val="clear" w:color="auto" w:fill="auto"/>
                      <w:lang w:val="en-US" w:eastAsia="en-US" w:bidi="ar-SA"/>
                    </w:rPr>
                  </w:pPr>
                  <w:r>
                    <w:rPr>
                      <w:rFonts w:ascii="Times New Roman" w:hAnsi="Times New Roman" w:eastAsia="宋体"/>
                      <w:color w:val="auto"/>
                      <w:spacing w:val="8"/>
                      <w:sz w:val="21"/>
                      <w:shd w:val="clear" w:color="auto" w:fill="auto"/>
                    </w:rPr>
                    <w:t>废一般包装材料</w:t>
                  </w:r>
                </w:p>
              </w:tc>
              <w:tc>
                <w:tcPr>
                  <w:tcW w:w="2950" w:type="dxa"/>
                  <w:tcBorders>
                    <w:tl2br w:val="nil"/>
                    <w:tr2bl w:val="nil"/>
                  </w:tcBorders>
                  <w:shd w:val="clear" w:color="auto" w:fill="auto"/>
                  <w:vAlign w:val="center"/>
                </w:tcPr>
                <w:p w14:paraId="19CEAE98">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s="宋体"/>
                      <w:color w:val="auto"/>
                      <w:kern w:val="2"/>
                      <w:sz w:val="21"/>
                      <w:szCs w:val="24"/>
                      <w:shd w:val="clear" w:color="auto" w:fill="auto"/>
                      <w:lang w:val="en-US" w:eastAsia="en-US" w:bidi="ar-SA"/>
                    </w:rPr>
                  </w:pPr>
                  <w:r>
                    <w:rPr>
                      <w:rFonts w:ascii="Times New Roman" w:hAnsi="Times New Roman" w:eastAsia="宋体"/>
                      <w:color w:val="auto"/>
                      <w:sz w:val="21"/>
                      <w:shd w:val="clear" w:color="auto" w:fill="auto"/>
                    </w:rPr>
                    <w:t>暂存一般固废</w:t>
                  </w:r>
                  <w:r>
                    <w:rPr>
                      <w:rFonts w:hint="eastAsia" w:ascii="Times New Roman" w:hAnsi="Times New Roman"/>
                      <w:color w:val="auto"/>
                      <w:sz w:val="21"/>
                      <w:shd w:val="clear" w:color="auto" w:fill="auto"/>
                      <w:lang w:val="en-US" w:eastAsia="zh-CN"/>
                    </w:rPr>
                    <w:t>储存</w:t>
                  </w:r>
                  <w:r>
                    <w:rPr>
                      <w:rFonts w:ascii="Times New Roman" w:hAnsi="Times New Roman" w:eastAsia="宋体"/>
                      <w:color w:val="auto"/>
                      <w:sz w:val="21"/>
                      <w:shd w:val="clear" w:color="auto" w:fill="auto"/>
                    </w:rPr>
                    <w:t>库，</w:t>
                  </w:r>
                  <w:r>
                    <w:rPr>
                      <w:rFonts w:ascii="Times New Roman" w:hAnsi="Times New Roman" w:eastAsia="宋体"/>
                      <w:color w:val="auto"/>
                      <w:spacing w:val="9"/>
                      <w:sz w:val="21"/>
                      <w:shd w:val="clear" w:color="auto" w:fill="auto"/>
                    </w:rPr>
                    <w:t>委托合法合规单位回收利</w:t>
                  </w:r>
                  <w:r>
                    <w:rPr>
                      <w:rFonts w:ascii="Times New Roman" w:hAnsi="Times New Roman" w:eastAsia="宋体"/>
                      <w:color w:val="auto"/>
                      <w:spacing w:val="6"/>
                      <w:sz w:val="21"/>
                      <w:shd w:val="clear" w:color="auto" w:fill="auto"/>
                    </w:rPr>
                    <w:t>用或处置</w:t>
                  </w:r>
                </w:p>
              </w:tc>
              <w:tc>
                <w:tcPr>
                  <w:tcW w:w="2177" w:type="dxa"/>
                  <w:tcBorders>
                    <w:tl2br w:val="nil"/>
                    <w:tr2bl w:val="nil"/>
                  </w:tcBorders>
                  <w:shd w:val="clear" w:color="auto" w:fill="auto"/>
                  <w:vAlign w:val="center"/>
                </w:tcPr>
                <w:p w14:paraId="03F55254">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s="宋体"/>
                      <w:color w:val="auto"/>
                      <w:kern w:val="2"/>
                      <w:sz w:val="21"/>
                      <w:szCs w:val="24"/>
                      <w:shd w:val="clear" w:color="auto" w:fill="auto"/>
                      <w:lang w:val="en-US" w:eastAsia="en-US" w:bidi="ar-SA"/>
                    </w:rPr>
                  </w:pPr>
                  <w:r>
                    <w:rPr>
                      <w:rFonts w:ascii="Times New Roman" w:hAnsi="Times New Roman" w:eastAsia="宋体"/>
                      <w:color w:val="auto"/>
                      <w:spacing w:val="4"/>
                      <w:sz w:val="21"/>
                      <w:shd w:val="clear" w:color="auto" w:fill="auto"/>
                    </w:rPr>
                    <w:t>新建</w:t>
                  </w:r>
                </w:p>
              </w:tc>
            </w:tr>
            <w:tr w14:paraId="46525D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318" w:type="dxa"/>
              </w:trPr>
              <w:tc>
                <w:tcPr>
                  <w:tcW w:w="1436" w:type="dxa"/>
                  <w:vMerge w:val="continue"/>
                  <w:tcBorders>
                    <w:tl2br w:val="nil"/>
                    <w:tr2bl w:val="nil"/>
                  </w:tcBorders>
                  <w:vAlign w:val="center"/>
                </w:tcPr>
                <w:p w14:paraId="2683BD2C">
                  <w:pPr>
                    <w:pStyle w:val="46"/>
                    <w:keepNext w:val="0"/>
                    <w:keepLines w:val="0"/>
                    <w:pageBreakBefore w:val="0"/>
                    <w:widowControl w:val="0"/>
                    <w:kinsoku/>
                    <w:wordWrap/>
                    <w:overflowPunct/>
                    <w:topLinePunct w:val="0"/>
                    <w:bidi w:val="0"/>
                    <w:adjustRightInd/>
                    <w:snapToGrid/>
                    <w:spacing w:line="240" w:lineRule="auto"/>
                    <w:ind w:left="0" w:right="0" w:firstLine="0" w:firstLineChars="0"/>
                    <w:jc w:val="center"/>
                    <w:textAlignment w:val="auto"/>
                    <w:rPr>
                      <w:rFonts w:ascii="Times New Roman" w:hAnsi="Times New Roman" w:eastAsia="宋体"/>
                      <w:color w:val="auto"/>
                      <w:sz w:val="21"/>
                      <w:szCs w:val="21"/>
                      <w:highlight w:val="none"/>
                      <w:shd w:val="clear" w:color="auto" w:fill="auto"/>
                      <w:vertAlign w:val="baseline"/>
                    </w:rPr>
                  </w:pPr>
                </w:p>
              </w:tc>
              <w:tc>
                <w:tcPr>
                  <w:tcW w:w="2109" w:type="dxa"/>
                  <w:tcBorders>
                    <w:tl2br w:val="nil"/>
                    <w:tr2bl w:val="nil"/>
                  </w:tcBorders>
                  <w:shd w:val="clear" w:color="auto" w:fill="auto"/>
                  <w:vAlign w:val="center"/>
                </w:tcPr>
                <w:p w14:paraId="33CD5F93">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hint="default" w:ascii="Times New Roman" w:hAnsi="Times New Roman" w:eastAsia="宋体" w:cs="宋体"/>
                      <w:color w:val="auto"/>
                      <w:kern w:val="2"/>
                      <w:sz w:val="21"/>
                      <w:szCs w:val="24"/>
                      <w:shd w:val="clear" w:color="auto" w:fill="auto"/>
                      <w:lang w:val="en-US" w:eastAsia="zh-CN" w:bidi="ar-SA"/>
                    </w:rPr>
                  </w:pPr>
                  <w:r>
                    <w:rPr>
                      <w:rFonts w:hint="eastAsia" w:ascii="Times New Roman" w:hAnsi="Times New Roman" w:cs="宋体"/>
                      <w:color w:val="auto"/>
                      <w:kern w:val="2"/>
                      <w:sz w:val="21"/>
                      <w:szCs w:val="24"/>
                      <w:shd w:val="clear" w:color="auto" w:fill="auto"/>
                      <w:lang w:val="en-US" w:eastAsia="zh-CN" w:bidi="ar-SA"/>
                    </w:rPr>
                    <w:t>医疗废物</w:t>
                  </w:r>
                </w:p>
              </w:tc>
              <w:tc>
                <w:tcPr>
                  <w:tcW w:w="2950" w:type="dxa"/>
                  <w:vMerge w:val="restart"/>
                  <w:tcBorders>
                    <w:tl2br w:val="nil"/>
                    <w:tr2bl w:val="nil"/>
                  </w:tcBorders>
                  <w:shd w:val="clear" w:color="auto" w:fill="auto"/>
                  <w:vAlign w:val="center"/>
                </w:tcPr>
                <w:p w14:paraId="32154552">
                  <w:pPr>
                    <w:pStyle w:val="115"/>
                    <w:keepNext w:val="0"/>
                    <w:keepLines w:val="0"/>
                    <w:pageBreakBefore w:val="0"/>
                    <w:widowControl w:val="0"/>
                    <w:kinsoku/>
                    <w:wordWrap/>
                    <w:overflowPunct/>
                    <w:topLinePunct w:val="0"/>
                    <w:bidi w:val="0"/>
                    <w:adjustRightInd/>
                    <w:snapToGrid/>
                    <w:spacing w:line="240" w:lineRule="auto"/>
                    <w:ind w:left="0" w:right="0" w:firstLine="0"/>
                    <w:jc w:val="center"/>
                    <w:textAlignment w:val="auto"/>
                    <w:rPr>
                      <w:rFonts w:ascii="Times New Roman" w:hAnsi="Times New Roman" w:eastAsia="宋体"/>
                      <w:color w:val="auto"/>
                      <w:spacing w:val="6"/>
                      <w:sz w:val="21"/>
                      <w:szCs w:val="21"/>
                      <w:shd w:val="clear" w:color="auto" w:fill="auto"/>
                    </w:rPr>
                  </w:pPr>
                  <w:r>
                    <w:rPr>
                      <w:rFonts w:ascii="Times New Roman" w:hAnsi="Times New Roman" w:eastAsia="宋体"/>
                      <w:color w:val="auto"/>
                      <w:sz w:val="21"/>
                      <w:shd w:val="clear" w:color="auto" w:fill="auto"/>
                    </w:rPr>
                    <w:t>暂存危废</w:t>
                  </w:r>
                  <w:r>
                    <w:rPr>
                      <w:rFonts w:hint="eastAsia" w:ascii="Times New Roman" w:hAnsi="Times New Roman"/>
                      <w:color w:val="auto"/>
                      <w:sz w:val="21"/>
                      <w:shd w:val="clear" w:color="auto" w:fill="auto"/>
                      <w:lang w:val="en-US" w:eastAsia="zh-CN"/>
                    </w:rPr>
                    <w:t>储存</w:t>
                  </w:r>
                  <w:r>
                    <w:rPr>
                      <w:rFonts w:ascii="Times New Roman" w:hAnsi="Times New Roman" w:eastAsia="宋体"/>
                      <w:color w:val="auto"/>
                      <w:sz w:val="21"/>
                      <w:shd w:val="clear" w:color="auto" w:fill="auto"/>
                    </w:rPr>
                    <w:t>库，委托有资质单</w:t>
                  </w:r>
                  <w:r>
                    <w:rPr>
                      <w:rFonts w:ascii="Times New Roman" w:hAnsi="Times New Roman" w:eastAsia="宋体"/>
                      <w:color w:val="auto"/>
                      <w:spacing w:val="6"/>
                      <w:sz w:val="21"/>
                      <w:shd w:val="clear" w:color="auto" w:fill="auto"/>
                    </w:rPr>
                    <w:t>位处置</w:t>
                  </w:r>
                </w:p>
              </w:tc>
              <w:tc>
                <w:tcPr>
                  <w:tcW w:w="2177" w:type="dxa"/>
                  <w:vMerge w:val="restart"/>
                  <w:tcBorders>
                    <w:tl2br w:val="nil"/>
                    <w:tr2bl w:val="nil"/>
                  </w:tcBorders>
                  <w:shd w:val="clear" w:color="auto" w:fill="auto"/>
                  <w:vAlign w:val="center"/>
                </w:tcPr>
                <w:p w14:paraId="546DABB0">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s="宋体"/>
                      <w:color w:val="auto"/>
                      <w:kern w:val="2"/>
                      <w:sz w:val="21"/>
                      <w:szCs w:val="24"/>
                      <w:shd w:val="clear" w:color="auto" w:fill="auto"/>
                      <w:lang w:val="en-US" w:eastAsia="en-US" w:bidi="ar-SA"/>
                    </w:rPr>
                  </w:pPr>
                  <w:r>
                    <w:rPr>
                      <w:rFonts w:ascii="Times New Roman" w:hAnsi="Times New Roman" w:eastAsia="宋体"/>
                      <w:color w:val="auto"/>
                      <w:spacing w:val="4"/>
                      <w:sz w:val="21"/>
                      <w:shd w:val="clear" w:color="auto" w:fill="auto"/>
                    </w:rPr>
                    <w:t>新建</w:t>
                  </w:r>
                </w:p>
              </w:tc>
            </w:tr>
            <w:tr w14:paraId="2C8A0E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318" w:type="dxa"/>
              </w:trPr>
              <w:tc>
                <w:tcPr>
                  <w:tcW w:w="1436" w:type="dxa"/>
                  <w:vMerge w:val="continue"/>
                  <w:tcBorders>
                    <w:tl2br w:val="nil"/>
                    <w:tr2bl w:val="nil"/>
                  </w:tcBorders>
                  <w:vAlign w:val="center"/>
                </w:tcPr>
                <w:p w14:paraId="407DE87B">
                  <w:pPr>
                    <w:pStyle w:val="46"/>
                    <w:keepNext w:val="0"/>
                    <w:keepLines w:val="0"/>
                    <w:pageBreakBefore w:val="0"/>
                    <w:widowControl w:val="0"/>
                    <w:kinsoku/>
                    <w:wordWrap/>
                    <w:overflowPunct/>
                    <w:topLinePunct w:val="0"/>
                    <w:bidi w:val="0"/>
                    <w:adjustRightInd/>
                    <w:snapToGrid/>
                    <w:spacing w:line="240" w:lineRule="auto"/>
                    <w:ind w:left="0" w:right="0" w:firstLine="0" w:firstLineChars="0"/>
                    <w:jc w:val="center"/>
                    <w:textAlignment w:val="auto"/>
                    <w:rPr>
                      <w:rFonts w:ascii="Times New Roman" w:hAnsi="Times New Roman" w:eastAsia="宋体"/>
                      <w:color w:val="auto"/>
                      <w:sz w:val="21"/>
                      <w:szCs w:val="21"/>
                      <w:highlight w:val="none"/>
                      <w:shd w:val="clear" w:color="auto" w:fill="auto"/>
                      <w:vertAlign w:val="baseline"/>
                    </w:rPr>
                  </w:pPr>
                </w:p>
              </w:tc>
              <w:tc>
                <w:tcPr>
                  <w:tcW w:w="2109" w:type="dxa"/>
                  <w:tcBorders>
                    <w:tl2br w:val="nil"/>
                    <w:tr2bl w:val="nil"/>
                  </w:tcBorders>
                  <w:shd w:val="clear" w:color="auto" w:fill="auto"/>
                  <w:vAlign w:val="center"/>
                </w:tcPr>
                <w:p w14:paraId="157AA7D0">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hint="default" w:ascii="Times New Roman" w:hAnsi="Times New Roman" w:eastAsia="宋体" w:cs="宋体"/>
                      <w:color w:val="auto"/>
                      <w:kern w:val="2"/>
                      <w:sz w:val="21"/>
                      <w:szCs w:val="24"/>
                      <w:shd w:val="clear" w:color="auto" w:fill="auto"/>
                      <w:lang w:val="en-US" w:eastAsia="zh-CN" w:bidi="ar-SA"/>
                    </w:rPr>
                  </w:pPr>
                  <w:r>
                    <w:rPr>
                      <w:rFonts w:hint="eastAsia" w:ascii="Times New Roman" w:hAnsi="Times New Roman" w:cs="宋体"/>
                      <w:color w:val="auto"/>
                      <w:kern w:val="2"/>
                      <w:sz w:val="21"/>
                      <w:szCs w:val="24"/>
                      <w:shd w:val="clear" w:color="auto" w:fill="auto"/>
                      <w:lang w:val="en-US" w:eastAsia="zh-CN" w:bidi="ar-SA"/>
                    </w:rPr>
                    <w:t>废活性炭</w:t>
                  </w:r>
                </w:p>
              </w:tc>
              <w:tc>
                <w:tcPr>
                  <w:tcW w:w="2950" w:type="dxa"/>
                  <w:vMerge w:val="continue"/>
                  <w:tcBorders>
                    <w:tl2br w:val="nil"/>
                    <w:tr2bl w:val="nil"/>
                  </w:tcBorders>
                  <w:shd w:val="clear" w:color="auto" w:fill="auto"/>
                  <w:vAlign w:val="center"/>
                </w:tcPr>
                <w:p w14:paraId="49610C11">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olor w:val="auto"/>
                      <w:spacing w:val="6"/>
                      <w:sz w:val="21"/>
                      <w:szCs w:val="21"/>
                      <w:shd w:val="clear" w:color="auto" w:fill="auto"/>
                    </w:rPr>
                  </w:pPr>
                </w:p>
              </w:tc>
              <w:tc>
                <w:tcPr>
                  <w:tcW w:w="2177" w:type="dxa"/>
                  <w:vMerge w:val="continue"/>
                  <w:tcBorders>
                    <w:tl2br w:val="nil"/>
                    <w:tr2bl w:val="nil"/>
                  </w:tcBorders>
                  <w:shd w:val="clear" w:color="auto" w:fill="auto"/>
                  <w:vAlign w:val="center"/>
                </w:tcPr>
                <w:p w14:paraId="5E58D8FA">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olor w:val="auto"/>
                      <w:spacing w:val="3"/>
                      <w:sz w:val="21"/>
                      <w:szCs w:val="21"/>
                      <w:shd w:val="clear" w:color="auto" w:fill="auto"/>
                    </w:rPr>
                  </w:pPr>
                </w:p>
              </w:tc>
            </w:tr>
            <w:tr w14:paraId="0C7BEE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318" w:type="dxa"/>
              </w:trPr>
              <w:tc>
                <w:tcPr>
                  <w:tcW w:w="1436" w:type="dxa"/>
                  <w:vMerge w:val="continue"/>
                  <w:tcBorders>
                    <w:tl2br w:val="nil"/>
                    <w:tr2bl w:val="nil"/>
                  </w:tcBorders>
                  <w:vAlign w:val="center"/>
                </w:tcPr>
                <w:p w14:paraId="5854801F">
                  <w:pPr>
                    <w:pStyle w:val="46"/>
                    <w:keepNext w:val="0"/>
                    <w:keepLines w:val="0"/>
                    <w:pageBreakBefore w:val="0"/>
                    <w:widowControl w:val="0"/>
                    <w:kinsoku/>
                    <w:wordWrap/>
                    <w:overflowPunct/>
                    <w:topLinePunct w:val="0"/>
                    <w:bidi w:val="0"/>
                    <w:adjustRightInd/>
                    <w:snapToGrid/>
                    <w:spacing w:line="240" w:lineRule="auto"/>
                    <w:ind w:left="0" w:right="0" w:firstLine="0" w:firstLineChars="0"/>
                    <w:jc w:val="center"/>
                    <w:textAlignment w:val="auto"/>
                    <w:rPr>
                      <w:rFonts w:ascii="Times New Roman" w:hAnsi="Times New Roman" w:eastAsia="宋体"/>
                      <w:color w:val="auto"/>
                      <w:sz w:val="21"/>
                      <w:szCs w:val="21"/>
                      <w:highlight w:val="none"/>
                      <w:shd w:val="clear" w:color="auto" w:fill="auto"/>
                      <w:vertAlign w:val="baseline"/>
                    </w:rPr>
                  </w:pPr>
                </w:p>
              </w:tc>
              <w:tc>
                <w:tcPr>
                  <w:tcW w:w="2109" w:type="dxa"/>
                  <w:tcBorders>
                    <w:tl2br w:val="nil"/>
                    <w:tr2bl w:val="nil"/>
                  </w:tcBorders>
                  <w:shd w:val="clear" w:color="auto" w:fill="auto"/>
                  <w:vAlign w:val="center"/>
                </w:tcPr>
                <w:p w14:paraId="5FB096C4">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hint="default" w:ascii="Times New Roman" w:hAnsi="Times New Roman" w:eastAsia="宋体" w:cs="宋体"/>
                      <w:color w:val="auto"/>
                      <w:kern w:val="2"/>
                      <w:sz w:val="21"/>
                      <w:szCs w:val="24"/>
                      <w:shd w:val="clear" w:color="auto" w:fill="auto"/>
                      <w:lang w:val="en-US" w:eastAsia="zh-CN" w:bidi="ar-SA"/>
                    </w:rPr>
                  </w:pPr>
                  <w:r>
                    <w:rPr>
                      <w:rFonts w:hint="eastAsia" w:ascii="Times New Roman" w:hAnsi="Times New Roman" w:cs="宋体"/>
                      <w:color w:val="auto"/>
                      <w:kern w:val="2"/>
                      <w:sz w:val="21"/>
                      <w:szCs w:val="24"/>
                      <w:shd w:val="clear" w:color="auto" w:fill="auto"/>
                      <w:lang w:val="en-US" w:eastAsia="zh-CN" w:bidi="ar-SA"/>
                    </w:rPr>
                    <w:t>污水处理设施污泥</w:t>
                  </w:r>
                </w:p>
              </w:tc>
              <w:tc>
                <w:tcPr>
                  <w:tcW w:w="2950" w:type="dxa"/>
                  <w:vMerge w:val="continue"/>
                  <w:tcBorders>
                    <w:tl2br w:val="nil"/>
                    <w:tr2bl w:val="nil"/>
                  </w:tcBorders>
                  <w:shd w:val="clear" w:color="auto" w:fill="auto"/>
                  <w:vAlign w:val="center"/>
                </w:tcPr>
                <w:p w14:paraId="13667603">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olor w:val="auto"/>
                      <w:spacing w:val="6"/>
                      <w:sz w:val="21"/>
                      <w:szCs w:val="21"/>
                      <w:shd w:val="clear" w:color="auto" w:fill="auto"/>
                    </w:rPr>
                  </w:pPr>
                </w:p>
              </w:tc>
              <w:tc>
                <w:tcPr>
                  <w:tcW w:w="2177" w:type="dxa"/>
                  <w:vMerge w:val="continue"/>
                  <w:tcBorders>
                    <w:tl2br w:val="nil"/>
                    <w:tr2bl w:val="nil"/>
                  </w:tcBorders>
                  <w:shd w:val="clear" w:color="auto" w:fill="auto"/>
                  <w:vAlign w:val="center"/>
                </w:tcPr>
                <w:p w14:paraId="59EA680C">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olor w:val="auto"/>
                      <w:spacing w:val="3"/>
                      <w:sz w:val="21"/>
                      <w:szCs w:val="21"/>
                      <w:shd w:val="clear" w:color="auto" w:fill="auto"/>
                    </w:rPr>
                  </w:pPr>
                </w:p>
              </w:tc>
            </w:tr>
            <w:tr w14:paraId="0759F8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318" w:type="dxa"/>
              </w:trPr>
              <w:tc>
                <w:tcPr>
                  <w:tcW w:w="1436" w:type="dxa"/>
                  <w:vMerge w:val="continue"/>
                  <w:tcBorders>
                    <w:tl2br w:val="nil"/>
                    <w:tr2bl w:val="nil"/>
                  </w:tcBorders>
                  <w:vAlign w:val="center"/>
                </w:tcPr>
                <w:p w14:paraId="45BC64E0">
                  <w:pPr>
                    <w:pStyle w:val="46"/>
                    <w:keepNext w:val="0"/>
                    <w:keepLines w:val="0"/>
                    <w:pageBreakBefore w:val="0"/>
                    <w:widowControl w:val="0"/>
                    <w:kinsoku/>
                    <w:wordWrap/>
                    <w:overflowPunct/>
                    <w:topLinePunct w:val="0"/>
                    <w:bidi w:val="0"/>
                    <w:adjustRightInd/>
                    <w:snapToGrid/>
                    <w:spacing w:line="240" w:lineRule="auto"/>
                    <w:ind w:left="0" w:right="0" w:firstLine="0" w:firstLineChars="0"/>
                    <w:jc w:val="center"/>
                    <w:textAlignment w:val="auto"/>
                    <w:rPr>
                      <w:rFonts w:ascii="Times New Roman" w:hAnsi="Times New Roman" w:eastAsia="宋体"/>
                      <w:color w:val="auto"/>
                      <w:sz w:val="21"/>
                      <w:szCs w:val="21"/>
                      <w:highlight w:val="none"/>
                      <w:shd w:val="clear" w:color="auto" w:fill="auto"/>
                      <w:vertAlign w:val="baseline"/>
                    </w:rPr>
                  </w:pPr>
                </w:p>
              </w:tc>
              <w:tc>
                <w:tcPr>
                  <w:tcW w:w="2109" w:type="dxa"/>
                  <w:tcBorders>
                    <w:tl2br w:val="nil"/>
                    <w:tr2bl w:val="nil"/>
                  </w:tcBorders>
                  <w:shd w:val="clear" w:color="auto" w:fill="auto"/>
                  <w:vAlign w:val="center"/>
                </w:tcPr>
                <w:p w14:paraId="06391870">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s="宋体"/>
                      <w:color w:val="auto"/>
                      <w:kern w:val="2"/>
                      <w:sz w:val="21"/>
                      <w:szCs w:val="24"/>
                      <w:shd w:val="clear" w:color="auto" w:fill="auto"/>
                      <w:lang w:val="en-US" w:eastAsia="en-US" w:bidi="ar-SA"/>
                    </w:rPr>
                  </w:pPr>
                  <w:r>
                    <w:rPr>
                      <w:rFonts w:ascii="Times New Roman" w:hAnsi="Times New Roman" w:eastAsia="宋体"/>
                      <w:color w:val="auto"/>
                      <w:spacing w:val="6"/>
                      <w:sz w:val="21"/>
                      <w:shd w:val="clear" w:color="auto" w:fill="auto"/>
                    </w:rPr>
                    <w:t>生活垃圾</w:t>
                  </w:r>
                </w:p>
              </w:tc>
              <w:tc>
                <w:tcPr>
                  <w:tcW w:w="2950" w:type="dxa"/>
                  <w:tcBorders>
                    <w:tl2br w:val="nil"/>
                    <w:tr2bl w:val="nil"/>
                  </w:tcBorders>
                  <w:shd w:val="clear" w:color="auto" w:fill="auto"/>
                  <w:vAlign w:val="center"/>
                </w:tcPr>
                <w:p w14:paraId="1B1E2CEA">
                  <w:pPr>
                    <w:pStyle w:val="115"/>
                    <w:keepNext w:val="0"/>
                    <w:keepLines w:val="0"/>
                    <w:pageBreakBefore w:val="0"/>
                    <w:widowControl w:val="0"/>
                    <w:kinsoku/>
                    <w:wordWrap/>
                    <w:overflowPunct/>
                    <w:topLinePunct w:val="0"/>
                    <w:bidi w:val="0"/>
                    <w:adjustRightInd/>
                    <w:snapToGrid/>
                    <w:spacing w:line="240" w:lineRule="auto"/>
                    <w:ind w:left="0" w:right="0" w:firstLine="0"/>
                    <w:jc w:val="both"/>
                    <w:textAlignment w:val="auto"/>
                    <w:rPr>
                      <w:rFonts w:ascii="Times New Roman" w:hAnsi="Times New Roman" w:eastAsia="宋体" w:cs="宋体"/>
                      <w:color w:val="auto"/>
                      <w:kern w:val="2"/>
                      <w:sz w:val="21"/>
                      <w:szCs w:val="24"/>
                      <w:shd w:val="clear" w:color="auto" w:fill="auto"/>
                      <w:lang w:val="en-US" w:eastAsia="en-US" w:bidi="ar-SA"/>
                    </w:rPr>
                  </w:pPr>
                  <w:r>
                    <w:rPr>
                      <w:rFonts w:ascii="Times New Roman" w:hAnsi="Times New Roman" w:eastAsia="宋体"/>
                      <w:color w:val="auto"/>
                      <w:sz w:val="21"/>
                      <w:shd w:val="clear" w:color="auto" w:fill="auto"/>
                    </w:rPr>
                    <w:t>定期清运，交于环卫部门处</w:t>
                  </w:r>
                  <w:r>
                    <w:rPr>
                      <w:rFonts w:ascii="Times New Roman" w:hAnsi="Times New Roman" w:eastAsia="宋体"/>
                      <w:color w:val="auto"/>
                      <w:spacing w:val="2"/>
                      <w:sz w:val="21"/>
                      <w:shd w:val="clear" w:color="auto" w:fill="auto"/>
                    </w:rPr>
                    <w:t>置</w:t>
                  </w:r>
                </w:p>
              </w:tc>
              <w:tc>
                <w:tcPr>
                  <w:tcW w:w="2177" w:type="dxa"/>
                  <w:tcBorders>
                    <w:tl2br w:val="nil"/>
                    <w:tr2bl w:val="nil"/>
                  </w:tcBorders>
                  <w:shd w:val="clear" w:color="auto" w:fill="auto"/>
                  <w:vAlign w:val="center"/>
                </w:tcPr>
                <w:p w14:paraId="64E3BE4A">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s="宋体"/>
                      <w:color w:val="auto"/>
                      <w:kern w:val="2"/>
                      <w:sz w:val="21"/>
                      <w:szCs w:val="24"/>
                      <w:shd w:val="clear" w:color="auto" w:fill="auto"/>
                      <w:lang w:val="en-US" w:eastAsia="en-US" w:bidi="ar-SA"/>
                    </w:rPr>
                  </w:pPr>
                  <w:r>
                    <w:rPr>
                      <w:rFonts w:ascii="Times New Roman" w:hAnsi="Times New Roman" w:eastAsia="宋体"/>
                      <w:color w:val="auto"/>
                      <w:spacing w:val="4"/>
                      <w:sz w:val="21"/>
                      <w:shd w:val="clear" w:color="auto" w:fill="auto"/>
                    </w:rPr>
                    <w:t>新建</w:t>
                  </w:r>
                </w:p>
              </w:tc>
            </w:tr>
            <w:tr w14:paraId="27AF0B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318" w:type="dxa"/>
              </w:trPr>
              <w:tc>
                <w:tcPr>
                  <w:tcW w:w="1436" w:type="dxa"/>
                  <w:tcBorders>
                    <w:tl2br w:val="nil"/>
                    <w:tr2bl w:val="nil"/>
                  </w:tcBorders>
                  <w:shd w:val="clear" w:color="auto" w:fill="auto"/>
                  <w:vAlign w:val="center"/>
                </w:tcPr>
                <w:p w14:paraId="436871B5">
                  <w:pPr>
                    <w:pStyle w:val="115"/>
                    <w:keepNext w:val="0"/>
                    <w:keepLines w:val="0"/>
                    <w:pageBreakBefore w:val="0"/>
                    <w:widowControl w:val="0"/>
                    <w:kinsoku/>
                    <w:wordWrap/>
                    <w:overflowPunct/>
                    <w:topLinePunct w:val="0"/>
                    <w:bidi w:val="0"/>
                    <w:adjustRightInd/>
                    <w:snapToGrid/>
                    <w:spacing w:line="240" w:lineRule="auto"/>
                    <w:ind w:left="0" w:right="0" w:firstLine="0"/>
                    <w:jc w:val="center"/>
                    <w:textAlignment w:val="auto"/>
                    <w:rPr>
                      <w:rFonts w:ascii="Times New Roman" w:hAnsi="Times New Roman" w:eastAsia="宋体"/>
                      <w:color w:val="auto"/>
                      <w:sz w:val="21"/>
                      <w:shd w:val="clear" w:color="auto" w:fill="auto"/>
                    </w:rPr>
                  </w:pPr>
                  <w:r>
                    <w:rPr>
                      <w:rFonts w:ascii="Times New Roman" w:hAnsi="Times New Roman" w:eastAsia="宋体"/>
                      <w:color w:val="auto"/>
                      <w:spacing w:val="8"/>
                      <w:sz w:val="21"/>
                      <w:shd w:val="clear" w:color="auto" w:fill="auto"/>
                    </w:rPr>
                    <w:t>地下水、土</w:t>
                  </w:r>
                </w:p>
                <w:p w14:paraId="0637B934">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s="宋体"/>
                      <w:color w:val="auto"/>
                      <w:kern w:val="2"/>
                      <w:sz w:val="21"/>
                      <w:szCs w:val="24"/>
                      <w:shd w:val="clear" w:color="auto" w:fill="auto"/>
                      <w:lang w:val="en-US" w:eastAsia="en-US" w:bidi="ar-SA"/>
                    </w:rPr>
                  </w:pPr>
                  <w:r>
                    <w:rPr>
                      <w:rFonts w:ascii="Times New Roman" w:hAnsi="Times New Roman" w:eastAsia="宋体"/>
                      <w:color w:val="auto"/>
                      <w:spacing w:val="8"/>
                      <w:sz w:val="21"/>
                      <w:shd w:val="clear" w:color="auto" w:fill="auto"/>
                    </w:rPr>
                    <w:t>壤治理措施</w:t>
                  </w:r>
                </w:p>
              </w:tc>
              <w:tc>
                <w:tcPr>
                  <w:tcW w:w="5059" w:type="dxa"/>
                  <w:gridSpan w:val="2"/>
                  <w:tcBorders>
                    <w:tl2br w:val="nil"/>
                    <w:tr2bl w:val="nil"/>
                  </w:tcBorders>
                  <w:shd w:val="clear" w:color="auto" w:fill="auto"/>
                  <w:vAlign w:val="center"/>
                </w:tcPr>
                <w:p w14:paraId="36D97F24">
                  <w:pPr>
                    <w:pStyle w:val="115"/>
                    <w:keepNext w:val="0"/>
                    <w:keepLines w:val="0"/>
                    <w:pageBreakBefore w:val="0"/>
                    <w:widowControl w:val="0"/>
                    <w:kinsoku/>
                    <w:wordWrap/>
                    <w:overflowPunct/>
                    <w:topLinePunct w:val="0"/>
                    <w:bidi w:val="0"/>
                    <w:adjustRightInd/>
                    <w:snapToGrid/>
                    <w:spacing w:line="240" w:lineRule="auto"/>
                    <w:ind w:left="0" w:right="0" w:firstLine="0"/>
                    <w:jc w:val="center"/>
                    <w:textAlignment w:val="auto"/>
                    <w:rPr>
                      <w:rFonts w:ascii="Times New Roman" w:hAnsi="Times New Roman" w:eastAsia="宋体"/>
                      <w:color w:val="auto"/>
                      <w:sz w:val="21"/>
                      <w:shd w:val="clear" w:color="auto" w:fill="auto"/>
                    </w:rPr>
                  </w:pPr>
                  <w:r>
                    <w:rPr>
                      <w:rFonts w:ascii="Times New Roman" w:hAnsi="Times New Roman" w:eastAsia="宋体"/>
                      <w:color w:val="auto"/>
                      <w:spacing w:val="8"/>
                      <w:sz w:val="21"/>
                      <w:shd w:val="clear" w:color="auto" w:fill="auto"/>
                    </w:rPr>
                    <w:t>①源头上控制对地下水的污染。</w:t>
                  </w:r>
                </w:p>
                <w:p w14:paraId="25FA0D2B">
                  <w:pPr>
                    <w:pStyle w:val="115"/>
                    <w:keepNext w:val="0"/>
                    <w:keepLines w:val="0"/>
                    <w:pageBreakBefore w:val="0"/>
                    <w:widowControl w:val="0"/>
                    <w:kinsoku/>
                    <w:wordWrap/>
                    <w:overflowPunct/>
                    <w:topLinePunct w:val="0"/>
                    <w:bidi w:val="0"/>
                    <w:adjustRightInd/>
                    <w:snapToGrid/>
                    <w:spacing w:line="240" w:lineRule="auto"/>
                    <w:ind w:left="0" w:right="0" w:firstLine="0"/>
                    <w:jc w:val="center"/>
                    <w:textAlignment w:val="auto"/>
                    <w:rPr>
                      <w:rFonts w:ascii="Times New Roman" w:hAnsi="Times New Roman" w:eastAsia="宋体"/>
                      <w:color w:val="auto"/>
                      <w:sz w:val="21"/>
                      <w:shd w:val="clear" w:color="auto" w:fill="auto"/>
                    </w:rPr>
                  </w:pPr>
                  <w:r>
                    <w:rPr>
                      <w:rFonts w:ascii="Times New Roman" w:hAnsi="Times New Roman" w:eastAsia="宋体"/>
                      <w:color w:val="auto"/>
                      <w:spacing w:val="8"/>
                      <w:sz w:val="21"/>
                      <w:shd w:val="clear" w:color="auto" w:fill="auto"/>
                    </w:rPr>
                    <w:t>②厂内不同区域实施分区防治。</w:t>
                  </w:r>
                </w:p>
                <w:p w14:paraId="02B4429D">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s="宋体"/>
                      <w:color w:val="auto"/>
                      <w:kern w:val="2"/>
                      <w:sz w:val="21"/>
                      <w:szCs w:val="24"/>
                      <w:shd w:val="clear" w:color="auto" w:fill="auto"/>
                      <w:lang w:val="en-US" w:eastAsia="en-US" w:bidi="ar-SA"/>
                    </w:rPr>
                  </w:pPr>
                  <w:r>
                    <w:rPr>
                      <w:rFonts w:ascii="Times New Roman" w:hAnsi="Times New Roman" w:eastAsia="宋体"/>
                      <w:color w:val="auto"/>
                      <w:spacing w:val="5"/>
                      <w:sz w:val="21"/>
                      <w:shd w:val="clear" w:color="auto" w:fill="auto"/>
                    </w:rPr>
                    <w:t>③运行期严格管理，加强巡检，及时发现污染物</w:t>
                  </w:r>
                  <w:r>
                    <w:rPr>
                      <w:rFonts w:ascii="Times New Roman" w:hAnsi="Times New Roman" w:eastAsia="宋体"/>
                      <w:color w:val="auto"/>
                      <w:spacing w:val="7"/>
                      <w:sz w:val="21"/>
                      <w:shd w:val="clear" w:color="auto" w:fill="auto"/>
                    </w:rPr>
                    <w:t>泄漏；一旦出现泄漏及时处理，检查检修设备，</w:t>
                  </w:r>
                  <w:r>
                    <w:rPr>
                      <w:rFonts w:ascii="Times New Roman" w:hAnsi="Times New Roman" w:eastAsia="宋体"/>
                      <w:color w:val="auto"/>
                      <w:spacing w:val="5"/>
                      <w:sz w:val="21"/>
                      <w:shd w:val="clear" w:color="auto" w:fill="auto"/>
                    </w:rPr>
                    <w:t>将污染物泄漏的环境风险事故降到最低；制定并</w:t>
                  </w:r>
                  <w:r>
                    <w:rPr>
                      <w:rFonts w:ascii="Times New Roman" w:hAnsi="Times New Roman" w:eastAsia="宋体"/>
                      <w:color w:val="auto"/>
                      <w:spacing w:val="8"/>
                      <w:sz w:val="21"/>
                      <w:shd w:val="clear" w:color="auto" w:fill="auto"/>
                    </w:rPr>
                    <w:t>落实相应环境风险事故应急预案。</w:t>
                  </w:r>
                </w:p>
              </w:tc>
              <w:tc>
                <w:tcPr>
                  <w:tcW w:w="2177" w:type="dxa"/>
                  <w:tcBorders>
                    <w:tl2br w:val="nil"/>
                    <w:tr2bl w:val="nil"/>
                  </w:tcBorders>
                  <w:shd w:val="clear" w:color="auto" w:fill="auto"/>
                  <w:vAlign w:val="center"/>
                </w:tcPr>
                <w:p w14:paraId="39B14E51">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s="宋体"/>
                      <w:color w:val="auto"/>
                      <w:kern w:val="2"/>
                      <w:sz w:val="21"/>
                      <w:szCs w:val="24"/>
                      <w:shd w:val="clear" w:color="auto" w:fill="auto"/>
                      <w:lang w:val="en-US" w:eastAsia="en-US" w:bidi="ar-SA"/>
                    </w:rPr>
                  </w:pPr>
                  <w:r>
                    <w:rPr>
                      <w:rFonts w:ascii="Times New Roman" w:hAnsi="Times New Roman" w:eastAsia="宋体"/>
                      <w:color w:val="auto"/>
                      <w:spacing w:val="4"/>
                      <w:sz w:val="21"/>
                      <w:shd w:val="clear" w:color="auto" w:fill="auto"/>
                    </w:rPr>
                    <w:t>新建</w:t>
                  </w:r>
                </w:p>
              </w:tc>
            </w:tr>
            <w:tr w14:paraId="00309C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gridAfter w:val="1"/>
                <w:wAfter w:w="1318" w:type="dxa"/>
              </w:trPr>
              <w:tc>
                <w:tcPr>
                  <w:tcW w:w="1436" w:type="dxa"/>
                  <w:tcBorders>
                    <w:tl2br w:val="nil"/>
                    <w:tr2bl w:val="nil"/>
                  </w:tcBorders>
                  <w:shd w:val="clear" w:color="auto" w:fill="auto"/>
                  <w:vAlign w:val="center"/>
                </w:tcPr>
                <w:p w14:paraId="31780CD0">
                  <w:pPr>
                    <w:pStyle w:val="115"/>
                    <w:keepNext w:val="0"/>
                    <w:keepLines w:val="0"/>
                    <w:pageBreakBefore w:val="0"/>
                    <w:widowControl w:val="0"/>
                    <w:kinsoku/>
                    <w:wordWrap/>
                    <w:overflowPunct/>
                    <w:topLinePunct w:val="0"/>
                    <w:bidi w:val="0"/>
                    <w:adjustRightInd/>
                    <w:snapToGrid/>
                    <w:spacing w:line="240" w:lineRule="auto"/>
                    <w:ind w:left="0" w:right="0" w:firstLine="0"/>
                    <w:jc w:val="center"/>
                    <w:textAlignment w:val="auto"/>
                    <w:rPr>
                      <w:rFonts w:ascii="Times New Roman" w:hAnsi="Times New Roman" w:eastAsia="宋体"/>
                      <w:color w:val="auto"/>
                      <w:sz w:val="21"/>
                      <w:shd w:val="clear" w:color="auto" w:fill="auto"/>
                    </w:rPr>
                  </w:pPr>
                  <w:r>
                    <w:rPr>
                      <w:rFonts w:ascii="Times New Roman" w:hAnsi="Times New Roman" w:eastAsia="宋体"/>
                      <w:color w:val="auto"/>
                      <w:spacing w:val="8"/>
                      <w:sz w:val="21"/>
                      <w:shd w:val="clear" w:color="auto" w:fill="auto"/>
                    </w:rPr>
                    <w:t>环境风险应</w:t>
                  </w:r>
                </w:p>
                <w:p w14:paraId="1555A4FA">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s="宋体"/>
                      <w:color w:val="auto"/>
                      <w:kern w:val="2"/>
                      <w:sz w:val="21"/>
                      <w:szCs w:val="24"/>
                      <w:shd w:val="clear" w:color="auto" w:fill="auto"/>
                      <w:lang w:val="en-US" w:eastAsia="en-US" w:bidi="ar-SA"/>
                    </w:rPr>
                  </w:pPr>
                  <w:r>
                    <w:rPr>
                      <w:rFonts w:ascii="Times New Roman" w:hAnsi="Times New Roman" w:eastAsia="宋体"/>
                      <w:color w:val="auto"/>
                      <w:spacing w:val="4"/>
                      <w:sz w:val="21"/>
                      <w:shd w:val="clear" w:color="auto" w:fill="auto"/>
                    </w:rPr>
                    <w:t>急措施</w:t>
                  </w:r>
                </w:p>
              </w:tc>
              <w:tc>
                <w:tcPr>
                  <w:tcW w:w="5059" w:type="dxa"/>
                  <w:gridSpan w:val="2"/>
                  <w:tcBorders>
                    <w:tl2br w:val="nil"/>
                    <w:tr2bl w:val="nil"/>
                  </w:tcBorders>
                  <w:shd w:val="clear" w:color="auto" w:fill="auto"/>
                  <w:vAlign w:val="center"/>
                </w:tcPr>
                <w:p w14:paraId="78024A02">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s="宋体"/>
                      <w:color w:val="auto"/>
                      <w:kern w:val="2"/>
                      <w:sz w:val="21"/>
                      <w:szCs w:val="24"/>
                      <w:shd w:val="clear" w:color="auto" w:fill="auto"/>
                      <w:lang w:val="en-US" w:eastAsia="en-US" w:bidi="ar-SA"/>
                    </w:rPr>
                  </w:pPr>
                  <w:r>
                    <w:rPr>
                      <w:rFonts w:ascii="Times New Roman" w:hAnsi="Times New Roman" w:eastAsia="宋体"/>
                      <w:color w:val="auto"/>
                      <w:spacing w:val="9"/>
                      <w:sz w:val="21"/>
                      <w:shd w:val="clear" w:color="auto" w:fill="auto"/>
                    </w:rPr>
                    <w:t>具体见建设项目环境风险简单分析内容表</w:t>
                  </w:r>
                </w:p>
              </w:tc>
              <w:tc>
                <w:tcPr>
                  <w:tcW w:w="2177" w:type="dxa"/>
                  <w:tcBorders>
                    <w:tl2br w:val="nil"/>
                    <w:tr2bl w:val="nil"/>
                  </w:tcBorders>
                  <w:shd w:val="clear" w:color="auto" w:fill="auto"/>
                  <w:vAlign w:val="center"/>
                </w:tcPr>
                <w:p w14:paraId="0AD5CF6C">
                  <w:pPr>
                    <w:pStyle w:val="115"/>
                    <w:keepNext w:val="0"/>
                    <w:keepLines w:val="0"/>
                    <w:pageBreakBefore w:val="0"/>
                    <w:widowControl w:val="0"/>
                    <w:kinsoku/>
                    <w:wordWrap/>
                    <w:overflowPunct/>
                    <w:topLinePunct w:val="0"/>
                    <w:bidi w:val="0"/>
                    <w:adjustRightInd/>
                    <w:snapToGrid/>
                    <w:spacing w:line="240" w:lineRule="auto"/>
                    <w:ind w:left="0" w:leftChars="0" w:right="0" w:firstLine="0"/>
                    <w:jc w:val="center"/>
                    <w:textAlignment w:val="auto"/>
                    <w:rPr>
                      <w:rFonts w:ascii="Times New Roman" w:hAnsi="Times New Roman" w:eastAsia="宋体" w:cs="宋体"/>
                      <w:color w:val="auto"/>
                      <w:kern w:val="2"/>
                      <w:sz w:val="21"/>
                      <w:szCs w:val="24"/>
                      <w:shd w:val="clear" w:color="auto" w:fill="auto"/>
                      <w:lang w:val="en-US" w:eastAsia="en-US" w:bidi="ar-SA"/>
                    </w:rPr>
                  </w:pPr>
                  <w:r>
                    <w:rPr>
                      <w:rFonts w:ascii="Times New Roman" w:hAnsi="Times New Roman" w:eastAsia="宋体"/>
                      <w:color w:val="auto"/>
                      <w:spacing w:val="4"/>
                      <w:sz w:val="21"/>
                      <w:shd w:val="clear" w:color="auto" w:fill="auto"/>
                    </w:rPr>
                    <w:t>新建</w:t>
                  </w:r>
                </w:p>
              </w:tc>
            </w:tr>
          </w:tbl>
          <w:p w14:paraId="537432D9">
            <w:pPr>
              <w:pStyle w:val="46"/>
              <w:ind w:left="0" w:leftChars="0" w:firstLine="0" w:firstLineChars="0"/>
              <w:rPr>
                <w:color w:val="auto"/>
                <w:highlight w:val="none"/>
              </w:rPr>
            </w:pPr>
          </w:p>
        </w:tc>
      </w:tr>
      <w:bookmarkEnd w:id="7"/>
    </w:tbl>
    <w:p w14:paraId="44C446F4">
      <w:pPr>
        <w:rPr>
          <w:color w:val="auto"/>
          <w:highlight w:val="none"/>
        </w:rPr>
        <w:sectPr>
          <w:footerReference r:id="rId5" w:type="default"/>
          <w:pgSz w:w="11905" w:h="16838"/>
          <w:pgMar w:top="1417" w:right="1417" w:bottom="1417" w:left="1417" w:header="851" w:footer="1077" w:gutter="0"/>
          <w:pgBorders>
            <w:top w:val="none" w:sz="0" w:space="0"/>
            <w:left w:val="none" w:sz="0" w:space="0"/>
            <w:bottom w:val="none" w:sz="0" w:space="0"/>
            <w:right w:val="none" w:sz="0" w:space="0"/>
          </w:pgBorders>
          <w:pgNumType w:fmt="decimal"/>
          <w:cols w:space="0" w:num="1"/>
          <w:docGrid w:linePitch="312" w:charSpace="0"/>
        </w:sectPr>
      </w:pPr>
    </w:p>
    <w:tbl>
      <w:tblPr>
        <w:tblStyle w:val="34"/>
        <w:tblW w:w="499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859"/>
      </w:tblGrid>
      <w:tr w14:paraId="37DF7D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92" w:hRule="atLeast"/>
          <w:jc w:val="center"/>
        </w:trPr>
        <w:tc>
          <w:tcPr>
            <w:tcW w:w="197" w:type="pct"/>
            <w:vAlign w:val="center"/>
          </w:tcPr>
          <w:p w14:paraId="51FB3FFE">
            <w:pPr>
              <w:pStyle w:val="30"/>
              <w:adjustRightInd w:val="0"/>
              <w:snapToGrid w:val="0"/>
              <w:spacing w:before="0" w:beforeAutospacing="0" w:after="0" w:afterAutospacing="0"/>
              <w:jc w:val="center"/>
              <w:rPr>
                <w:rFonts w:cs="宋体"/>
                <w:color w:val="auto"/>
                <w:sz w:val="21"/>
                <w:szCs w:val="21"/>
                <w:highlight w:val="none"/>
              </w:rPr>
            </w:pPr>
            <w:r>
              <w:rPr>
                <w:rFonts w:hint="eastAsia" w:cs="宋体"/>
                <w:color w:val="auto"/>
                <w:sz w:val="21"/>
                <w:szCs w:val="21"/>
                <w:highlight w:val="none"/>
              </w:rPr>
              <w:t>建设内容</w:t>
            </w:r>
          </w:p>
        </w:tc>
        <w:tc>
          <w:tcPr>
            <w:tcW w:w="4802" w:type="pct"/>
          </w:tcPr>
          <w:p w14:paraId="2E513D32">
            <w:pPr>
              <w:pStyle w:val="4"/>
              <w:bidi w:val="0"/>
              <w:ind w:left="720" w:leftChars="0" w:hanging="720" w:firstLineChars="0"/>
              <w:rPr>
                <w:rFonts w:hint="eastAsia"/>
                <w:color w:val="auto"/>
                <w:highlight w:val="none"/>
              </w:rPr>
            </w:pPr>
            <w:r>
              <w:rPr>
                <w:rFonts w:hint="eastAsia"/>
                <w:color w:val="auto"/>
                <w:highlight w:val="none"/>
              </w:rPr>
              <w:t>平面布局</w:t>
            </w:r>
          </w:p>
          <w:p w14:paraId="6D230C15">
            <w:pPr>
              <w:pStyle w:val="139"/>
              <w:keepNext w:val="0"/>
              <w:keepLines w:val="0"/>
              <w:pageBreakBefore w:val="0"/>
              <w:widowControl w:val="0"/>
              <w:shd w:val="clear"/>
              <w:kinsoku/>
              <w:wordWrap/>
              <w:overflowPunct/>
              <w:topLinePunct w:val="0"/>
              <w:autoSpaceDE/>
              <w:autoSpaceDN/>
              <w:bidi w:val="0"/>
              <w:adjustRightInd/>
              <w:snapToGrid/>
              <w:ind w:firstLine="31680"/>
              <w:textAlignment w:val="auto"/>
              <w:rPr>
                <w:color w:val="auto"/>
                <w:highlight w:val="none"/>
              </w:rPr>
            </w:pPr>
            <w:r>
              <w:rPr>
                <w:rFonts w:hint="eastAsia" w:ascii="Times New Roman" w:hAnsi="Times New Roman" w:eastAsia="宋体"/>
                <w:color w:val="auto"/>
                <w:szCs w:val="24"/>
                <w:highlight w:val="none"/>
              </w:rPr>
              <w:t>本项目位于</w:t>
            </w:r>
            <w:r>
              <w:rPr>
                <w:rFonts w:hint="eastAsia"/>
                <w:color w:val="auto"/>
                <w:lang w:val="en-US" w:eastAsia="zh-CN"/>
              </w:rPr>
              <w:t>福建省福州市罗源县凤山镇东大新村3号（2#楼、负压病房大楼以及1#楼1-3层）</w:t>
            </w:r>
            <w:r>
              <w:rPr>
                <w:rFonts w:hint="eastAsia" w:ascii="Times New Roman" w:hAnsi="Times New Roman" w:eastAsia="宋体"/>
                <w:color w:val="auto"/>
                <w:szCs w:val="24"/>
                <w:highlight w:val="none"/>
              </w:rPr>
              <w:t>，总</w:t>
            </w:r>
            <w:r>
              <w:rPr>
                <w:rFonts w:hint="eastAsia"/>
                <w:color w:val="auto"/>
                <w:szCs w:val="24"/>
                <w:highlight w:val="none"/>
                <w:lang w:val="en-US" w:eastAsia="zh-CN"/>
              </w:rPr>
              <w:t>建筑面积28300</w:t>
            </w:r>
            <w:r>
              <w:rPr>
                <w:rFonts w:hint="default" w:ascii="Times New Roman" w:hAnsi="Times New Roman" w:eastAsia="宋体" w:cs="Times New Roman"/>
                <w:color w:val="auto"/>
                <w:sz w:val="24"/>
                <w:szCs w:val="24"/>
                <w:highlight w:val="none"/>
              </w:rPr>
              <w:t>m</w:t>
            </w:r>
            <w:r>
              <w:rPr>
                <w:rFonts w:hint="default" w:ascii="Times New Roman" w:hAnsi="Times New Roman" w:eastAsia="宋体" w:cs="Times New Roman"/>
                <w:color w:val="auto"/>
                <w:sz w:val="24"/>
                <w:szCs w:val="24"/>
                <w:highlight w:val="none"/>
                <w:vertAlign w:val="superscript"/>
              </w:rPr>
              <w:t>2</w:t>
            </w:r>
            <w:r>
              <w:rPr>
                <w:rFonts w:hint="eastAsia" w:ascii="Times New Roman" w:hAnsi="Times New Roman" w:eastAsia="宋体"/>
                <w:color w:val="auto"/>
                <w:szCs w:val="24"/>
                <w:highlight w:val="none"/>
              </w:rPr>
              <w:t>。项目厂区</w:t>
            </w:r>
            <w:r>
              <w:rPr>
                <w:rFonts w:hint="eastAsia"/>
                <w:color w:val="auto"/>
                <w:szCs w:val="24"/>
                <w:highlight w:val="none"/>
                <w:lang w:val="en-US" w:eastAsia="zh-CN"/>
              </w:rPr>
              <w:t>周围均为居民楼。院</w:t>
            </w:r>
            <w:r>
              <w:rPr>
                <w:rFonts w:hint="eastAsia" w:ascii="Times New Roman" w:hAnsi="Times New Roman" w:eastAsia="宋体"/>
                <w:color w:val="auto"/>
                <w:szCs w:val="24"/>
                <w:highlight w:val="none"/>
              </w:rPr>
              <w:t>区出入口设置在</w:t>
            </w:r>
            <w:r>
              <w:rPr>
                <w:rFonts w:hint="eastAsia"/>
                <w:color w:val="auto"/>
                <w:szCs w:val="24"/>
                <w:highlight w:val="none"/>
                <w:lang w:val="en-US" w:eastAsia="zh-CN"/>
              </w:rPr>
              <w:t>厂区南</w:t>
            </w:r>
            <w:r>
              <w:rPr>
                <w:rFonts w:hint="eastAsia" w:ascii="Times New Roman" w:hAnsi="Times New Roman" w:eastAsia="宋体"/>
                <w:color w:val="auto"/>
                <w:szCs w:val="24"/>
                <w:highlight w:val="none"/>
                <w:lang w:val="en-US" w:eastAsia="zh-CN"/>
              </w:rPr>
              <w:t>侧</w:t>
            </w:r>
            <w:r>
              <w:rPr>
                <w:rFonts w:hint="eastAsia"/>
                <w:color w:val="auto"/>
                <w:szCs w:val="24"/>
                <w:highlight w:val="none"/>
                <w:lang w:val="en-US" w:eastAsia="zh-CN"/>
              </w:rPr>
              <w:t>，周边环境详见附图3</w:t>
            </w:r>
            <w:r>
              <w:rPr>
                <w:rFonts w:hint="eastAsia" w:ascii="Times New Roman" w:hAnsi="Times New Roman" w:eastAsia="宋体"/>
                <w:color w:val="auto"/>
                <w:szCs w:val="24"/>
                <w:highlight w:val="none"/>
              </w:rPr>
              <w:t>。本项目</w:t>
            </w:r>
            <w:r>
              <w:rPr>
                <w:rFonts w:hint="eastAsia"/>
                <w:color w:val="auto"/>
                <w:szCs w:val="24"/>
                <w:highlight w:val="none"/>
                <w:lang w:val="en-US" w:eastAsia="zh-CN"/>
              </w:rPr>
              <w:t>院区</w:t>
            </w:r>
            <w:r>
              <w:rPr>
                <w:rFonts w:hint="eastAsia" w:ascii="Times New Roman" w:hAnsi="Times New Roman" w:eastAsia="宋体"/>
                <w:color w:val="auto"/>
                <w:szCs w:val="24"/>
                <w:highlight w:val="none"/>
              </w:rPr>
              <w:t>平面布局根据</w:t>
            </w:r>
            <w:r>
              <w:rPr>
                <w:rFonts w:hint="eastAsia"/>
                <w:color w:val="auto"/>
                <w:szCs w:val="24"/>
                <w:highlight w:val="none"/>
                <w:lang w:val="en-US" w:eastAsia="zh-CN"/>
              </w:rPr>
              <w:t>诊疗</w:t>
            </w:r>
            <w:r>
              <w:rPr>
                <w:rFonts w:hint="eastAsia" w:ascii="Times New Roman" w:hAnsi="Times New Roman" w:eastAsia="宋体"/>
                <w:color w:val="auto"/>
                <w:szCs w:val="24"/>
                <w:highlight w:val="none"/>
              </w:rPr>
              <w:t>需求和周边环境等特点进行</w:t>
            </w:r>
            <w:r>
              <w:rPr>
                <w:rFonts w:hint="eastAsia"/>
                <w:color w:val="auto"/>
                <w:szCs w:val="24"/>
                <w:highlight w:val="none"/>
                <w:lang w:eastAsia="zh-CN"/>
              </w:rPr>
              <w:t>设计</w:t>
            </w:r>
            <w:r>
              <w:rPr>
                <w:rFonts w:hint="eastAsia" w:ascii="Times New Roman" w:hAnsi="Times New Roman" w:eastAsia="宋体"/>
                <w:color w:val="auto"/>
                <w:szCs w:val="24"/>
                <w:highlight w:val="none"/>
              </w:rPr>
              <w:t>，</w:t>
            </w:r>
            <w:r>
              <w:rPr>
                <w:rFonts w:hint="eastAsia"/>
                <w:color w:val="auto"/>
                <w:szCs w:val="24"/>
                <w:highlight w:val="none"/>
                <w:lang w:val="en-US" w:eastAsia="zh-CN"/>
              </w:rPr>
              <w:t>诊疗</w:t>
            </w:r>
            <w:r>
              <w:rPr>
                <w:rFonts w:hint="eastAsia" w:ascii="Times New Roman" w:hAnsi="Times New Roman" w:eastAsia="宋体"/>
                <w:color w:val="auto"/>
                <w:szCs w:val="24"/>
                <w:highlight w:val="none"/>
              </w:rPr>
              <w:t>过程中产生的各类污染物经治理后对周边环境影响较小。</w:t>
            </w:r>
            <w:r>
              <w:rPr>
                <w:rFonts w:hint="eastAsia"/>
                <w:color w:val="auto"/>
                <w:szCs w:val="24"/>
                <w:highlight w:val="none"/>
                <w:lang w:val="en-US" w:eastAsia="zh-CN"/>
              </w:rPr>
              <w:t>院区</w:t>
            </w:r>
            <w:r>
              <w:rPr>
                <w:rFonts w:hint="eastAsia" w:ascii="Times New Roman" w:hAnsi="Times New Roman" w:eastAsia="宋体"/>
                <w:color w:val="auto"/>
                <w:szCs w:val="24"/>
                <w:highlight w:val="none"/>
              </w:rPr>
              <w:t>各区块功能明确，物料流向顺畅，符合防火、安全等有关规范，总体布局功能分区明确，便于生产的连续性，项目平面布置基本合理。</w:t>
            </w:r>
          </w:p>
          <w:p w14:paraId="25CE2784">
            <w:pPr>
              <w:pStyle w:val="3"/>
              <w:bidi w:val="0"/>
              <w:ind w:left="0" w:leftChars="0" w:firstLine="0" w:firstLineChars="0"/>
              <w:rPr>
                <w:rFonts w:hint="eastAsia"/>
                <w:color w:val="auto"/>
                <w:highlight w:val="none"/>
              </w:rPr>
            </w:pPr>
            <w:bookmarkStart w:id="8" w:name="_Toc9977"/>
            <w:bookmarkStart w:id="9" w:name="_Toc6646"/>
            <w:bookmarkStart w:id="10" w:name="_Toc24506"/>
            <w:bookmarkStart w:id="11" w:name="_Toc10081"/>
            <w:r>
              <w:rPr>
                <w:rFonts w:hint="eastAsia"/>
                <w:color w:val="auto"/>
                <w:highlight w:val="none"/>
              </w:rPr>
              <w:t>主要</w:t>
            </w:r>
            <w:r>
              <w:rPr>
                <w:rFonts w:hint="eastAsia"/>
                <w:color w:val="auto"/>
                <w:highlight w:val="none"/>
                <w:lang w:val="en-US" w:eastAsia="zh-CN"/>
              </w:rPr>
              <w:t>医疗</w:t>
            </w:r>
            <w:r>
              <w:rPr>
                <w:rFonts w:hint="eastAsia"/>
                <w:color w:val="auto"/>
                <w:highlight w:val="none"/>
              </w:rPr>
              <w:t>设备</w:t>
            </w:r>
            <w:bookmarkEnd w:id="8"/>
            <w:bookmarkEnd w:id="9"/>
            <w:bookmarkEnd w:id="10"/>
            <w:bookmarkEnd w:id="11"/>
          </w:p>
          <w:p w14:paraId="764EA68D">
            <w:pPr>
              <w:pStyle w:val="46"/>
              <w:ind w:firstLine="480"/>
              <w:rPr>
                <w:color w:val="auto"/>
                <w:highlight w:val="none"/>
              </w:rPr>
            </w:pPr>
            <w:r>
              <w:rPr>
                <w:color w:val="auto"/>
                <w:highlight w:val="none"/>
              </w:rPr>
              <w:t>本项目主要</w:t>
            </w:r>
            <w:r>
              <w:rPr>
                <w:rFonts w:hint="eastAsia"/>
                <w:color w:val="auto"/>
                <w:highlight w:val="none"/>
                <w:lang w:eastAsia="zh-CN"/>
              </w:rPr>
              <w:t>医疗设备</w:t>
            </w:r>
            <w:r>
              <w:rPr>
                <w:rFonts w:hint="eastAsia"/>
                <w:color w:val="auto"/>
                <w:highlight w:val="none"/>
                <w:lang w:val="en-US" w:eastAsia="zh-CN"/>
              </w:rPr>
              <w:t>及建成后全院主要医疗设施详见</w:t>
            </w:r>
            <w:r>
              <w:rPr>
                <w:rFonts w:hint="eastAsia"/>
                <w:color w:val="auto"/>
                <w:highlight w:val="none"/>
              </w:rPr>
              <w:t>下表</w:t>
            </w:r>
            <w:r>
              <w:rPr>
                <w:color w:val="auto"/>
                <w:highlight w:val="none"/>
              </w:rPr>
              <w:t>。</w:t>
            </w:r>
          </w:p>
          <w:p w14:paraId="3B2120A5">
            <w:pPr>
              <w:pStyle w:val="44"/>
              <w:keepNext/>
              <w:keepLines/>
              <w:pageBreakBefore w:val="0"/>
              <w:widowControl w:val="0"/>
              <w:kinsoku/>
              <w:wordWrap/>
              <w:overflowPunct/>
              <w:topLinePunct w:val="0"/>
              <w:autoSpaceDE/>
              <w:autoSpaceDN/>
              <w:bidi w:val="0"/>
              <w:adjustRightInd/>
              <w:snapToGrid/>
              <w:spacing w:before="0" w:after="0"/>
              <w:ind w:left="630" w:leftChars="0" w:firstLineChars="0"/>
              <w:textAlignment w:val="auto"/>
              <w:rPr>
                <w:color w:val="auto"/>
                <w:highlight w:val="none"/>
              </w:rPr>
            </w:pPr>
            <w:bookmarkStart w:id="12" w:name="_Ref15628"/>
            <w:bookmarkStart w:id="13" w:name="_Toc4944"/>
            <w:bookmarkStart w:id="14" w:name="_Toc20936"/>
            <w:bookmarkStart w:id="15" w:name="_Toc25944"/>
            <w:bookmarkStart w:id="16" w:name="_Toc12299"/>
            <w:r>
              <w:rPr>
                <w:rFonts w:hint="eastAsia"/>
                <w:color w:val="auto"/>
                <w:highlight w:val="none"/>
              </w:rPr>
              <w:t>项目</w:t>
            </w:r>
            <w:bookmarkEnd w:id="12"/>
            <w:r>
              <w:rPr>
                <w:rFonts w:hint="eastAsia"/>
                <w:color w:val="auto"/>
                <w:highlight w:val="none"/>
                <w:lang w:eastAsia="zh-CN"/>
              </w:rPr>
              <w:t>医疗设备</w:t>
            </w:r>
            <w:r>
              <w:rPr>
                <w:rFonts w:hint="eastAsia"/>
                <w:color w:val="auto"/>
                <w:highlight w:val="none"/>
              </w:rPr>
              <w:t>清单表</w:t>
            </w:r>
          </w:p>
          <w:tbl>
            <w:tblPr>
              <w:tblStyle w:val="35"/>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796"/>
              <w:gridCol w:w="3717"/>
              <w:gridCol w:w="2195"/>
              <w:gridCol w:w="1932"/>
            </w:tblGrid>
            <w:tr w14:paraId="507CBD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61" w:type="pct"/>
                  <w:tcBorders>
                    <w:bottom w:val="single" w:color="000000" w:sz="12" w:space="0"/>
                  </w:tcBorders>
                  <w:vAlign w:val="center"/>
                </w:tcPr>
                <w:p w14:paraId="2BB94314">
                  <w:pPr>
                    <w:pStyle w:val="48"/>
                    <w:keepNext w:val="0"/>
                    <w:keepLines w:val="0"/>
                    <w:pageBreakBefore w:val="0"/>
                    <w:widowControl w:val="0"/>
                    <w:suppressLineNumbers w:val="0"/>
                    <w:tabs>
                      <w:tab w:val="left" w:pos="0"/>
                    </w:tabs>
                    <w:kinsoku/>
                    <w:wordWrap/>
                    <w:overflowPunct/>
                    <w:topLinePunct w:val="0"/>
                    <w:autoSpaceDE/>
                    <w:autoSpaceDN/>
                    <w:bidi w:val="0"/>
                    <w:adjustRightInd/>
                    <w:snapToGrid w:val="0"/>
                    <w:spacing w:before="0"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序号</w:t>
                  </w:r>
                </w:p>
              </w:tc>
              <w:tc>
                <w:tcPr>
                  <w:tcW w:w="2151" w:type="pct"/>
                  <w:tcBorders>
                    <w:bottom w:val="single" w:color="000000" w:sz="12" w:space="0"/>
                  </w:tcBorders>
                  <w:vAlign w:val="center"/>
                </w:tcPr>
                <w:p w14:paraId="1075BDEA">
                  <w:pPr>
                    <w:pStyle w:val="48"/>
                    <w:keepNext w:val="0"/>
                    <w:keepLines w:val="0"/>
                    <w:pageBreakBefore w:val="0"/>
                    <w:widowControl w:val="0"/>
                    <w:suppressLineNumbers w:val="0"/>
                    <w:tabs>
                      <w:tab w:val="left" w:pos="0"/>
                    </w:tabs>
                    <w:kinsoku/>
                    <w:wordWrap/>
                    <w:overflowPunct/>
                    <w:topLinePunct w:val="0"/>
                    <w:autoSpaceDE/>
                    <w:autoSpaceDN/>
                    <w:bidi w:val="0"/>
                    <w:adjustRightInd/>
                    <w:snapToGrid w:val="0"/>
                    <w:spacing w:before="0"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设备名称</w:t>
                  </w:r>
                </w:p>
              </w:tc>
              <w:tc>
                <w:tcPr>
                  <w:tcW w:w="1270" w:type="pct"/>
                  <w:tcBorders>
                    <w:bottom w:val="single" w:color="000000" w:sz="12" w:space="0"/>
                  </w:tcBorders>
                  <w:vAlign w:val="center"/>
                </w:tcPr>
                <w:p w14:paraId="6FB81689">
                  <w:pPr>
                    <w:pStyle w:val="48"/>
                    <w:keepNext w:val="0"/>
                    <w:keepLines w:val="0"/>
                    <w:pageBreakBefore w:val="0"/>
                    <w:widowControl w:val="0"/>
                    <w:suppressLineNumbers w:val="0"/>
                    <w:tabs>
                      <w:tab w:val="left" w:pos="0"/>
                    </w:tabs>
                    <w:kinsoku/>
                    <w:wordWrap/>
                    <w:overflowPunct/>
                    <w:topLinePunct w:val="0"/>
                    <w:autoSpaceDE/>
                    <w:autoSpaceDN/>
                    <w:bidi w:val="0"/>
                    <w:adjustRightInd/>
                    <w:snapToGrid w:val="0"/>
                    <w:spacing w:before="0"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型号/功率</w:t>
                  </w:r>
                </w:p>
              </w:tc>
              <w:tc>
                <w:tcPr>
                  <w:tcW w:w="1116" w:type="pct"/>
                  <w:tcBorders>
                    <w:bottom w:val="single" w:color="000000" w:sz="12" w:space="0"/>
                  </w:tcBorders>
                  <w:vAlign w:val="center"/>
                </w:tcPr>
                <w:p w14:paraId="000701AF">
                  <w:pPr>
                    <w:pStyle w:val="48"/>
                    <w:keepNext w:val="0"/>
                    <w:keepLines w:val="0"/>
                    <w:pageBreakBefore w:val="0"/>
                    <w:widowControl w:val="0"/>
                    <w:suppressLineNumbers w:val="0"/>
                    <w:tabs>
                      <w:tab w:val="left" w:pos="0"/>
                    </w:tabs>
                    <w:kinsoku/>
                    <w:wordWrap/>
                    <w:overflowPunct/>
                    <w:topLinePunct w:val="0"/>
                    <w:autoSpaceDE/>
                    <w:autoSpaceDN/>
                    <w:bidi w:val="0"/>
                    <w:adjustRightInd/>
                    <w:snapToGrid w:val="0"/>
                    <w:spacing w:before="0"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数量</w:t>
                  </w:r>
                  <w:r>
                    <w:rPr>
                      <w:rFonts w:ascii="Times New Roman" w:hAnsi="Times New Roman" w:eastAsia="宋体"/>
                      <w:color w:val="auto"/>
                      <w:spacing w:val="6"/>
                      <w:sz w:val="21"/>
                    </w:rPr>
                    <w:t>（台套）</w:t>
                  </w:r>
                </w:p>
              </w:tc>
            </w:tr>
            <w:tr w14:paraId="69D887D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61" w:type="pct"/>
                  <w:tcBorders>
                    <w:top w:val="single" w:color="000000" w:sz="12" w:space="0"/>
                    <w:tl2br w:val="nil"/>
                    <w:tr2bl w:val="nil"/>
                  </w:tcBorders>
                  <w:shd w:val="clear" w:color="auto" w:fill="auto"/>
                  <w:vAlign w:val="center"/>
                </w:tcPr>
                <w:p w14:paraId="729D3390">
                  <w:pPr>
                    <w:keepNext w:val="0"/>
                    <w:keepLines w:val="0"/>
                    <w:pageBreakBefore w:val="0"/>
                    <w:kinsoku/>
                    <w:wordWrap/>
                    <w:overflowPunct/>
                    <w:topLinePunct w:val="0"/>
                    <w:autoSpaceDE/>
                    <w:autoSpaceDN/>
                    <w:bidi w:val="0"/>
                    <w:adjustRightInd/>
                    <w:jc w:val="center"/>
                    <w:rPr>
                      <w:rFonts w:hint="eastAsia"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w:t>
                  </w:r>
                </w:p>
              </w:tc>
              <w:tc>
                <w:tcPr>
                  <w:tcW w:w="2151" w:type="pct"/>
                  <w:tcBorders>
                    <w:top w:val="single" w:color="000000" w:sz="12" w:space="0"/>
                    <w:tl2br w:val="nil"/>
                    <w:tr2bl w:val="nil"/>
                  </w:tcBorders>
                  <w:shd w:val="clear" w:color="auto" w:fill="auto"/>
                  <w:vAlign w:val="center"/>
                </w:tcPr>
                <w:p w14:paraId="79D8E595">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color w:val="auto"/>
                      <w:sz w:val="21"/>
                      <w:szCs w:val="21"/>
                      <w:lang w:val="en-US" w:eastAsia="zh-CN"/>
                    </w:rPr>
                    <w:t>病人监护仪</w:t>
                  </w:r>
                </w:p>
              </w:tc>
              <w:tc>
                <w:tcPr>
                  <w:tcW w:w="1270" w:type="pct"/>
                  <w:tcBorders>
                    <w:top w:val="single" w:color="000000" w:sz="12" w:space="0"/>
                    <w:tl2br w:val="nil"/>
                    <w:tr2bl w:val="nil"/>
                  </w:tcBorders>
                  <w:shd w:val="clear" w:color="auto" w:fill="auto"/>
                  <w:vAlign w:val="center"/>
                </w:tcPr>
                <w:p w14:paraId="2D9FB4CA">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color w:val="auto"/>
                      <w:sz w:val="21"/>
                      <w:szCs w:val="21"/>
                      <w:lang w:val="en-US" w:eastAsia="zh-CN"/>
                    </w:rPr>
                    <w:t>ePM10</w:t>
                  </w:r>
                </w:p>
              </w:tc>
              <w:tc>
                <w:tcPr>
                  <w:tcW w:w="1116" w:type="pct"/>
                  <w:tcBorders>
                    <w:top w:val="single" w:color="000000" w:sz="12" w:space="0"/>
                    <w:tl2br w:val="nil"/>
                    <w:tr2bl w:val="nil"/>
                  </w:tcBorders>
                  <w:shd w:val="clear" w:color="auto" w:fill="auto"/>
                  <w:vAlign w:val="center"/>
                </w:tcPr>
                <w:p w14:paraId="2887C5CF">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10</w:t>
                  </w:r>
                </w:p>
              </w:tc>
            </w:tr>
            <w:tr w14:paraId="01708C9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61" w:type="pct"/>
                  <w:tcBorders>
                    <w:tl2br w:val="nil"/>
                    <w:tr2bl w:val="nil"/>
                  </w:tcBorders>
                  <w:shd w:val="clear" w:color="auto" w:fill="auto"/>
                  <w:vAlign w:val="center"/>
                </w:tcPr>
                <w:p w14:paraId="697878D1">
                  <w:pPr>
                    <w:keepNext w:val="0"/>
                    <w:keepLines w:val="0"/>
                    <w:pageBreakBefore w:val="0"/>
                    <w:kinsoku/>
                    <w:wordWrap/>
                    <w:overflowPunct/>
                    <w:topLinePunct w:val="0"/>
                    <w:autoSpaceDE/>
                    <w:autoSpaceDN/>
                    <w:bidi w:val="0"/>
                    <w:adjustRightInd/>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2</w:t>
                  </w:r>
                </w:p>
              </w:tc>
              <w:tc>
                <w:tcPr>
                  <w:tcW w:w="2151" w:type="pct"/>
                  <w:tcBorders>
                    <w:tl2br w:val="nil"/>
                    <w:tr2bl w:val="nil"/>
                  </w:tcBorders>
                  <w:shd w:val="clear" w:color="auto" w:fill="auto"/>
                  <w:vAlign w:val="center"/>
                </w:tcPr>
                <w:p w14:paraId="55CB965F">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color w:val="auto"/>
                      <w:sz w:val="21"/>
                      <w:szCs w:val="21"/>
                      <w:lang w:val="en-US" w:eastAsia="zh-CN"/>
                    </w:rPr>
                    <w:t>多道心电图</w:t>
                  </w:r>
                </w:p>
              </w:tc>
              <w:tc>
                <w:tcPr>
                  <w:tcW w:w="1270" w:type="pct"/>
                  <w:tcBorders>
                    <w:tl2br w:val="nil"/>
                    <w:tr2bl w:val="nil"/>
                  </w:tcBorders>
                  <w:shd w:val="clear" w:color="auto" w:fill="auto"/>
                  <w:vAlign w:val="center"/>
                </w:tcPr>
                <w:p w14:paraId="6062EBA1">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color w:val="auto"/>
                      <w:sz w:val="21"/>
                      <w:szCs w:val="21"/>
                      <w:lang w:val="en-US" w:eastAsia="zh-CN"/>
                    </w:rPr>
                    <w:t>ECG-3260</w:t>
                  </w:r>
                </w:p>
              </w:tc>
              <w:tc>
                <w:tcPr>
                  <w:tcW w:w="1116" w:type="pct"/>
                  <w:tcBorders>
                    <w:tl2br w:val="nil"/>
                    <w:tr2bl w:val="nil"/>
                  </w:tcBorders>
                  <w:shd w:val="clear" w:color="auto" w:fill="auto"/>
                  <w:vAlign w:val="center"/>
                </w:tcPr>
                <w:p w14:paraId="6F6C6D42">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color w:val="auto"/>
                      <w:sz w:val="21"/>
                      <w:szCs w:val="21"/>
                      <w:lang w:val="en-US" w:eastAsia="zh-CN"/>
                    </w:rPr>
                    <w:t>6</w:t>
                  </w:r>
                </w:p>
              </w:tc>
            </w:tr>
            <w:tr w14:paraId="0AFDEC5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61" w:type="pct"/>
                  <w:tcBorders>
                    <w:tl2br w:val="nil"/>
                    <w:tr2bl w:val="nil"/>
                  </w:tcBorders>
                  <w:shd w:val="clear" w:color="auto" w:fill="auto"/>
                  <w:vAlign w:val="center"/>
                </w:tcPr>
                <w:p w14:paraId="60065AEF">
                  <w:pPr>
                    <w:keepNext w:val="0"/>
                    <w:keepLines w:val="0"/>
                    <w:pageBreakBefore w:val="0"/>
                    <w:kinsoku/>
                    <w:wordWrap/>
                    <w:overflowPunct/>
                    <w:topLinePunct w:val="0"/>
                    <w:autoSpaceDE/>
                    <w:autoSpaceDN/>
                    <w:bidi w:val="0"/>
                    <w:adjustRightInd/>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3</w:t>
                  </w:r>
                </w:p>
              </w:tc>
              <w:tc>
                <w:tcPr>
                  <w:tcW w:w="2151" w:type="pct"/>
                  <w:tcBorders>
                    <w:tl2br w:val="nil"/>
                    <w:tr2bl w:val="nil"/>
                  </w:tcBorders>
                  <w:shd w:val="clear" w:color="auto" w:fill="auto"/>
                  <w:vAlign w:val="center"/>
                </w:tcPr>
                <w:p w14:paraId="0358486D">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注射泵</w:t>
                  </w:r>
                  <w:r>
                    <w:rPr>
                      <w:rFonts w:hint="eastAsia" w:cs="宋体"/>
                      <w:i w:val="0"/>
                      <w:iCs w:val="0"/>
                      <w:color w:val="000000"/>
                      <w:kern w:val="0"/>
                      <w:sz w:val="21"/>
                      <w:szCs w:val="21"/>
                      <w:u w:val="none"/>
                      <w:lang w:val="en-US" w:eastAsia="zh-CN" w:bidi="ar"/>
                    </w:rPr>
                    <w:t>（</w:t>
                  </w:r>
                  <w:r>
                    <w:rPr>
                      <w:rFonts w:hint="eastAsia" w:ascii="Times New Roman" w:hAnsi="Times New Roman" w:eastAsia="宋体" w:cs="宋体"/>
                      <w:i w:val="0"/>
                      <w:iCs w:val="0"/>
                      <w:color w:val="000000"/>
                      <w:kern w:val="0"/>
                      <w:sz w:val="21"/>
                      <w:szCs w:val="21"/>
                      <w:u w:val="none"/>
                      <w:lang w:val="en-US" w:eastAsia="zh-CN" w:bidi="ar"/>
                    </w:rPr>
                    <w:t>迈瑞）</w:t>
                  </w:r>
                </w:p>
              </w:tc>
              <w:tc>
                <w:tcPr>
                  <w:tcW w:w="1270" w:type="pct"/>
                  <w:tcBorders>
                    <w:tl2br w:val="nil"/>
                    <w:tr2bl w:val="nil"/>
                  </w:tcBorders>
                  <w:shd w:val="clear" w:color="auto" w:fill="auto"/>
                  <w:vAlign w:val="center"/>
                </w:tcPr>
                <w:p w14:paraId="1C2D732C">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BeneFusion SPI</w:t>
                  </w:r>
                </w:p>
              </w:tc>
              <w:tc>
                <w:tcPr>
                  <w:tcW w:w="1116" w:type="pct"/>
                  <w:tcBorders>
                    <w:tl2br w:val="nil"/>
                    <w:tr2bl w:val="nil"/>
                  </w:tcBorders>
                  <w:shd w:val="clear" w:color="auto" w:fill="auto"/>
                  <w:vAlign w:val="center"/>
                </w:tcPr>
                <w:p w14:paraId="74973C57">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1</w:t>
                  </w:r>
                </w:p>
              </w:tc>
            </w:tr>
            <w:tr w14:paraId="76D61D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61" w:type="pct"/>
                  <w:tcBorders>
                    <w:tl2br w:val="nil"/>
                    <w:tr2bl w:val="nil"/>
                  </w:tcBorders>
                  <w:shd w:val="clear" w:color="auto" w:fill="auto"/>
                  <w:vAlign w:val="center"/>
                </w:tcPr>
                <w:p w14:paraId="3F0914F7">
                  <w:pPr>
                    <w:keepNext w:val="0"/>
                    <w:keepLines w:val="0"/>
                    <w:pageBreakBefore w:val="0"/>
                    <w:kinsoku/>
                    <w:wordWrap/>
                    <w:overflowPunct/>
                    <w:topLinePunct w:val="0"/>
                    <w:autoSpaceDE/>
                    <w:autoSpaceDN/>
                    <w:bidi w:val="0"/>
                    <w:adjustRightInd/>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4</w:t>
                  </w:r>
                </w:p>
              </w:tc>
              <w:tc>
                <w:tcPr>
                  <w:tcW w:w="2151" w:type="pct"/>
                  <w:tcBorders>
                    <w:tl2br w:val="nil"/>
                    <w:tr2bl w:val="nil"/>
                  </w:tcBorders>
                  <w:shd w:val="clear" w:color="auto" w:fill="auto"/>
                  <w:vAlign w:val="center"/>
                </w:tcPr>
                <w:p w14:paraId="4C574D28">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注射泵</w:t>
                  </w:r>
                  <w:r>
                    <w:rPr>
                      <w:rFonts w:hint="eastAsia" w:cs="宋体"/>
                      <w:i w:val="0"/>
                      <w:iCs w:val="0"/>
                      <w:color w:val="000000"/>
                      <w:kern w:val="0"/>
                      <w:sz w:val="21"/>
                      <w:szCs w:val="21"/>
                      <w:u w:val="none"/>
                      <w:lang w:val="en-US" w:eastAsia="zh-CN" w:bidi="ar"/>
                    </w:rPr>
                    <w:t>（</w:t>
                  </w:r>
                  <w:r>
                    <w:rPr>
                      <w:rFonts w:hint="eastAsia" w:ascii="Times New Roman" w:hAnsi="Times New Roman" w:eastAsia="宋体" w:cs="宋体"/>
                      <w:i w:val="0"/>
                      <w:iCs w:val="0"/>
                      <w:color w:val="000000"/>
                      <w:kern w:val="0"/>
                      <w:sz w:val="21"/>
                      <w:szCs w:val="21"/>
                      <w:u w:val="none"/>
                      <w:lang w:val="en-US" w:eastAsia="zh-CN" w:bidi="ar"/>
                    </w:rPr>
                    <w:t>迈瑞）</w:t>
                  </w:r>
                </w:p>
              </w:tc>
              <w:tc>
                <w:tcPr>
                  <w:tcW w:w="1270" w:type="pct"/>
                  <w:tcBorders>
                    <w:tl2br w:val="nil"/>
                    <w:tr2bl w:val="nil"/>
                  </w:tcBorders>
                  <w:shd w:val="clear" w:color="auto" w:fill="auto"/>
                  <w:vAlign w:val="center"/>
                </w:tcPr>
                <w:p w14:paraId="7EA759F4">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SK-801EX</w:t>
                  </w:r>
                </w:p>
              </w:tc>
              <w:tc>
                <w:tcPr>
                  <w:tcW w:w="1116" w:type="pct"/>
                  <w:tcBorders>
                    <w:tl2br w:val="nil"/>
                    <w:tr2bl w:val="nil"/>
                  </w:tcBorders>
                  <w:shd w:val="clear" w:color="auto" w:fill="auto"/>
                  <w:vAlign w:val="center"/>
                </w:tcPr>
                <w:p w14:paraId="5A40C097">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1</w:t>
                  </w:r>
                </w:p>
              </w:tc>
            </w:tr>
            <w:tr w14:paraId="558BB12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61" w:type="pct"/>
                  <w:tcBorders>
                    <w:tl2br w:val="nil"/>
                    <w:tr2bl w:val="nil"/>
                  </w:tcBorders>
                  <w:shd w:val="clear" w:color="auto" w:fill="auto"/>
                  <w:vAlign w:val="center"/>
                </w:tcPr>
                <w:p w14:paraId="4DAC7864">
                  <w:pPr>
                    <w:keepNext w:val="0"/>
                    <w:keepLines w:val="0"/>
                    <w:pageBreakBefore w:val="0"/>
                    <w:kinsoku/>
                    <w:wordWrap/>
                    <w:overflowPunct/>
                    <w:topLinePunct w:val="0"/>
                    <w:autoSpaceDE/>
                    <w:autoSpaceDN/>
                    <w:bidi w:val="0"/>
                    <w:adjustRightInd/>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5</w:t>
                  </w:r>
                </w:p>
              </w:tc>
              <w:tc>
                <w:tcPr>
                  <w:tcW w:w="2151" w:type="pct"/>
                  <w:tcBorders>
                    <w:tl2br w:val="nil"/>
                    <w:tr2bl w:val="nil"/>
                  </w:tcBorders>
                  <w:shd w:val="clear" w:color="auto" w:fill="auto"/>
                  <w:vAlign w:val="center"/>
                </w:tcPr>
                <w:p w14:paraId="53641968">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磁振热治疗仪</w:t>
                  </w:r>
                </w:p>
              </w:tc>
              <w:tc>
                <w:tcPr>
                  <w:tcW w:w="1270" w:type="pct"/>
                  <w:tcBorders>
                    <w:tl2br w:val="nil"/>
                    <w:tr2bl w:val="nil"/>
                  </w:tcBorders>
                  <w:shd w:val="clear" w:color="auto" w:fill="auto"/>
                  <w:vAlign w:val="center"/>
                </w:tcPr>
                <w:p w14:paraId="0E43B6FC">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XY-K-CZR-11</w:t>
                  </w:r>
                </w:p>
              </w:tc>
              <w:tc>
                <w:tcPr>
                  <w:tcW w:w="1116" w:type="pct"/>
                  <w:tcBorders>
                    <w:tl2br w:val="nil"/>
                    <w:tr2bl w:val="nil"/>
                  </w:tcBorders>
                  <w:shd w:val="clear" w:color="auto" w:fill="auto"/>
                  <w:vAlign w:val="center"/>
                </w:tcPr>
                <w:p w14:paraId="4011C90D">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1</w:t>
                  </w:r>
                </w:p>
              </w:tc>
            </w:tr>
            <w:tr w14:paraId="0F86AD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61" w:type="pct"/>
                  <w:tcBorders>
                    <w:tl2br w:val="nil"/>
                    <w:tr2bl w:val="nil"/>
                  </w:tcBorders>
                  <w:shd w:val="clear" w:color="auto" w:fill="auto"/>
                  <w:vAlign w:val="center"/>
                </w:tcPr>
                <w:p w14:paraId="0B70B05C">
                  <w:pPr>
                    <w:keepNext w:val="0"/>
                    <w:keepLines w:val="0"/>
                    <w:pageBreakBefore w:val="0"/>
                    <w:kinsoku/>
                    <w:wordWrap/>
                    <w:overflowPunct/>
                    <w:topLinePunct w:val="0"/>
                    <w:autoSpaceDE/>
                    <w:autoSpaceDN/>
                    <w:bidi w:val="0"/>
                    <w:adjustRightInd/>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6</w:t>
                  </w:r>
                </w:p>
              </w:tc>
              <w:tc>
                <w:tcPr>
                  <w:tcW w:w="2151" w:type="pct"/>
                  <w:tcBorders>
                    <w:tl2br w:val="nil"/>
                    <w:tr2bl w:val="nil"/>
                  </w:tcBorders>
                  <w:shd w:val="clear" w:color="auto" w:fill="auto"/>
                  <w:vAlign w:val="center"/>
                </w:tcPr>
                <w:p w14:paraId="24B9A5F0">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红外光灸疗机</w:t>
                  </w:r>
                </w:p>
              </w:tc>
              <w:tc>
                <w:tcPr>
                  <w:tcW w:w="1270" w:type="pct"/>
                  <w:tcBorders>
                    <w:tl2br w:val="nil"/>
                    <w:tr2bl w:val="nil"/>
                  </w:tcBorders>
                  <w:shd w:val="clear" w:color="auto" w:fill="auto"/>
                  <w:vAlign w:val="center"/>
                </w:tcPr>
                <w:p w14:paraId="60BE7837">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XY-HGJ-II</w:t>
                  </w:r>
                </w:p>
              </w:tc>
              <w:tc>
                <w:tcPr>
                  <w:tcW w:w="1116" w:type="pct"/>
                  <w:tcBorders>
                    <w:tl2br w:val="nil"/>
                    <w:tr2bl w:val="nil"/>
                  </w:tcBorders>
                  <w:shd w:val="clear" w:color="auto" w:fill="auto"/>
                  <w:vAlign w:val="center"/>
                </w:tcPr>
                <w:p w14:paraId="02054F09">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1</w:t>
                  </w:r>
                </w:p>
              </w:tc>
            </w:tr>
            <w:tr w14:paraId="6964CCD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61" w:type="pct"/>
                  <w:tcBorders>
                    <w:tl2br w:val="nil"/>
                    <w:tr2bl w:val="nil"/>
                  </w:tcBorders>
                  <w:vAlign w:val="center"/>
                </w:tcPr>
                <w:p w14:paraId="0B30B80B">
                  <w:pPr>
                    <w:keepNext w:val="0"/>
                    <w:keepLines w:val="0"/>
                    <w:pageBreakBefore w:val="0"/>
                    <w:kinsoku/>
                    <w:wordWrap/>
                    <w:overflowPunct/>
                    <w:topLinePunct w:val="0"/>
                    <w:autoSpaceDE/>
                    <w:autoSpaceDN/>
                    <w:bidi w:val="0"/>
                    <w:adjustRightInd/>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7</w:t>
                  </w:r>
                </w:p>
              </w:tc>
              <w:tc>
                <w:tcPr>
                  <w:tcW w:w="2151" w:type="pct"/>
                  <w:tcBorders>
                    <w:tl2br w:val="nil"/>
                    <w:tr2bl w:val="nil"/>
                  </w:tcBorders>
                  <w:shd w:val="clear" w:color="auto" w:fill="auto"/>
                  <w:vAlign w:val="center"/>
                </w:tcPr>
                <w:p w14:paraId="30D3D622">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color w:val="auto"/>
                      <w:kern w:val="2"/>
                      <w:sz w:val="21"/>
                      <w:szCs w:val="21"/>
                      <w:lang w:val="en-US" w:eastAsia="zh-CN" w:bidi="ar-SA"/>
                    </w:rPr>
                    <w:t>洗胃机</w:t>
                  </w:r>
                </w:p>
              </w:tc>
              <w:tc>
                <w:tcPr>
                  <w:tcW w:w="1270" w:type="pct"/>
                  <w:tcBorders>
                    <w:tl2br w:val="nil"/>
                    <w:tr2bl w:val="nil"/>
                  </w:tcBorders>
                  <w:shd w:val="clear" w:color="auto" w:fill="auto"/>
                  <w:vAlign w:val="center"/>
                </w:tcPr>
                <w:p w14:paraId="1269D5C3">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color w:val="auto"/>
                      <w:kern w:val="2"/>
                      <w:sz w:val="21"/>
                      <w:szCs w:val="21"/>
                      <w:lang w:val="en-US" w:eastAsia="zh-CN" w:bidi="ar-SA"/>
                    </w:rPr>
                    <w:t>TJCB-A</w:t>
                  </w:r>
                </w:p>
              </w:tc>
              <w:tc>
                <w:tcPr>
                  <w:tcW w:w="1116" w:type="pct"/>
                  <w:tcBorders>
                    <w:tl2br w:val="nil"/>
                    <w:tr2bl w:val="nil"/>
                  </w:tcBorders>
                  <w:shd w:val="clear" w:color="auto" w:fill="auto"/>
                  <w:vAlign w:val="center"/>
                </w:tcPr>
                <w:p w14:paraId="191AFBC8">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1</w:t>
                  </w:r>
                </w:p>
              </w:tc>
            </w:tr>
            <w:tr w14:paraId="0098FAC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61" w:type="pct"/>
                  <w:tcBorders>
                    <w:tl2br w:val="nil"/>
                    <w:tr2bl w:val="nil"/>
                  </w:tcBorders>
                  <w:vAlign w:val="center"/>
                </w:tcPr>
                <w:p w14:paraId="21B1A8F8">
                  <w:pPr>
                    <w:keepNext w:val="0"/>
                    <w:keepLines w:val="0"/>
                    <w:pageBreakBefore w:val="0"/>
                    <w:kinsoku/>
                    <w:wordWrap/>
                    <w:overflowPunct/>
                    <w:topLinePunct w:val="0"/>
                    <w:autoSpaceDE/>
                    <w:autoSpaceDN/>
                    <w:bidi w:val="0"/>
                    <w:adjustRightInd/>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8</w:t>
                  </w:r>
                </w:p>
              </w:tc>
              <w:tc>
                <w:tcPr>
                  <w:tcW w:w="2151" w:type="pct"/>
                  <w:tcBorders>
                    <w:tl2br w:val="nil"/>
                    <w:tr2bl w:val="nil"/>
                  </w:tcBorders>
                  <w:shd w:val="clear" w:color="auto" w:fill="auto"/>
                  <w:vAlign w:val="center"/>
                </w:tcPr>
                <w:p w14:paraId="3A04A81A">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彩色多普勒超声诊断仪</w:t>
                  </w:r>
                </w:p>
              </w:tc>
              <w:tc>
                <w:tcPr>
                  <w:tcW w:w="1270" w:type="pct"/>
                  <w:tcBorders>
                    <w:tl2br w:val="nil"/>
                    <w:tr2bl w:val="nil"/>
                  </w:tcBorders>
                  <w:shd w:val="clear" w:color="auto" w:fill="auto"/>
                  <w:vAlign w:val="center"/>
                </w:tcPr>
                <w:p w14:paraId="58711A84">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飞利浦Affini50</w:t>
                  </w:r>
                </w:p>
              </w:tc>
              <w:tc>
                <w:tcPr>
                  <w:tcW w:w="1116" w:type="pct"/>
                  <w:tcBorders>
                    <w:tl2br w:val="nil"/>
                    <w:tr2bl w:val="nil"/>
                  </w:tcBorders>
                  <w:shd w:val="clear" w:color="auto" w:fill="auto"/>
                  <w:vAlign w:val="center"/>
                </w:tcPr>
                <w:p w14:paraId="5D3A68BF">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1</w:t>
                  </w:r>
                </w:p>
              </w:tc>
            </w:tr>
            <w:tr w14:paraId="3C09CE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61" w:type="pct"/>
                  <w:tcBorders>
                    <w:tl2br w:val="nil"/>
                    <w:tr2bl w:val="nil"/>
                  </w:tcBorders>
                  <w:vAlign w:val="center"/>
                </w:tcPr>
                <w:p w14:paraId="4278A741">
                  <w:pPr>
                    <w:keepNext w:val="0"/>
                    <w:keepLines w:val="0"/>
                    <w:pageBreakBefore w:val="0"/>
                    <w:kinsoku/>
                    <w:wordWrap/>
                    <w:overflowPunct/>
                    <w:topLinePunct w:val="0"/>
                    <w:autoSpaceDE/>
                    <w:autoSpaceDN/>
                    <w:bidi w:val="0"/>
                    <w:adjustRightInd/>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9</w:t>
                  </w:r>
                </w:p>
              </w:tc>
              <w:tc>
                <w:tcPr>
                  <w:tcW w:w="2151" w:type="pct"/>
                  <w:tcBorders>
                    <w:tl2br w:val="nil"/>
                    <w:tr2bl w:val="nil"/>
                  </w:tcBorders>
                  <w:shd w:val="clear" w:color="auto" w:fill="auto"/>
                  <w:vAlign w:val="center"/>
                </w:tcPr>
                <w:p w14:paraId="1025CD94">
                  <w:pPr>
                    <w:keepNext w:val="0"/>
                    <w:keepLines w:val="0"/>
                    <w:pageBreakBefore w:val="0"/>
                    <w:widowControl/>
                    <w:suppressLineNumbers w:val="0"/>
                    <w:kinsoku/>
                    <w:wordWrap/>
                    <w:overflowPunct/>
                    <w:topLinePunct w:val="0"/>
                    <w:autoSpaceDE/>
                    <w:autoSpaceDN/>
                    <w:bidi w:val="0"/>
                    <w:adjustRightInd/>
                    <w:jc w:val="center"/>
                    <w:textAlignment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彩色多普勒超声诊断仪</w:t>
                  </w:r>
                </w:p>
              </w:tc>
              <w:tc>
                <w:tcPr>
                  <w:tcW w:w="1270" w:type="pct"/>
                  <w:tcBorders>
                    <w:tl2br w:val="nil"/>
                    <w:tr2bl w:val="nil"/>
                  </w:tcBorders>
                  <w:shd w:val="clear" w:color="auto" w:fill="auto"/>
                  <w:vAlign w:val="center"/>
                </w:tcPr>
                <w:p w14:paraId="0F46A299">
                  <w:pPr>
                    <w:keepNext w:val="0"/>
                    <w:keepLines w:val="0"/>
                    <w:pageBreakBefore w:val="0"/>
                    <w:widowControl/>
                    <w:suppressLineNumbers w:val="0"/>
                    <w:kinsoku/>
                    <w:wordWrap/>
                    <w:overflowPunct/>
                    <w:topLinePunct w:val="0"/>
                    <w:autoSpaceDE/>
                    <w:autoSpaceDN/>
                    <w:bidi w:val="0"/>
                    <w:adjustRightInd/>
                    <w:jc w:val="center"/>
                    <w:textAlignment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飞利浦EPIQ7W</w:t>
                  </w:r>
                </w:p>
              </w:tc>
              <w:tc>
                <w:tcPr>
                  <w:tcW w:w="1116" w:type="pct"/>
                  <w:tcBorders>
                    <w:tl2br w:val="nil"/>
                    <w:tr2bl w:val="nil"/>
                  </w:tcBorders>
                  <w:shd w:val="clear" w:color="auto" w:fill="auto"/>
                  <w:vAlign w:val="center"/>
                </w:tcPr>
                <w:p w14:paraId="6772DE5C">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1</w:t>
                  </w:r>
                </w:p>
              </w:tc>
            </w:tr>
            <w:tr w14:paraId="6C65FD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61" w:type="pct"/>
                  <w:tcBorders>
                    <w:tl2br w:val="nil"/>
                    <w:tr2bl w:val="nil"/>
                  </w:tcBorders>
                  <w:vAlign w:val="center"/>
                </w:tcPr>
                <w:p w14:paraId="07FA6BC7">
                  <w:pPr>
                    <w:keepNext w:val="0"/>
                    <w:keepLines w:val="0"/>
                    <w:pageBreakBefore w:val="0"/>
                    <w:kinsoku/>
                    <w:wordWrap/>
                    <w:overflowPunct/>
                    <w:topLinePunct w:val="0"/>
                    <w:autoSpaceDE/>
                    <w:autoSpaceDN/>
                    <w:bidi w:val="0"/>
                    <w:adjustRightInd/>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10</w:t>
                  </w:r>
                </w:p>
              </w:tc>
              <w:tc>
                <w:tcPr>
                  <w:tcW w:w="2151" w:type="pct"/>
                  <w:tcBorders>
                    <w:tl2br w:val="nil"/>
                    <w:tr2bl w:val="nil"/>
                  </w:tcBorders>
                  <w:shd w:val="clear" w:color="auto" w:fill="auto"/>
                  <w:vAlign w:val="center"/>
                </w:tcPr>
                <w:p w14:paraId="7F5DA2D7">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彩色多普勒超声诊断仪</w:t>
                  </w:r>
                </w:p>
              </w:tc>
              <w:tc>
                <w:tcPr>
                  <w:tcW w:w="1270" w:type="pct"/>
                  <w:tcBorders>
                    <w:tl2br w:val="nil"/>
                    <w:tr2bl w:val="nil"/>
                  </w:tcBorders>
                  <w:shd w:val="clear" w:color="auto" w:fill="auto"/>
                  <w:vAlign w:val="center"/>
                </w:tcPr>
                <w:p w14:paraId="078C7C1C">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开立P50pro</w:t>
                  </w:r>
                </w:p>
              </w:tc>
              <w:tc>
                <w:tcPr>
                  <w:tcW w:w="1116" w:type="pct"/>
                  <w:tcBorders>
                    <w:tl2br w:val="nil"/>
                    <w:tr2bl w:val="nil"/>
                  </w:tcBorders>
                  <w:shd w:val="clear" w:color="auto" w:fill="auto"/>
                  <w:vAlign w:val="center"/>
                </w:tcPr>
                <w:p w14:paraId="73D685A3">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1</w:t>
                  </w:r>
                </w:p>
              </w:tc>
            </w:tr>
            <w:tr w14:paraId="7FAB5A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61" w:type="pct"/>
                  <w:tcBorders>
                    <w:tl2br w:val="nil"/>
                    <w:tr2bl w:val="nil"/>
                  </w:tcBorders>
                  <w:vAlign w:val="center"/>
                </w:tcPr>
                <w:p w14:paraId="1DD66A16">
                  <w:pPr>
                    <w:keepNext w:val="0"/>
                    <w:keepLines w:val="0"/>
                    <w:pageBreakBefore w:val="0"/>
                    <w:kinsoku/>
                    <w:wordWrap/>
                    <w:overflowPunct/>
                    <w:topLinePunct w:val="0"/>
                    <w:autoSpaceDE/>
                    <w:autoSpaceDN/>
                    <w:bidi w:val="0"/>
                    <w:adjustRightInd/>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11</w:t>
                  </w:r>
                </w:p>
              </w:tc>
              <w:tc>
                <w:tcPr>
                  <w:tcW w:w="2151" w:type="pct"/>
                  <w:tcBorders>
                    <w:tl2br w:val="nil"/>
                    <w:tr2bl w:val="nil"/>
                  </w:tcBorders>
                  <w:shd w:val="clear" w:color="auto" w:fill="auto"/>
                  <w:vAlign w:val="center"/>
                </w:tcPr>
                <w:p w14:paraId="7B4CA4C5">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医用核磁共振成像设备（MRI</w:t>
                  </w:r>
                  <w:r>
                    <w:rPr>
                      <w:rFonts w:hint="eastAsia" w:cs="宋体"/>
                      <w:i w:val="0"/>
                      <w:iCs w:val="0"/>
                      <w:color w:val="000000"/>
                      <w:kern w:val="0"/>
                      <w:sz w:val="21"/>
                      <w:szCs w:val="21"/>
                      <w:u w:val="none"/>
                      <w:lang w:val="en-US" w:eastAsia="zh-CN" w:bidi="ar"/>
                    </w:rPr>
                    <w:t>）</w:t>
                  </w:r>
                </w:p>
              </w:tc>
              <w:tc>
                <w:tcPr>
                  <w:tcW w:w="1270" w:type="pct"/>
                  <w:tcBorders>
                    <w:tl2br w:val="nil"/>
                    <w:tr2bl w:val="nil"/>
                  </w:tcBorders>
                  <w:shd w:val="clear" w:color="auto" w:fill="auto"/>
                  <w:vAlign w:val="center"/>
                </w:tcPr>
                <w:p w14:paraId="3C0E04DB">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uMR560</w:t>
                  </w:r>
                </w:p>
              </w:tc>
              <w:tc>
                <w:tcPr>
                  <w:tcW w:w="1116" w:type="pct"/>
                  <w:tcBorders>
                    <w:tl2br w:val="nil"/>
                    <w:tr2bl w:val="nil"/>
                  </w:tcBorders>
                  <w:shd w:val="clear" w:color="auto" w:fill="auto"/>
                  <w:vAlign w:val="center"/>
                </w:tcPr>
                <w:p w14:paraId="1B6D4F1B">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1</w:t>
                  </w:r>
                </w:p>
              </w:tc>
            </w:tr>
            <w:tr w14:paraId="7CE3CC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5000" w:type="pct"/>
                  <w:gridSpan w:val="4"/>
                  <w:tcBorders>
                    <w:tl2br w:val="nil"/>
                    <w:tr2bl w:val="nil"/>
                  </w:tcBorders>
                  <w:vAlign w:val="center"/>
                </w:tcPr>
                <w:p w14:paraId="12A09A0A">
                  <w:pPr>
                    <w:keepNext w:val="0"/>
                    <w:keepLines w:val="0"/>
                    <w:pageBreakBefore w:val="0"/>
                    <w:widowControl/>
                    <w:suppressLineNumbers w:val="0"/>
                    <w:kinsoku/>
                    <w:wordWrap/>
                    <w:overflowPunct/>
                    <w:topLinePunct w:val="0"/>
                    <w:autoSpaceDE/>
                    <w:autoSpaceDN/>
                    <w:bidi w:val="0"/>
                    <w:adjustRightInd/>
                    <w:jc w:val="center"/>
                    <w:textAlignment w:val="center"/>
                    <w:rPr>
                      <w:rFonts w:hint="eastAsia" w:ascii="Times New Roman" w:hAnsi="Times New Roman" w:eastAsia="宋体" w:cs="宋体"/>
                      <w:i w:val="0"/>
                      <w:iCs w:val="0"/>
                      <w:color w:val="000000"/>
                      <w:kern w:val="0"/>
                      <w:sz w:val="21"/>
                      <w:szCs w:val="21"/>
                      <w:u w:val="none"/>
                      <w:lang w:val="en-US" w:eastAsia="zh-CN" w:bidi="ar"/>
                    </w:rPr>
                  </w:pPr>
                  <w:r>
                    <w:rPr>
                      <w:rFonts w:hint="eastAsia" w:ascii="Times New Roman" w:hAnsi="Times New Roman" w:cs="Times New Roman"/>
                      <w:spacing w:val="2"/>
                      <w:position w:val="1"/>
                      <w:sz w:val="21"/>
                      <w:szCs w:val="21"/>
                      <w:lang w:val="en-US" w:eastAsia="zh-CN"/>
                    </w:rPr>
                    <w:t>以下为辐射设备</w:t>
                  </w:r>
                </w:p>
              </w:tc>
            </w:tr>
            <w:tr w14:paraId="5ED5D7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61" w:type="pct"/>
                  <w:tcBorders>
                    <w:tl2br w:val="nil"/>
                    <w:tr2bl w:val="nil"/>
                  </w:tcBorders>
                  <w:vAlign w:val="center"/>
                </w:tcPr>
                <w:p w14:paraId="59C85769">
                  <w:pPr>
                    <w:keepNext w:val="0"/>
                    <w:keepLines w:val="0"/>
                    <w:pageBreakBefore w:val="0"/>
                    <w:kinsoku/>
                    <w:wordWrap/>
                    <w:overflowPunct/>
                    <w:topLinePunct w:val="0"/>
                    <w:autoSpaceDE/>
                    <w:autoSpaceDN/>
                    <w:bidi w:val="0"/>
                    <w:adjustRightInd/>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12</w:t>
                  </w:r>
                </w:p>
              </w:tc>
              <w:tc>
                <w:tcPr>
                  <w:tcW w:w="2151" w:type="pct"/>
                  <w:tcBorders>
                    <w:tl2br w:val="nil"/>
                    <w:tr2bl w:val="nil"/>
                  </w:tcBorders>
                  <w:shd w:val="clear" w:color="auto" w:fill="auto"/>
                  <w:vAlign w:val="center"/>
                </w:tcPr>
                <w:p w14:paraId="1492C013">
                  <w:pPr>
                    <w:pStyle w:val="115"/>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spacing w:val="2"/>
                      <w:kern w:val="2"/>
                      <w:position w:val="1"/>
                      <w:sz w:val="21"/>
                      <w:szCs w:val="21"/>
                      <w:lang w:val="en-US" w:eastAsia="zh-CN" w:bidi="ar-SA"/>
                    </w:rPr>
                  </w:pPr>
                  <w:r>
                    <w:rPr>
                      <w:rFonts w:hint="eastAsia" w:ascii="Times New Roman" w:hAnsi="Times New Roman" w:cs="Times New Roman"/>
                      <w:spacing w:val="2"/>
                      <w:position w:val="1"/>
                      <w:sz w:val="21"/>
                      <w:szCs w:val="21"/>
                      <w:lang w:val="en-US" w:eastAsia="zh-CN"/>
                    </w:rPr>
                    <w:t>数字化医用X射线摄影系统</w:t>
                  </w:r>
                </w:p>
              </w:tc>
              <w:tc>
                <w:tcPr>
                  <w:tcW w:w="1270" w:type="pct"/>
                  <w:tcBorders>
                    <w:tl2br w:val="nil"/>
                    <w:tr2bl w:val="nil"/>
                  </w:tcBorders>
                  <w:shd w:val="clear" w:color="auto" w:fill="auto"/>
                  <w:vAlign w:val="center"/>
                </w:tcPr>
                <w:p w14:paraId="13055FA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pacing w:val="2"/>
                      <w:kern w:val="2"/>
                      <w:position w:val="1"/>
                      <w:sz w:val="21"/>
                      <w:szCs w:val="21"/>
                      <w:lang w:val="en-US" w:eastAsia="zh-CN" w:bidi="ar-SA"/>
                    </w:rPr>
                  </w:pPr>
                  <w:r>
                    <w:rPr>
                      <w:rFonts w:hint="eastAsia" w:ascii="Times New Roman" w:hAnsi="Times New Roman" w:cs="Times New Roman"/>
                      <w:sz w:val="21"/>
                      <w:szCs w:val="21"/>
                      <w:lang w:val="en-US" w:eastAsia="zh-CN"/>
                    </w:rPr>
                    <w:t>UDR588i</w:t>
                  </w:r>
                </w:p>
              </w:tc>
              <w:tc>
                <w:tcPr>
                  <w:tcW w:w="1116" w:type="pct"/>
                  <w:tcBorders>
                    <w:tl2br w:val="nil"/>
                    <w:tr2bl w:val="nil"/>
                  </w:tcBorders>
                  <w:shd w:val="clear" w:color="auto" w:fill="auto"/>
                  <w:vAlign w:val="center"/>
                </w:tcPr>
                <w:p w14:paraId="0C8C1CDC">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1</w:t>
                  </w:r>
                </w:p>
              </w:tc>
            </w:tr>
            <w:tr w14:paraId="0939FF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61" w:type="pct"/>
                  <w:tcBorders>
                    <w:tl2br w:val="nil"/>
                    <w:tr2bl w:val="nil"/>
                  </w:tcBorders>
                  <w:vAlign w:val="center"/>
                </w:tcPr>
                <w:p w14:paraId="2A7B76EE">
                  <w:pPr>
                    <w:keepNext w:val="0"/>
                    <w:keepLines w:val="0"/>
                    <w:pageBreakBefore w:val="0"/>
                    <w:kinsoku/>
                    <w:wordWrap/>
                    <w:overflowPunct/>
                    <w:topLinePunct w:val="0"/>
                    <w:autoSpaceDE/>
                    <w:autoSpaceDN/>
                    <w:bidi w:val="0"/>
                    <w:adjustRightInd/>
                    <w:jc w:val="center"/>
                    <w:rPr>
                      <w:rFonts w:hint="default" w:ascii="Times New Roman" w:hAnsi="Times New Roman" w:eastAsia="宋体" w:cs="Times New Roman"/>
                      <w:bCs/>
                      <w:color w:val="auto"/>
                      <w:sz w:val="21"/>
                      <w:szCs w:val="21"/>
                      <w:lang w:val="en-US" w:eastAsia="zh-CN"/>
                    </w:rPr>
                  </w:pPr>
                  <w:r>
                    <w:rPr>
                      <w:rFonts w:hint="eastAsia" w:ascii="Times New Roman" w:hAnsi="Times New Roman" w:eastAsia="宋体" w:cs="Times New Roman"/>
                      <w:bCs/>
                      <w:color w:val="auto"/>
                      <w:sz w:val="21"/>
                      <w:szCs w:val="21"/>
                      <w:lang w:val="en-US" w:eastAsia="zh-CN"/>
                    </w:rPr>
                    <w:t>13</w:t>
                  </w:r>
                </w:p>
              </w:tc>
              <w:tc>
                <w:tcPr>
                  <w:tcW w:w="2151" w:type="pct"/>
                  <w:tcBorders>
                    <w:tl2br w:val="nil"/>
                    <w:tr2bl w:val="nil"/>
                  </w:tcBorders>
                  <w:shd w:val="clear" w:color="auto" w:fill="auto"/>
                  <w:vAlign w:val="center"/>
                </w:tcPr>
                <w:p w14:paraId="779BA76D">
                  <w:pPr>
                    <w:pStyle w:val="115"/>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pacing w:val="2"/>
                      <w:kern w:val="2"/>
                      <w:position w:val="1"/>
                      <w:sz w:val="21"/>
                      <w:szCs w:val="21"/>
                      <w:lang w:val="en-US" w:eastAsia="zh-CN" w:bidi="ar-SA"/>
                    </w:rPr>
                  </w:pPr>
                  <w:r>
                    <w:rPr>
                      <w:rFonts w:hint="eastAsia" w:ascii="Times New Roman" w:hAnsi="Times New Roman" w:cs="Times New Roman"/>
                      <w:spacing w:val="2"/>
                      <w:position w:val="1"/>
                      <w:sz w:val="21"/>
                      <w:szCs w:val="21"/>
                      <w:lang w:val="en-US" w:eastAsia="zh-CN"/>
                    </w:rPr>
                    <w:t>X射线计算机体层摄影设备</w:t>
                  </w:r>
                </w:p>
              </w:tc>
              <w:tc>
                <w:tcPr>
                  <w:tcW w:w="1270" w:type="pct"/>
                  <w:tcBorders>
                    <w:tl2br w:val="nil"/>
                    <w:tr2bl w:val="nil"/>
                  </w:tcBorders>
                  <w:shd w:val="clear" w:color="auto" w:fill="auto"/>
                  <w:vAlign w:val="center"/>
                </w:tcPr>
                <w:p w14:paraId="57528152">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Times New Roman"/>
                      <w:spacing w:val="2"/>
                      <w:kern w:val="2"/>
                      <w:position w:val="1"/>
                      <w:sz w:val="21"/>
                      <w:szCs w:val="21"/>
                      <w:lang w:val="en-US" w:eastAsia="zh-CN" w:bidi="ar-SA"/>
                    </w:rPr>
                  </w:pPr>
                  <w:r>
                    <w:rPr>
                      <w:rFonts w:hint="eastAsia"/>
                      <w:spacing w:val="2"/>
                      <w:position w:val="1"/>
                      <w:szCs w:val="21"/>
                      <w:lang w:val="en-US" w:eastAsia="zh-CN"/>
                    </w:rPr>
                    <w:t>UCT 510</w:t>
                  </w:r>
                </w:p>
              </w:tc>
              <w:tc>
                <w:tcPr>
                  <w:tcW w:w="1116" w:type="pct"/>
                  <w:tcBorders>
                    <w:tl2br w:val="nil"/>
                    <w:tr2bl w:val="nil"/>
                  </w:tcBorders>
                  <w:shd w:val="clear" w:color="auto" w:fill="auto"/>
                  <w:vAlign w:val="center"/>
                </w:tcPr>
                <w:p w14:paraId="0CE05D6F">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1</w:t>
                  </w:r>
                </w:p>
              </w:tc>
            </w:tr>
            <w:tr w14:paraId="3114D0C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61" w:type="pct"/>
                  <w:tcBorders>
                    <w:tl2br w:val="nil"/>
                    <w:tr2bl w:val="nil"/>
                  </w:tcBorders>
                  <w:vAlign w:val="center"/>
                </w:tcPr>
                <w:p w14:paraId="455BF72B">
                  <w:pPr>
                    <w:keepNext w:val="0"/>
                    <w:keepLines w:val="0"/>
                    <w:pageBreakBefore w:val="0"/>
                    <w:kinsoku/>
                    <w:wordWrap/>
                    <w:overflowPunct/>
                    <w:topLinePunct w:val="0"/>
                    <w:autoSpaceDE/>
                    <w:autoSpaceDN/>
                    <w:bidi w:val="0"/>
                    <w:adjustRightInd/>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14</w:t>
                  </w:r>
                </w:p>
              </w:tc>
              <w:tc>
                <w:tcPr>
                  <w:tcW w:w="2151" w:type="pct"/>
                  <w:tcBorders>
                    <w:tl2br w:val="nil"/>
                    <w:tr2bl w:val="nil"/>
                  </w:tcBorders>
                  <w:shd w:val="clear" w:color="auto" w:fill="auto"/>
                  <w:vAlign w:val="center"/>
                </w:tcPr>
                <w:p w14:paraId="6D6DAC30">
                  <w:pPr>
                    <w:pStyle w:val="115"/>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pacing w:val="7"/>
                      <w:kern w:val="2"/>
                      <w:sz w:val="21"/>
                      <w:szCs w:val="21"/>
                      <w:lang w:val="en-US" w:eastAsia="zh-CN" w:bidi="ar-SA"/>
                    </w:rPr>
                  </w:pPr>
                  <w:r>
                    <w:rPr>
                      <w:rFonts w:hint="eastAsia" w:ascii="Times New Roman" w:hAnsi="Times New Roman" w:cs="Times New Roman"/>
                      <w:spacing w:val="7"/>
                      <w:sz w:val="21"/>
                      <w:szCs w:val="21"/>
                      <w:lang w:val="en-US" w:eastAsia="zh-CN"/>
                    </w:rPr>
                    <w:t>高频移动式C形臂X射线机</w:t>
                  </w:r>
                </w:p>
              </w:tc>
              <w:tc>
                <w:tcPr>
                  <w:tcW w:w="1270" w:type="pct"/>
                  <w:tcBorders>
                    <w:tl2br w:val="nil"/>
                    <w:tr2bl w:val="nil"/>
                  </w:tcBorders>
                  <w:shd w:val="clear" w:color="auto" w:fill="auto"/>
                  <w:vAlign w:val="center"/>
                </w:tcPr>
                <w:p w14:paraId="3F56F07E">
                  <w:pPr>
                    <w:pStyle w:val="115"/>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pacing w:val="5"/>
                      <w:kern w:val="2"/>
                      <w:sz w:val="21"/>
                      <w:szCs w:val="21"/>
                      <w:lang w:val="en-US" w:eastAsia="zh-CN" w:bidi="ar-SA"/>
                    </w:rPr>
                  </w:pPr>
                  <w:r>
                    <w:rPr>
                      <w:rFonts w:hint="eastAsia" w:ascii="Times New Roman" w:hAnsi="Times New Roman" w:cs="Times New Roman"/>
                      <w:spacing w:val="5"/>
                      <w:sz w:val="21"/>
                      <w:szCs w:val="21"/>
                      <w:lang w:val="en-US" w:eastAsia="zh-CN"/>
                    </w:rPr>
                    <w:t>PLX7000A</w:t>
                  </w:r>
                </w:p>
              </w:tc>
              <w:tc>
                <w:tcPr>
                  <w:tcW w:w="1116" w:type="pct"/>
                  <w:tcBorders>
                    <w:tl2br w:val="nil"/>
                    <w:tr2bl w:val="nil"/>
                  </w:tcBorders>
                  <w:shd w:val="clear" w:color="auto" w:fill="auto"/>
                  <w:vAlign w:val="center"/>
                </w:tcPr>
                <w:p w14:paraId="6ADFECFA">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1</w:t>
                  </w:r>
                </w:p>
              </w:tc>
            </w:tr>
            <w:tr w14:paraId="12E003E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461" w:type="pct"/>
                  <w:tcBorders>
                    <w:tl2br w:val="nil"/>
                    <w:tr2bl w:val="nil"/>
                  </w:tcBorders>
                  <w:shd w:val="clear" w:color="auto" w:fill="auto"/>
                  <w:vAlign w:val="center"/>
                </w:tcPr>
                <w:p w14:paraId="26220CF4">
                  <w:pPr>
                    <w:keepNext w:val="0"/>
                    <w:keepLines w:val="0"/>
                    <w:pageBreakBefore w:val="0"/>
                    <w:kinsoku/>
                    <w:wordWrap/>
                    <w:overflowPunct/>
                    <w:topLinePunct w:val="0"/>
                    <w:autoSpaceDE/>
                    <w:autoSpaceDN/>
                    <w:bidi w:val="0"/>
                    <w:adjustRightInd/>
                    <w:jc w:val="center"/>
                    <w:rPr>
                      <w:rFonts w:hint="eastAsia"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sz w:val="21"/>
                      <w:szCs w:val="21"/>
                      <w:highlight w:val="none"/>
                      <w:lang w:val="en-US" w:eastAsia="zh-CN"/>
                    </w:rPr>
                    <w:t>15</w:t>
                  </w:r>
                </w:p>
              </w:tc>
              <w:tc>
                <w:tcPr>
                  <w:tcW w:w="2151" w:type="pct"/>
                  <w:tcBorders>
                    <w:tl2br w:val="nil"/>
                    <w:tr2bl w:val="nil"/>
                  </w:tcBorders>
                  <w:shd w:val="clear" w:color="auto" w:fill="auto"/>
                  <w:vAlign w:val="center"/>
                </w:tcPr>
                <w:p w14:paraId="6A4495F0">
                  <w:pPr>
                    <w:pStyle w:val="115"/>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pacing w:val="7"/>
                      <w:kern w:val="2"/>
                      <w:sz w:val="21"/>
                      <w:szCs w:val="21"/>
                      <w:lang w:val="en-US" w:eastAsia="zh-CN" w:bidi="ar-SA"/>
                    </w:rPr>
                  </w:pPr>
                  <w:r>
                    <w:rPr>
                      <w:rFonts w:hint="eastAsia" w:ascii="Times New Roman" w:hAnsi="Times New Roman" w:cs="Times New Roman"/>
                      <w:spacing w:val="2"/>
                      <w:position w:val="1"/>
                      <w:sz w:val="21"/>
                      <w:szCs w:val="21"/>
                      <w:lang w:val="en-US" w:eastAsia="zh-CN"/>
                    </w:rPr>
                    <w:t>数字化</w:t>
                  </w:r>
                  <w:r>
                    <w:rPr>
                      <w:rFonts w:hint="eastAsia" w:ascii="Times New Roman" w:hAnsi="Times New Roman" w:cs="Times New Roman"/>
                      <w:spacing w:val="7"/>
                      <w:sz w:val="21"/>
                      <w:szCs w:val="21"/>
                      <w:lang w:val="en-US" w:eastAsia="zh-CN"/>
                    </w:rPr>
                    <w:t>移动式</w:t>
                  </w:r>
                  <w:r>
                    <w:rPr>
                      <w:rFonts w:hint="eastAsia" w:ascii="Times New Roman" w:hAnsi="Times New Roman" w:cs="Times New Roman"/>
                      <w:spacing w:val="2"/>
                      <w:position w:val="1"/>
                      <w:sz w:val="21"/>
                      <w:szCs w:val="21"/>
                      <w:lang w:val="en-US" w:eastAsia="zh-CN"/>
                    </w:rPr>
                    <w:t>摄影X射线机</w:t>
                  </w:r>
                </w:p>
              </w:tc>
              <w:tc>
                <w:tcPr>
                  <w:tcW w:w="1270" w:type="pct"/>
                  <w:tcBorders>
                    <w:tl2br w:val="nil"/>
                    <w:tr2bl w:val="nil"/>
                  </w:tcBorders>
                  <w:shd w:val="clear" w:color="auto" w:fill="auto"/>
                  <w:vAlign w:val="center"/>
                </w:tcPr>
                <w:p w14:paraId="5A9DE7C8">
                  <w:pPr>
                    <w:pStyle w:val="115"/>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spacing w:val="5"/>
                      <w:kern w:val="2"/>
                      <w:sz w:val="21"/>
                      <w:szCs w:val="21"/>
                      <w:lang w:val="en-US" w:eastAsia="zh-CN" w:bidi="ar-SA"/>
                    </w:rPr>
                  </w:pPr>
                  <w:r>
                    <w:rPr>
                      <w:rFonts w:hint="eastAsia" w:ascii="Times New Roman" w:hAnsi="Times New Roman" w:cs="Times New Roman"/>
                      <w:spacing w:val="5"/>
                      <w:sz w:val="21"/>
                      <w:szCs w:val="21"/>
                      <w:lang w:val="en-US" w:eastAsia="zh-CN"/>
                    </w:rPr>
                    <w:t>DP326B-1</w:t>
                  </w:r>
                </w:p>
              </w:tc>
              <w:tc>
                <w:tcPr>
                  <w:tcW w:w="1116" w:type="pct"/>
                  <w:tcBorders>
                    <w:tl2br w:val="nil"/>
                    <w:tr2bl w:val="nil"/>
                  </w:tcBorders>
                  <w:shd w:val="clear" w:color="auto" w:fill="auto"/>
                  <w:vAlign w:val="center"/>
                </w:tcPr>
                <w:p w14:paraId="162BCF83">
                  <w:pPr>
                    <w:keepNext w:val="0"/>
                    <w:keepLines w:val="0"/>
                    <w:pageBreakBefore w:val="0"/>
                    <w:widowControl/>
                    <w:suppressLineNumbers w:val="0"/>
                    <w:kinsoku/>
                    <w:wordWrap/>
                    <w:overflowPunct/>
                    <w:topLinePunct w:val="0"/>
                    <w:autoSpaceDE/>
                    <w:autoSpaceDN/>
                    <w:bidi w:val="0"/>
                    <w:adjustRightInd/>
                    <w:jc w:val="center"/>
                    <w:textAlignment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eastAsia="宋体" w:cs="宋体"/>
                      <w:i w:val="0"/>
                      <w:iCs w:val="0"/>
                      <w:color w:val="000000"/>
                      <w:kern w:val="0"/>
                      <w:sz w:val="21"/>
                      <w:szCs w:val="21"/>
                      <w:u w:val="none"/>
                      <w:lang w:val="en-US" w:eastAsia="zh-CN" w:bidi="ar"/>
                    </w:rPr>
                    <w:t>1</w:t>
                  </w:r>
                </w:p>
              </w:tc>
            </w:tr>
          </w:tbl>
          <w:p w14:paraId="005CBC23">
            <w:pPr>
              <w:bidi w:val="0"/>
              <w:rPr>
                <w:rFonts w:hint="eastAsia"/>
                <w:lang w:val="en-US" w:eastAsia="zh-CN"/>
              </w:rPr>
            </w:pPr>
            <w:r>
              <w:rPr>
                <w:rFonts w:hint="eastAsia"/>
                <w:lang w:val="en-US" w:eastAsia="zh-CN"/>
              </w:rPr>
              <w:t>注：项目放射科涉及辐射的设备会对周边环境产生辐射危害，建设单位应采取相关措施进行辐射防护，使之满足《电离辐射防护与辐射源安全基本标准》（GB18871-2002）和《电磁环境控制限值》（GB 8702-2014）中对公众和工作人员的辐射防护要求。根据相关规定，本项目医疗诊断X光机涉及辐射。本次不包含辐射评价。</w:t>
            </w:r>
          </w:p>
          <w:p w14:paraId="607C4288">
            <w:pPr>
              <w:pStyle w:val="3"/>
              <w:bidi w:val="0"/>
              <w:ind w:left="0" w:leftChars="0" w:firstLine="0" w:firstLineChars="0"/>
              <w:rPr>
                <w:rFonts w:hint="eastAsia"/>
                <w:color w:val="auto"/>
                <w:highlight w:val="none"/>
              </w:rPr>
            </w:pPr>
            <w:r>
              <w:rPr>
                <w:rFonts w:hint="eastAsia"/>
                <w:color w:val="auto"/>
                <w:highlight w:val="none"/>
              </w:rPr>
              <w:t>主要原辅材料</w:t>
            </w:r>
            <w:bookmarkEnd w:id="13"/>
            <w:bookmarkEnd w:id="14"/>
            <w:bookmarkEnd w:id="15"/>
            <w:bookmarkEnd w:id="16"/>
            <w:r>
              <w:rPr>
                <w:rFonts w:hint="eastAsia"/>
                <w:color w:val="auto"/>
                <w:highlight w:val="none"/>
              </w:rPr>
              <w:t>及能源消耗</w:t>
            </w:r>
          </w:p>
          <w:p w14:paraId="6BB06368">
            <w:pPr>
              <w:pStyle w:val="46"/>
              <w:ind w:firstLine="480"/>
              <w:rPr>
                <w:color w:val="auto"/>
                <w:highlight w:val="none"/>
              </w:rPr>
            </w:pPr>
            <w:r>
              <w:rPr>
                <w:rFonts w:hint="eastAsia"/>
                <w:color w:val="auto"/>
                <w:highlight w:val="none"/>
              </w:rPr>
              <w:t>（1）主要原辅材料</w:t>
            </w:r>
          </w:p>
          <w:p w14:paraId="4FAC52F8">
            <w:pPr>
              <w:pStyle w:val="46"/>
              <w:ind w:firstLine="480"/>
              <w:rPr>
                <w:color w:val="auto"/>
                <w:highlight w:val="none"/>
              </w:rPr>
            </w:pPr>
            <w:r>
              <w:rPr>
                <w:rFonts w:hint="eastAsia"/>
                <w:color w:val="auto"/>
                <w:highlight w:val="none"/>
              </w:rPr>
              <w:t>项目</w:t>
            </w:r>
            <w:r>
              <w:rPr>
                <w:color w:val="auto"/>
                <w:highlight w:val="none"/>
              </w:rPr>
              <w:t>主要原辅材料用量见</w:t>
            </w:r>
            <w:r>
              <w:rPr>
                <w:rFonts w:hint="eastAsia"/>
                <w:color w:val="auto"/>
                <w:highlight w:val="none"/>
              </w:rPr>
              <w:t>下表</w:t>
            </w:r>
            <w:r>
              <w:rPr>
                <w:color w:val="auto"/>
                <w:highlight w:val="none"/>
              </w:rPr>
              <w:t>。</w:t>
            </w:r>
          </w:p>
          <w:p w14:paraId="0A5E6A0C">
            <w:pPr>
              <w:pStyle w:val="44"/>
              <w:keepNext/>
              <w:keepLines/>
              <w:pageBreakBefore w:val="0"/>
              <w:widowControl w:val="0"/>
              <w:kinsoku/>
              <w:wordWrap/>
              <w:overflowPunct/>
              <w:topLinePunct w:val="0"/>
              <w:autoSpaceDE/>
              <w:autoSpaceDN/>
              <w:bidi w:val="0"/>
              <w:adjustRightInd/>
              <w:snapToGrid/>
              <w:spacing w:before="0" w:after="0"/>
              <w:ind w:left="630" w:leftChars="0" w:firstLineChars="0"/>
              <w:textAlignment w:val="auto"/>
              <w:rPr>
                <w:color w:val="auto"/>
                <w:highlight w:val="none"/>
              </w:rPr>
            </w:pPr>
            <w:r>
              <w:rPr>
                <w:color w:val="auto"/>
                <w:highlight w:val="none"/>
              </w:rPr>
              <w:t>主要原辅材料预计消耗一览表</w:t>
            </w:r>
          </w:p>
          <w:tbl>
            <w:tblPr>
              <w:tblStyle w:val="34"/>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28" w:type="dxa"/>
                <w:bottom w:w="0" w:type="dxa"/>
                <w:right w:w="28" w:type="dxa"/>
              </w:tblCellMar>
            </w:tblPr>
            <w:tblGrid>
              <w:gridCol w:w="811"/>
              <w:gridCol w:w="1421"/>
              <w:gridCol w:w="1713"/>
              <w:gridCol w:w="1750"/>
              <w:gridCol w:w="1876"/>
              <w:gridCol w:w="1069"/>
            </w:tblGrid>
            <w:tr w14:paraId="7C7525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737" w:hRule="atLeast"/>
                <w:tblHeader/>
              </w:trPr>
              <w:tc>
                <w:tcPr>
                  <w:tcW w:w="469" w:type="pct"/>
                  <w:tcBorders>
                    <w:bottom w:val="single" w:color="000000" w:sz="12" w:space="0"/>
                  </w:tcBorders>
                  <w:shd w:val="clear" w:color="auto" w:fill="auto"/>
                  <w:vAlign w:val="center"/>
                </w:tcPr>
                <w:p w14:paraId="4090B072">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序号</w:t>
                  </w:r>
                </w:p>
              </w:tc>
              <w:tc>
                <w:tcPr>
                  <w:tcW w:w="822" w:type="pct"/>
                  <w:tcBorders>
                    <w:bottom w:val="single" w:color="000000" w:sz="12" w:space="0"/>
                  </w:tcBorders>
                  <w:shd w:val="clear" w:color="auto" w:fill="auto"/>
                  <w:vAlign w:val="center"/>
                </w:tcPr>
                <w:p w14:paraId="24270F8B">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原料名称</w:t>
                  </w:r>
                </w:p>
              </w:tc>
              <w:tc>
                <w:tcPr>
                  <w:tcW w:w="991" w:type="pct"/>
                  <w:tcBorders>
                    <w:bottom w:val="single" w:color="000000" w:sz="12" w:space="0"/>
                  </w:tcBorders>
                  <w:shd w:val="clear" w:color="auto" w:fill="auto"/>
                  <w:vAlign w:val="center"/>
                </w:tcPr>
                <w:p w14:paraId="3743CE0A">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年用量</w:t>
                  </w:r>
                </w:p>
              </w:tc>
              <w:tc>
                <w:tcPr>
                  <w:tcW w:w="1012" w:type="pct"/>
                  <w:tcBorders>
                    <w:bottom w:val="single" w:color="000000" w:sz="12" w:space="0"/>
                  </w:tcBorders>
                  <w:shd w:val="clear" w:color="auto" w:fill="auto"/>
                  <w:vAlign w:val="center"/>
                </w:tcPr>
                <w:p w14:paraId="60385FB5">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包装</w:t>
                  </w:r>
                </w:p>
                <w:p w14:paraId="6CC4FBAC">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规格</w:t>
                  </w:r>
                </w:p>
              </w:tc>
              <w:tc>
                <w:tcPr>
                  <w:tcW w:w="1085" w:type="pct"/>
                  <w:tcBorders>
                    <w:bottom w:val="single" w:color="000000" w:sz="12" w:space="0"/>
                  </w:tcBorders>
                  <w:shd w:val="clear" w:color="auto" w:fill="auto"/>
                  <w:vAlign w:val="center"/>
                </w:tcPr>
                <w:p w14:paraId="7BC13C31">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最大储存量</w:t>
                  </w:r>
                </w:p>
              </w:tc>
              <w:tc>
                <w:tcPr>
                  <w:tcW w:w="618" w:type="pct"/>
                  <w:tcBorders>
                    <w:bottom w:val="single" w:color="000000" w:sz="12" w:space="0"/>
                  </w:tcBorders>
                  <w:shd w:val="clear" w:color="auto" w:fill="auto"/>
                  <w:vAlign w:val="center"/>
                </w:tcPr>
                <w:p w14:paraId="2EB8E655">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备注</w:t>
                  </w:r>
                </w:p>
              </w:tc>
            </w:tr>
            <w:tr w14:paraId="33F398E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510" w:hRule="atLeast"/>
              </w:trPr>
              <w:tc>
                <w:tcPr>
                  <w:tcW w:w="469" w:type="pct"/>
                  <w:vMerge w:val="restart"/>
                  <w:tcBorders>
                    <w:top w:val="single" w:color="000000" w:sz="12" w:space="0"/>
                    <w:tl2br w:val="nil"/>
                    <w:tr2bl w:val="nil"/>
                  </w:tcBorders>
                  <w:shd w:val="clear" w:color="auto" w:fill="auto"/>
                  <w:vAlign w:val="center"/>
                </w:tcPr>
                <w:p w14:paraId="2B5D6EDE">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w:t>
                  </w:r>
                </w:p>
              </w:tc>
              <w:tc>
                <w:tcPr>
                  <w:tcW w:w="822" w:type="pct"/>
                  <w:vMerge w:val="restart"/>
                  <w:tcBorders>
                    <w:top w:val="single" w:color="000000" w:sz="12" w:space="0"/>
                    <w:tl2br w:val="nil"/>
                    <w:tr2bl w:val="nil"/>
                  </w:tcBorders>
                  <w:shd w:val="clear" w:color="auto" w:fill="auto"/>
                  <w:vAlign w:val="center"/>
                </w:tcPr>
                <w:p w14:paraId="092BEE69">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生理盐水</w:t>
                  </w:r>
                </w:p>
              </w:tc>
              <w:tc>
                <w:tcPr>
                  <w:tcW w:w="991" w:type="pct"/>
                  <w:tcBorders>
                    <w:top w:val="single" w:color="000000" w:sz="12" w:space="0"/>
                    <w:tl2br w:val="nil"/>
                    <w:tr2bl w:val="nil"/>
                  </w:tcBorders>
                  <w:shd w:val="clear" w:color="auto" w:fill="auto"/>
                  <w:vAlign w:val="center"/>
                </w:tcPr>
                <w:p w14:paraId="5DB58EE2">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23500</w:t>
                  </w:r>
                </w:p>
              </w:tc>
              <w:tc>
                <w:tcPr>
                  <w:tcW w:w="1012" w:type="pct"/>
                  <w:tcBorders>
                    <w:top w:val="single" w:color="000000" w:sz="12" w:space="0"/>
                    <w:tl2br w:val="nil"/>
                    <w:tr2bl w:val="nil"/>
                  </w:tcBorders>
                  <w:shd w:val="clear" w:color="auto" w:fill="auto"/>
                  <w:vAlign w:val="center"/>
                </w:tcPr>
                <w:p w14:paraId="0994B925">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ascii="Times New Roman" w:hAnsi="Times New Roman" w:eastAsia="宋体"/>
                      <w:sz w:val="21"/>
                      <w:szCs w:val="24"/>
                    </w:rPr>
                    <w:t>袋/100ml</w:t>
                  </w:r>
                </w:p>
              </w:tc>
              <w:tc>
                <w:tcPr>
                  <w:tcW w:w="1085" w:type="pct"/>
                  <w:tcBorders>
                    <w:top w:val="single" w:color="000000" w:sz="12" w:space="0"/>
                    <w:tl2br w:val="nil"/>
                    <w:tr2bl w:val="nil"/>
                  </w:tcBorders>
                  <w:shd w:val="clear" w:color="auto" w:fill="auto"/>
                  <w:vAlign w:val="center"/>
                </w:tcPr>
                <w:p w14:paraId="03EC4BC6">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sz w:val="21"/>
                      <w:szCs w:val="24"/>
                      <w:lang w:val="en-US" w:eastAsia="zh-CN"/>
                    </w:rPr>
                  </w:pPr>
                  <w:r>
                    <w:rPr>
                      <w:rFonts w:hint="eastAsia" w:ascii="Times New Roman" w:hAnsi="Times New Roman" w:eastAsia="宋体" w:cs="Times New Roman"/>
                      <w:sz w:val="21"/>
                      <w:szCs w:val="24"/>
                      <w:lang w:val="en-US" w:eastAsia="zh-CN"/>
                    </w:rPr>
                    <w:t>2000</w:t>
                  </w:r>
                </w:p>
              </w:tc>
              <w:tc>
                <w:tcPr>
                  <w:tcW w:w="618" w:type="pct"/>
                  <w:vMerge w:val="restart"/>
                  <w:tcBorders>
                    <w:top w:val="single" w:color="000000" w:sz="12" w:space="0"/>
                    <w:tl2br w:val="nil"/>
                    <w:tr2bl w:val="nil"/>
                  </w:tcBorders>
                  <w:shd w:val="clear" w:color="auto" w:fill="auto"/>
                  <w:vAlign w:val="center"/>
                </w:tcPr>
                <w:p w14:paraId="7581ABF0">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输液配药</w:t>
                  </w:r>
                </w:p>
              </w:tc>
            </w:tr>
            <w:tr w14:paraId="680E5A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737" w:hRule="atLeast"/>
              </w:trPr>
              <w:tc>
                <w:tcPr>
                  <w:tcW w:w="469" w:type="pct"/>
                  <w:vMerge w:val="continue"/>
                  <w:tcBorders>
                    <w:tl2br w:val="nil"/>
                    <w:tr2bl w:val="nil"/>
                  </w:tcBorders>
                  <w:shd w:val="clear" w:color="auto" w:fill="auto"/>
                  <w:vAlign w:val="center"/>
                </w:tcPr>
                <w:p w14:paraId="607FA500">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p>
              </w:tc>
              <w:tc>
                <w:tcPr>
                  <w:tcW w:w="822" w:type="pct"/>
                  <w:vMerge w:val="continue"/>
                  <w:tcBorders>
                    <w:tl2br w:val="nil"/>
                    <w:tr2bl w:val="nil"/>
                  </w:tcBorders>
                  <w:shd w:val="clear" w:color="auto" w:fill="auto"/>
                  <w:vAlign w:val="center"/>
                </w:tcPr>
                <w:p w14:paraId="668B7ECA">
                  <w:pPr>
                    <w:pStyle w:val="21"/>
                    <w:keepNext w:val="0"/>
                    <w:keepLines w:val="0"/>
                    <w:pageBreakBefore w:val="0"/>
                    <w:widowControl w:val="0"/>
                    <w:kinsoku/>
                    <w:wordWrap/>
                    <w:overflowPunct/>
                    <w:autoSpaceDE/>
                    <w:autoSpaceDN/>
                    <w:bidi w:val="0"/>
                    <w:adjustRightInd/>
                    <w:jc w:val="center"/>
                    <w:textAlignment w:val="auto"/>
                    <w:rPr>
                      <w:rFonts w:ascii="Times New Roman" w:hAnsi="Times New Roman" w:eastAsia="宋体"/>
                      <w:sz w:val="21"/>
                      <w:szCs w:val="24"/>
                    </w:rPr>
                  </w:pPr>
                </w:p>
              </w:tc>
              <w:tc>
                <w:tcPr>
                  <w:tcW w:w="991" w:type="pct"/>
                  <w:tcBorders>
                    <w:tl2br w:val="nil"/>
                    <w:tr2bl w:val="nil"/>
                  </w:tcBorders>
                  <w:shd w:val="clear" w:color="auto" w:fill="auto"/>
                  <w:vAlign w:val="center"/>
                </w:tcPr>
                <w:p w14:paraId="15E9AD22">
                  <w:pPr>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sz w:val="21"/>
                      <w:szCs w:val="24"/>
                      <w:lang w:val="en-US" w:eastAsia="zh-CN"/>
                    </w:rPr>
                  </w:pPr>
                  <w:r>
                    <w:rPr>
                      <w:rFonts w:hint="eastAsia" w:ascii="Times New Roman" w:hAnsi="Times New Roman" w:eastAsia="宋体"/>
                      <w:sz w:val="21"/>
                      <w:lang w:val="en-US" w:eastAsia="zh-CN"/>
                    </w:rPr>
                    <w:t>11300</w:t>
                  </w:r>
                </w:p>
              </w:tc>
              <w:tc>
                <w:tcPr>
                  <w:tcW w:w="1012" w:type="pct"/>
                  <w:tcBorders>
                    <w:tl2br w:val="nil"/>
                    <w:tr2bl w:val="nil"/>
                  </w:tcBorders>
                  <w:shd w:val="clear" w:color="auto" w:fill="auto"/>
                  <w:vAlign w:val="center"/>
                </w:tcPr>
                <w:p w14:paraId="4B6AFBCD">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ascii="Times New Roman" w:hAnsi="Times New Roman" w:eastAsia="宋体"/>
                      <w:sz w:val="21"/>
                      <w:szCs w:val="24"/>
                    </w:rPr>
                  </w:pPr>
                  <w:r>
                    <w:rPr>
                      <w:rFonts w:hint="eastAsia" w:ascii="Times New Roman" w:hAnsi="Times New Roman" w:eastAsia="宋体"/>
                      <w:sz w:val="21"/>
                      <w:lang w:val="en-US" w:eastAsia="zh-CN"/>
                    </w:rPr>
                    <w:t>袋/250ml</w:t>
                  </w:r>
                </w:p>
              </w:tc>
              <w:tc>
                <w:tcPr>
                  <w:tcW w:w="1085" w:type="pct"/>
                  <w:tcBorders>
                    <w:tl2br w:val="nil"/>
                    <w:tr2bl w:val="nil"/>
                  </w:tcBorders>
                  <w:shd w:val="clear" w:color="auto" w:fill="auto"/>
                  <w:vAlign w:val="center"/>
                </w:tcPr>
                <w:p w14:paraId="2F33AEAC">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sz w:val="21"/>
                      <w:szCs w:val="24"/>
                      <w:lang w:val="en-US" w:eastAsia="zh-CN"/>
                    </w:rPr>
                  </w:pPr>
                  <w:r>
                    <w:rPr>
                      <w:rFonts w:hint="eastAsia" w:ascii="Times New Roman" w:hAnsi="Times New Roman" w:eastAsia="宋体" w:cs="Times New Roman"/>
                      <w:sz w:val="21"/>
                      <w:szCs w:val="24"/>
                      <w:lang w:val="en-US" w:eastAsia="zh-CN"/>
                    </w:rPr>
                    <w:t>900</w:t>
                  </w:r>
                </w:p>
              </w:tc>
              <w:tc>
                <w:tcPr>
                  <w:tcW w:w="618" w:type="pct"/>
                  <w:vMerge w:val="continue"/>
                  <w:tcBorders>
                    <w:tl2br w:val="nil"/>
                    <w:tr2bl w:val="nil"/>
                  </w:tcBorders>
                  <w:shd w:val="clear" w:color="auto" w:fill="auto"/>
                  <w:vAlign w:val="center"/>
                </w:tcPr>
                <w:p w14:paraId="0568B428">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p>
              </w:tc>
            </w:tr>
            <w:tr w14:paraId="623C3A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737" w:hRule="atLeast"/>
              </w:trPr>
              <w:tc>
                <w:tcPr>
                  <w:tcW w:w="469" w:type="pct"/>
                  <w:vMerge w:val="continue"/>
                  <w:tcBorders>
                    <w:tl2br w:val="nil"/>
                    <w:tr2bl w:val="nil"/>
                  </w:tcBorders>
                  <w:shd w:val="clear" w:color="auto" w:fill="auto"/>
                  <w:vAlign w:val="center"/>
                </w:tcPr>
                <w:p w14:paraId="605F276D">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p>
              </w:tc>
              <w:tc>
                <w:tcPr>
                  <w:tcW w:w="822" w:type="pct"/>
                  <w:vMerge w:val="continue"/>
                  <w:tcBorders>
                    <w:tl2br w:val="nil"/>
                    <w:tr2bl w:val="nil"/>
                  </w:tcBorders>
                  <w:shd w:val="clear" w:color="auto" w:fill="auto"/>
                  <w:vAlign w:val="center"/>
                </w:tcPr>
                <w:p w14:paraId="70FB0B03">
                  <w:pPr>
                    <w:pStyle w:val="21"/>
                    <w:keepNext w:val="0"/>
                    <w:keepLines w:val="0"/>
                    <w:pageBreakBefore w:val="0"/>
                    <w:widowControl w:val="0"/>
                    <w:kinsoku/>
                    <w:wordWrap/>
                    <w:overflowPunct/>
                    <w:autoSpaceDE/>
                    <w:autoSpaceDN/>
                    <w:bidi w:val="0"/>
                    <w:adjustRightInd/>
                    <w:jc w:val="center"/>
                    <w:textAlignment w:val="auto"/>
                    <w:rPr>
                      <w:rFonts w:ascii="Times New Roman" w:hAnsi="Times New Roman" w:eastAsia="宋体"/>
                      <w:sz w:val="21"/>
                      <w:szCs w:val="24"/>
                    </w:rPr>
                  </w:pPr>
                </w:p>
              </w:tc>
              <w:tc>
                <w:tcPr>
                  <w:tcW w:w="991" w:type="pct"/>
                  <w:tcBorders>
                    <w:tl2br w:val="nil"/>
                    <w:tr2bl w:val="nil"/>
                  </w:tcBorders>
                  <w:shd w:val="clear" w:color="auto" w:fill="auto"/>
                  <w:vAlign w:val="center"/>
                </w:tcPr>
                <w:p w14:paraId="000D99AC">
                  <w:pPr>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sz w:val="21"/>
                      <w:szCs w:val="24"/>
                      <w:lang w:val="en-US" w:eastAsia="zh-CN"/>
                    </w:rPr>
                  </w:pPr>
                  <w:r>
                    <w:rPr>
                      <w:rFonts w:hint="eastAsia" w:ascii="Times New Roman" w:hAnsi="Times New Roman" w:eastAsia="宋体"/>
                      <w:sz w:val="21"/>
                      <w:lang w:val="en-US" w:eastAsia="zh-CN"/>
                    </w:rPr>
                    <w:t>400</w:t>
                  </w:r>
                </w:p>
              </w:tc>
              <w:tc>
                <w:tcPr>
                  <w:tcW w:w="1012" w:type="pct"/>
                  <w:tcBorders>
                    <w:tl2br w:val="nil"/>
                    <w:tr2bl w:val="nil"/>
                  </w:tcBorders>
                  <w:shd w:val="clear" w:color="auto" w:fill="auto"/>
                  <w:vAlign w:val="center"/>
                </w:tcPr>
                <w:p w14:paraId="781F85A3">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ascii="Times New Roman" w:hAnsi="Times New Roman" w:eastAsia="宋体"/>
                      <w:sz w:val="21"/>
                      <w:szCs w:val="24"/>
                    </w:rPr>
                  </w:pPr>
                  <w:r>
                    <w:rPr>
                      <w:rFonts w:hint="eastAsia" w:ascii="Times New Roman" w:hAnsi="Times New Roman" w:eastAsia="宋体"/>
                      <w:sz w:val="21"/>
                      <w:lang w:val="en-US" w:eastAsia="zh-CN"/>
                    </w:rPr>
                    <w:t>袋/500ml</w:t>
                  </w:r>
                </w:p>
              </w:tc>
              <w:tc>
                <w:tcPr>
                  <w:tcW w:w="1085" w:type="pct"/>
                  <w:tcBorders>
                    <w:tl2br w:val="nil"/>
                    <w:tr2bl w:val="nil"/>
                  </w:tcBorders>
                  <w:shd w:val="clear" w:color="auto" w:fill="auto"/>
                  <w:vAlign w:val="center"/>
                </w:tcPr>
                <w:p w14:paraId="5815BA42">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sz w:val="21"/>
                      <w:szCs w:val="24"/>
                      <w:lang w:val="en-US" w:eastAsia="zh-CN"/>
                    </w:rPr>
                  </w:pPr>
                  <w:r>
                    <w:rPr>
                      <w:rFonts w:hint="eastAsia" w:ascii="Times New Roman" w:hAnsi="Times New Roman" w:eastAsia="宋体" w:cs="Times New Roman"/>
                      <w:sz w:val="21"/>
                      <w:szCs w:val="24"/>
                      <w:lang w:val="en-US" w:eastAsia="zh-CN"/>
                    </w:rPr>
                    <w:t>35</w:t>
                  </w:r>
                </w:p>
              </w:tc>
              <w:tc>
                <w:tcPr>
                  <w:tcW w:w="618" w:type="pct"/>
                  <w:vMerge w:val="continue"/>
                  <w:tcBorders>
                    <w:tl2br w:val="nil"/>
                    <w:tr2bl w:val="nil"/>
                  </w:tcBorders>
                  <w:shd w:val="clear" w:color="auto" w:fill="auto"/>
                  <w:vAlign w:val="center"/>
                </w:tcPr>
                <w:p w14:paraId="75045BED">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p>
              </w:tc>
            </w:tr>
            <w:tr w14:paraId="1ACC4FB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737" w:hRule="atLeast"/>
              </w:trPr>
              <w:tc>
                <w:tcPr>
                  <w:tcW w:w="469" w:type="pct"/>
                  <w:vMerge w:val="continue"/>
                  <w:tcBorders>
                    <w:tl2br w:val="nil"/>
                    <w:tr2bl w:val="nil"/>
                  </w:tcBorders>
                  <w:shd w:val="clear" w:color="auto" w:fill="auto"/>
                  <w:vAlign w:val="center"/>
                </w:tcPr>
                <w:p w14:paraId="0C3F0F4A">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p>
              </w:tc>
              <w:tc>
                <w:tcPr>
                  <w:tcW w:w="822" w:type="pct"/>
                  <w:vMerge w:val="continue"/>
                  <w:tcBorders>
                    <w:tl2br w:val="nil"/>
                    <w:tr2bl w:val="nil"/>
                  </w:tcBorders>
                  <w:shd w:val="clear" w:color="auto" w:fill="auto"/>
                  <w:vAlign w:val="center"/>
                </w:tcPr>
                <w:p w14:paraId="085202C4">
                  <w:pPr>
                    <w:pStyle w:val="21"/>
                    <w:keepNext w:val="0"/>
                    <w:keepLines w:val="0"/>
                    <w:pageBreakBefore w:val="0"/>
                    <w:widowControl w:val="0"/>
                    <w:kinsoku/>
                    <w:wordWrap/>
                    <w:overflowPunct/>
                    <w:autoSpaceDE/>
                    <w:autoSpaceDN/>
                    <w:bidi w:val="0"/>
                    <w:adjustRightInd/>
                    <w:jc w:val="center"/>
                    <w:textAlignment w:val="auto"/>
                    <w:rPr>
                      <w:rFonts w:ascii="Times New Roman" w:hAnsi="Times New Roman" w:eastAsia="宋体"/>
                      <w:sz w:val="21"/>
                      <w:szCs w:val="24"/>
                    </w:rPr>
                  </w:pPr>
                </w:p>
              </w:tc>
              <w:tc>
                <w:tcPr>
                  <w:tcW w:w="991" w:type="pct"/>
                  <w:tcBorders>
                    <w:tl2br w:val="nil"/>
                    <w:tr2bl w:val="nil"/>
                  </w:tcBorders>
                  <w:shd w:val="clear" w:color="auto" w:fill="auto"/>
                  <w:vAlign w:val="center"/>
                </w:tcPr>
                <w:p w14:paraId="47662F76">
                  <w:pPr>
                    <w:pStyle w:val="21"/>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sz w:val="21"/>
                      <w:szCs w:val="24"/>
                      <w:lang w:val="en-US" w:eastAsia="zh-CN"/>
                    </w:rPr>
                  </w:pPr>
                  <w:r>
                    <w:rPr>
                      <w:rFonts w:hint="eastAsia" w:ascii="Times New Roman" w:hAnsi="Times New Roman" w:eastAsia="宋体"/>
                      <w:sz w:val="21"/>
                      <w:lang w:val="en-US" w:eastAsia="zh-CN"/>
                    </w:rPr>
                    <w:t>450</w:t>
                  </w:r>
                </w:p>
              </w:tc>
              <w:tc>
                <w:tcPr>
                  <w:tcW w:w="1012" w:type="pct"/>
                  <w:tcBorders>
                    <w:tl2br w:val="nil"/>
                    <w:tr2bl w:val="nil"/>
                  </w:tcBorders>
                  <w:shd w:val="clear" w:color="auto" w:fill="auto"/>
                  <w:vAlign w:val="center"/>
                </w:tcPr>
                <w:p w14:paraId="26FE81F5">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ascii="Times New Roman" w:hAnsi="Times New Roman" w:eastAsia="宋体"/>
                      <w:sz w:val="21"/>
                      <w:szCs w:val="24"/>
                    </w:rPr>
                  </w:pPr>
                  <w:r>
                    <w:rPr>
                      <w:rFonts w:hint="eastAsia" w:ascii="Times New Roman" w:hAnsi="Times New Roman" w:eastAsia="宋体"/>
                      <w:sz w:val="21"/>
                      <w:lang w:val="en-US" w:eastAsia="zh-CN"/>
                    </w:rPr>
                    <w:t>瓶/500ml（硬塑）</w:t>
                  </w:r>
                </w:p>
              </w:tc>
              <w:tc>
                <w:tcPr>
                  <w:tcW w:w="1085" w:type="pct"/>
                  <w:tcBorders>
                    <w:tl2br w:val="nil"/>
                    <w:tr2bl w:val="nil"/>
                  </w:tcBorders>
                  <w:shd w:val="clear" w:color="auto" w:fill="auto"/>
                  <w:vAlign w:val="center"/>
                </w:tcPr>
                <w:p w14:paraId="26D64CBC">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sz w:val="21"/>
                      <w:szCs w:val="24"/>
                      <w:lang w:val="en-US" w:eastAsia="zh-CN"/>
                    </w:rPr>
                  </w:pPr>
                  <w:r>
                    <w:rPr>
                      <w:rFonts w:hint="eastAsia" w:ascii="Times New Roman" w:hAnsi="Times New Roman" w:eastAsia="宋体" w:cs="Times New Roman"/>
                      <w:sz w:val="21"/>
                      <w:szCs w:val="24"/>
                      <w:lang w:val="en-US" w:eastAsia="zh-CN"/>
                    </w:rPr>
                    <w:t>40</w:t>
                  </w:r>
                </w:p>
              </w:tc>
              <w:tc>
                <w:tcPr>
                  <w:tcW w:w="618" w:type="pct"/>
                  <w:vMerge w:val="continue"/>
                  <w:tcBorders>
                    <w:tl2br w:val="nil"/>
                    <w:tr2bl w:val="nil"/>
                  </w:tcBorders>
                  <w:shd w:val="clear" w:color="auto" w:fill="auto"/>
                  <w:vAlign w:val="center"/>
                </w:tcPr>
                <w:p w14:paraId="770B9E70">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p>
              </w:tc>
            </w:tr>
            <w:tr w14:paraId="2C5200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737" w:hRule="atLeast"/>
              </w:trPr>
              <w:tc>
                <w:tcPr>
                  <w:tcW w:w="469" w:type="pct"/>
                  <w:tcBorders>
                    <w:tl2br w:val="nil"/>
                    <w:tr2bl w:val="nil"/>
                  </w:tcBorders>
                  <w:shd w:val="clear" w:color="auto" w:fill="auto"/>
                  <w:vAlign w:val="center"/>
                </w:tcPr>
                <w:p w14:paraId="0E92D61D">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w:t>
                  </w:r>
                </w:p>
              </w:tc>
              <w:tc>
                <w:tcPr>
                  <w:tcW w:w="822" w:type="pct"/>
                  <w:tcBorders>
                    <w:tl2br w:val="nil"/>
                    <w:tr2bl w:val="nil"/>
                  </w:tcBorders>
                  <w:shd w:val="clear" w:color="auto" w:fill="auto"/>
                  <w:vAlign w:val="center"/>
                </w:tcPr>
                <w:p w14:paraId="61B7A338">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ascii="Times New Roman" w:hAnsi="Times New Roman" w:eastAsia="宋体"/>
                      <w:sz w:val="21"/>
                      <w:szCs w:val="24"/>
                    </w:rPr>
                    <w:t>注射器/输液器</w:t>
                  </w:r>
                </w:p>
              </w:tc>
              <w:tc>
                <w:tcPr>
                  <w:tcW w:w="991" w:type="pct"/>
                  <w:tcBorders>
                    <w:tl2br w:val="nil"/>
                    <w:tr2bl w:val="nil"/>
                  </w:tcBorders>
                  <w:shd w:val="clear" w:color="auto" w:fill="auto"/>
                  <w:vAlign w:val="center"/>
                </w:tcPr>
                <w:p w14:paraId="68AFC9C9">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100000</w:t>
                  </w:r>
                </w:p>
              </w:tc>
              <w:tc>
                <w:tcPr>
                  <w:tcW w:w="1012" w:type="pct"/>
                  <w:tcBorders>
                    <w:tl2br w:val="nil"/>
                    <w:tr2bl w:val="nil"/>
                  </w:tcBorders>
                  <w:shd w:val="clear" w:color="auto" w:fill="auto"/>
                  <w:vAlign w:val="center"/>
                </w:tcPr>
                <w:p w14:paraId="2C4ADB5C">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ascii="Times New Roman" w:hAnsi="Times New Roman" w:eastAsia="宋体"/>
                      <w:sz w:val="21"/>
                      <w:szCs w:val="24"/>
                    </w:rPr>
                    <w:t>支/套</w:t>
                  </w:r>
                </w:p>
              </w:tc>
              <w:tc>
                <w:tcPr>
                  <w:tcW w:w="1085" w:type="pct"/>
                  <w:tcBorders>
                    <w:tl2br w:val="nil"/>
                    <w:tr2bl w:val="nil"/>
                  </w:tcBorders>
                  <w:shd w:val="clear" w:color="auto" w:fill="auto"/>
                  <w:vAlign w:val="center"/>
                </w:tcPr>
                <w:p w14:paraId="51FA3263">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sz w:val="21"/>
                      <w:szCs w:val="24"/>
                      <w:lang w:val="en-US" w:eastAsia="zh-CN"/>
                    </w:rPr>
                  </w:pPr>
                  <w:r>
                    <w:rPr>
                      <w:rFonts w:hint="eastAsia" w:ascii="Times New Roman" w:hAnsi="Times New Roman" w:eastAsia="宋体" w:cs="Times New Roman"/>
                      <w:sz w:val="21"/>
                      <w:szCs w:val="24"/>
                      <w:lang w:val="en-US" w:eastAsia="zh-CN"/>
                    </w:rPr>
                    <w:t>8000</w:t>
                  </w:r>
                </w:p>
              </w:tc>
              <w:tc>
                <w:tcPr>
                  <w:tcW w:w="618" w:type="pct"/>
                  <w:tcBorders>
                    <w:tl2br w:val="nil"/>
                    <w:tr2bl w:val="nil"/>
                  </w:tcBorders>
                  <w:shd w:val="clear" w:color="auto" w:fill="auto"/>
                  <w:vAlign w:val="center"/>
                </w:tcPr>
                <w:p w14:paraId="12A776E5">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注射、输液用</w:t>
                  </w:r>
                </w:p>
              </w:tc>
            </w:tr>
            <w:tr w14:paraId="155049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737" w:hRule="atLeast"/>
              </w:trPr>
              <w:tc>
                <w:tcPr>
                  <w:tcW w:w="469" w:type="pct"/>
                  <w:tcBorders>
                    <w:tl2br w:val="nil"/>
                    <w:tr2bl w:val="nil"/>
                  </w:tcBorders>
                  <w:shd w:val="clear" w:color="auto" w:fill="auto"/>
                  <w:vAlign w:val="center"/>
                </w:tcPr>
                <w:p w14:paraId="307C39D1">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3</w:t>
                  </w:r>
                </w:p>
              </w:tc>
              <w:tc>
                <w:tcPr>
                  <w:tcW w:w="822" w:type="pct"/>
                  <w:tcBorders>
                    <w:tl2br w:val="nil"/>
                    <w:tr2bl w:val="nil"/>
                  </w:tcBorders>
                  <w:shd w:val="clear" w:color="auto" w:fill="auto"/>
                  <w:vAlign w:val="center"/>
                </w:tcPr>
                <w:p w14:paraId="30774806">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ascii="Times New Roman" w:hAnsi="Times New Roman" w:eastAsia="宋体"/>
                      <w:sz w:val="21"/>
                      <w:szCs w:val="24"/>
                    </w:rPr>
                    <w:t>血常规成套试剂</w:t>
                  </w:r>
                </w:p>
              </w:tc>
              <w:tc>
                <w:tcPr>
                  <w:tcW w:w="991" w:type="pct"/>
                  <w:tcBorders>
                    <w:tl2br w:val="nil"/>
                    <w:tr2bl w:val="nil"/>
                  </w:tcBorders>
                  <w:shd w:val="clear" w:color="auto" w:fill="auto"/>
                  <w:vAlign w:val="center"/>
                </w:tcPr>
                <w:p w14:paraId="62B605DC">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20000</w:t>
                  </w:r>
                </w:p>
              </w:tc>
              <w:tc>
                <w:tcPr>
                  <w:tcW w:w="1012" w:type="pct"/>
                  <w:tcBorders>
                    <w:tl2br w:val="nil"/>
                    <w:tr2bl w:val="nil"/>
                  </w:tcBorders>
                  <w:shd w:val="clear" w:color="auto" w:fill="auto"/>
                  <w:vAlign w:val="center"/>
                </w:tcPr>
                <w:p w14:paraId="6E10D397">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sz w:val="21"/>
                      <w:szCs w:val="24"/>
                      <w:lang w:val="en-US" w:eastAsia="zh-CN"/>
                    </w:rPr>
                    <w:t>套</w:t>
                  </w:r>
                </w:p>
              </w:tc>
              <w:tc>
                <w:tcPr>
                  <w:tcW w:w="1085" w:type="pct"/>
                  <w:tcBorders>
                    <w:tl2br w:val="nil"/>
                    <w:tr2bl w:val="nil"/>
                  </w:tcBorders>
                  <w:shd w:val="clear" w:color="auto" w:fill="auto"/>
                  <w:vAlign w:val="center"/>
                </w:tcPr>
                <w:p w14:paraId="07929AEE">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sz w:val="21"/>
                      <w:szCs w:val="24"/>
                      <w:lang w:val="en-US" w:eastAsia="zh-CN"/>
                    </w:rPr>
                  </w:pPr>
                  <w:r>
                    <w:rPr>
                      <w:rFonts w:hint="eastAsia" w:ascii="Times New Roman" w:hAnsi="Times New Roman" w:eastAsia="宋体" w:cs="Times New Roman"/>
                      <w:sz w:val="21"/>
                      <w:szCs w:val="24"/>
                      <w:lang w:val="en-US" w:eastAsia="zh-CN"/>
                    </w:rPr>
                    <w:t>1600</w:t>
                  </w:r>
                </w:p>
              </w:tc>
              <w:tc>
                <w:tcPr>
                  <w:tcW w:w="618" w:type="pct"/>
                  <w:tcBorders>
                    <w:tl2br w:val="nil"/>
                    <w:tr2bl w:val="nil"/>
                  </w:tcBorders>
                  <w:shd w:val="clear" w:color="auto" w:fill="auto"/>
                  <w:vAlign w:val="center"/>
                </w:tcPr>
                <w:p w14:paraId="226D42D5">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包括针头、试剂等</w:t>
                  </w:r>
                </w:p>
              </w:tc>
            </w:tr>
            <w:tr w14:paraId="54279E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737" w:hRule="atLeast"/>
              </w:trPr>
              <w:tc>
                <w:tcPr>
                  <w:tcW w:w="469" w:type="pct"/>
                  <w:tcBorders>
                    <w:tl2br w:val="nil"/>
                    <w:tr2bl w:val="nil"/>
                  </w:tcBorders>
                  <w:shd w:val="clear" w:color="auto" w:fill="auto"/>
                  <w:vAlign w:val="center"/>
                </w:tcPr>
                <w:p w14:paraId="21006A99">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4</w:t>
                  </w:r>
                </w:p>
              </w:tc>
              <w:tc>
                <w:tcPr>
                  <w:tcW w:w="822" w:type="pct"/>
                  <w:tcBorders>
                    <w:tl2br w:val="nil"/>
                    <w:tr2bl w:val="nil"/>
                  </w:tcBorders>
                  <w:shd w:val="clear" w:color="auto" w:fill="auto"/>
                  <w:vAlign w:val="center"/>
                </w:tcPr>
                <w:p w14:paraId="586D9F58">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生化成套试剂</w:t>
                  </w:r>
                </w:p>
              </w:tc>
              <w:tc>
                <w:tcPr>
                  <w:tcW w:w="991" w:type="pct"/>
                  <w:tcBorders>
                    <w:tl2br w:val="nil"/>
                    <w:tr2bl w:val="nil"/>
                  </w:tcBorders>
                  <w:shd w:val="clear" w:color="auto" w:fill="auto"/>
                  <w:vAlign w:val="center"/>
                </w:tcPr>
                <w:p w14:paraId="1F0783A6">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40000</w:t>
                  </w:r>
                </w:p>
              </w:tc>
              <w:tc>
                <w:tcPr>
                  <w:tcW w:w="1012" w:type="pct"/>
                  <w:tcBorders>
                    <w:tl2br w:val="nil"/>
                    <w:tr2bl w:val="nil"/>
                  </w:tcBorders>
                  <w:shd w:val="clear" w:color="auto" w:fill="auto"/>
                  <w:vAlign w:val="center"/>
                </w:tcPr>
                <w:p w14:paraId="06087BAD">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sz w:val="21"/>
                      <w:szCs w:val="24"/>
                      <w:lang w:val="en-US" w:eastAsia="zh-CN"/>
                    </w:rPr>
                    <w:t>套</w:t>
                  </w:r>
                </w:p>
              </w:tc>
              <w:tc>
                <w:tcPr>
                  <w:tcW w:w="1085" w:type="pct"/>
                  <w:tcBorders>
                    <w:tl2br w:val="nil"/>
                    <w:tr2bl w:val="nil"/>
                  </w:tcBorders>
                  <w:shd w:val="clear" w:color="auto" w:fill="auto"/>
                  <w:vAlign w:val="center"/>
                </w:tcPr>
                <w:p w14:paraId="53E7C047">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sz w:val="21"/>
                      <w:szCs w:val="24"/>
                      <w:lang w:val="en-US" w:eastAsia="zh-CN"/>
                    </w:rPr>
                  </w:pPr>
                  <w:r>
                    <w:rPr>
                      <w:rFonts w:hint="eastAsia" w:ascii="Times New Roman" w:hAnsi="Times New Roman" w:eastAsia="宋体" w:cs="Times New Roman"/>
                      <w:sz w:val="21"/>
                      <w:szCs w:val="24"/>
                      <w:lang w:val="en-US" w:eastAsia="zh-CN"/>
                    </w:rPr>
                    <w:t>3000</w:t>
                  </w:r>
                </w:p>
              </w:tc>
              <w:tc>
                <w:tcPr>
                  <w:tcW w:w="618" w:type="pct"/>
                  <w:tcBorders>
                    <w:tl2br w:val="nil"/>
                    <w:tr2bl w:val="nil"/>
                  </w:tcBorders>
                  <w:shd w:val="clear" w:color="auto" w:fill="auto"/>
                  <w:vAlign w:val="center"/>
                </w:tcPr>
                <w:p w14:paraId="6ACF2F03">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r>
            <w:tr w14:paraId="2C3A814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737" w:hRule="atLeast"/>
              </w:trPr>
              <w:tc>
                <w:tcPr>
                  <w:tcW w:w="469" w:type="pct"/>
                  <w:tcBorders>
                    <w:tl2br w:val="nil"/>
                    <w:tr2bl w:val="nil"/>
                  </w:tcBorders>
                  <w:shd w:val="clear" w:color="auto" w:fill="auto"/>
                  <w:vAlign w:val="center"/>
                </w:tcPr>
                <w:p w14:paraId="43CA5726">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5</w:t>
                  </w:r>
                </w:p>
              </w:tc>
              <w:tc>
                <w:tcPr>
                  <w:tcW w:w="822" w:type="pct"/>
                  <w:tcBorders>
                    <w:tl2br w:val="nil"/>
                    <w:tr2bl w:val="nil"/>
                  </w:tcBorders>
                  <w:shd w:val="clear" w:color="auto" w:fill="auto"/>
                  <w:vAlign w:val="center"/>
                </w:tcPr>
                <w:p w14:paraId="4AFBDBE5">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ascii="Times New Roman" w:hAnsi="Times New Roman" w:eastAsia="宋体"/>
                      <w:sz w:val="21"/>
                      <w:szCs w:val="24"/>
                    </w:rPr>
                    <w:t>碘伏消毒液</w:t>
                  </w:r>
                  <w:r>
                    <w:rPr>
                      <w:rFonts w:hint="eastAsia" w:ascii="Times New Roman" w:hAnsi="Times New Roman" w:eastAsia="宋体"/>
                      <w:sz w:val="21"/>
                      <w:szCs w:val="24"/>
                      <w:lang w:eastAsia="zh-CN"/>
                    </w:rPr>
                    <w:t>（</w:t>
                  </w:r>
                  <w:r>
                    <w:rPr>
                      <w:rFonts w:hint="eastAsia" w:ascii="Times New Roman" w:hAnsi="Times New Roman" w:eastAsia="宋体"/>
                      <w:sz w:val="21"/>
                      <w:szCs w:val="24"/>
                      <w:lang w:val="en-US" w:eastAsia="zh-CN"/>
                    </w:rPr>
                    <w:t>利尔康</w:t>
                  </w:r>
                  <w:r>
                    <w:rPr>
                      <w:rFonts w:hint="eastAsia" w:ascii="Times New Roman" w:hAnsi="Times New Roman" w:eastAsia="宋体"/>
                      <w:sz w:val="21"/>
                      <w:szCs w:val="24"/>
                      <w:lang w:eastAsia="zh-CN"/>
                    </w:rPr>
                    <w:t>）</w:t>
                  </w:r>
                </w:p>
              </w:tc>
              <w:tc>
                <w:tcPr>
                  <w:tcW w:w="991" w:type="pct"/>
                  <w:tcBorders>
                    <w:tl2br w:val="nil"/>
                    <w:tr2bl w:val="nil"/>
                  </w:tcBorders>
                  <w:shd w:val="clear" w:color="auto" w:fill="auto"/>
                  <w:vAlign w:val="center"/>
                </w:tcPr>
                <w:p w14:paraId="25310411">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150</w:t>
                  </w:r>
                </w:p>
              </w:tc>
              <w:tc>
                <w:tcPr>
                  <w:tcW w:w="1012" w:type="pct"/>
                  <w:tcBorders>
                    <w:tl2br w:val="nil"/>
                    <w:tr2bl w:val="nil"/>
                  </w:tcBorders>
                  <w:shd w:val="clear" w:color="auto" w:fill="auto"/>
                  <w:vAlign w:val="center"/>
                </w:tcPr>
                <w:p w14:paraId="6BFCC782">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sz w:val="21"/>
                      <w:szCs w:val="24"/>
                      <w:lang w:val="en-US" w:eastAsia="zh-CN"/>
                    </w:rPr>
                    <w:t>瓶/500ml</w:t>
                  </w:r>
                </w:p>
              </w:tc>
              <w:tc>
                <w:tcPr>
                  <w:tcW w:w="1085" w:type="pct"/>
                  <w:tcBorders>
                    <w:tl2br w:val="nil"/>
                    <w:tr2bl w:val="nil"/>
                  </w:tcBorders>
                  <w:shd w:val="clear" w:color="auto" w:fill="auto"/>
                  <w:vAlign w:val="center"/>
                </w:tcPr>
                <w:p w14:paraId="208F6682">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sz w:val="21"/>
                      <w:szCs w:val="24"/>
                      <w:lang w:val="en-US" w:eastAsia="zh-CN"/>
                    </w:rPr>
                  </w:pPr>
                  <w:r>
                    <w:rPr>
                      <w:rFonts w:hint="eastAsia" w:ascii="Times New Roman" w:hAnsi="Times New Roman" w:eastAsia="宋体" w:cs="Times New Roman"/>
                      <w:sz w:val="21"/>
                      <w:szCs w:val="24"/>
                      <w:lang w:val="en-US" w:eastAsia="zh-CN"/>
                    </w:rPr>
                    <w:t>30</w:t>
                  </w:r>
                </w:p>
              </w:tc>
              <w:tc>
                <w:tcPr>
                  <w:tcW w:w="618" w:type="pct"/>
                  <w:vMerge w:val="restart"/>
                  <w:tcBorders>
                    <w:tl2br w:val="nil"/>
                    <w:tr2bl w:val="nil"/>
                  </w:tcBorders>
                  <w:shd w:val="clear" w:color="auto" w:fill="auto"/>
                  <w:vAlign w:val="center"/>
                </w:tcPr>
                <w:p w14:paraId="44AB8920">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消毒</w:t>
                  </w:r>
                </w:p>
              </w:tc>
            </w:tr>
            <w:tr w14:paraId="7366E8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737" w:hRule="atLeast"/>
              </w:trPr>
              <w:tc>
                <w:tcPr>
                  <w:tcW w:w="469" w:type="pct"/>
                  <w:tcBorders>
                    <w:tl2br w:val="nil"/>
                    <w:tr2bl w:val="nil"/>
                  </w:tcBorders>
                  <w:shd w:val="clear" w:color="auto" w:fill="auto"/>
                  <w:vAlign w:val="center"/>
                </w:tcPr>
                <w:p w14:paraId="5B86C378">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6</w:t>
                  </w:r>
                </w:p>
              </w:tc>
              <w:tc>
                <w:tcPr>
                  <w:tcW w:w="822" w:type="pct"/>
                  <w:tcBorders>
                    <w:tl2br w:val="nil"/>
                    <w:tr2bl w:val="nil"/>
                  </w:tcBorders>
                  <w:shd w:val="clear" w:color="auto" w:fill="auto"/>
                  <w:vAlign w:val="center"/>
                </w:tcPr>
                <w:p w14:paraId="5F1C422D">
                  <w:pPr>
                    <w:pStyle w:val="21"/>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84消毒液（利尔康）</w:t>
                  </w:r>
                </w:p>
              </w:tc>
              <w:tc>
                <w:tcPr>
                  <w:tcW w:w="991" w:type="pct"/>
                  <w:tcBorders>
                    <w:tl2br w:val="nil"/>
                    <w:tr2bl w:val="nil"/>
                  </w:tcBorders>
                  <w:shd w:val="clear" w:color="auto" w:fill="auto"/>
                  <w:vAlign w:val="center"/>
                </w:tcPr>
                <w:p w14:paraId="5CCC803A">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1200</w:t>
                  </w:r>
                </w:p>
              </w:tc>
              <w:tc>
                <w:tcPr>
                  <w:tcW w:w="1012" w:type="pct"/>
                  <w:tcBorders>
                    <w:tl2br w:val="nil"/>
                    <w:tr2bl w:val="nil"/>
                  </w:tcBorders>
                  <w:shd w:val="clear" w:color="auto" w:fill="auto"/>
                  <w:vAlign w:val="center"/>
                </w:tcPr>
                <w:p w14:paraId="7426E318">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sz w:val="21"/>
                      <w:szCs w:val="24"/>
                      <w:lang w:val="en-US" w:eastAsia="zh-CN"/>
                    </w:rPr>
                    <w:t>瓶/500ml</w:t>
                  </w:r>
                </w:p>
              </w:tc>
              <w:tc>
                <w:tcPr>
                  <w:tcW w:w="1085" w:type="pct"/>
                  <w:tcBorders>
                    <w:tl2br w:val="nil"/>
                    <w:tr2bl w:val="nil"/>
                  </w:tcBorders>
                  <w:shd w:val="clear" w:color="auto" w:fill="auto"/>
                  <w:vAlign w:val="center"/>
                </w:tcPr>
                <w:p w14:paraId="4B10E63F">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sz w:val="21"/>
                      <w:szCs w:val="24"/>
                      <w:lang w:val="en-US" w:eastAsia="zh-CN"/>
                    </w:rPr>
                  </w:pPr>
                  <w:r>
                    <w:rPr>
                      <w:rFonts w:hint="eastAsia" w:ascii="Times New Roman" w:hAnsi="Times New Roman" w:eastAsia="宋体" w:cs="Times New Roman"/>
                      <w:sz w:val="21"/>
                      <w:szCs w:val="24"/>
                      <w:lang w:val="en-US" w:eastAsia="zh-CN"/>
                    </w:rPr>
                    <w:t>100</w:t>
                  </w:r>
                </w:p>
              </w:tc>
              <w:tc>
                <w:tcPr>
                  <w:tcW w:w="618" w:type="pct"/>
                  <w:vMerge w:val="continue"/>
                  <w:tcBorders>
                    <w:tl2br w:val="nil"/>
                    <w:tr2bl w:val="nil"/>
                  </w:tcBorders>
                  <w:shd w:val="clear" w:color="auto" w:fill="auto"/>
                  <w:vAlign w:val="center"/>
                </w:tcPr>
                <w:p w14:paraId="7BAC569D">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p>
              </w:tc>
            </w:tr>
            <w:tr w14:paraId="5A243D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737" w:hRule="atLeast"/>
              </w:trPr>
              <w:tc>
                <w:tcPr>
                  <w:tcW w:w="469" w:type="pct"/>
                  <w:tcBorders>
                    <w:tl2br w:val="nil"/>
                    <w:tr2bl w:val="nil"/>
                  </w:tcBorders>
                  <w:shd w:val="clear" w:color="auto" w:fill="auto"/>
                  <w:vAlign w:val="center"/>
                </w:tcPr>
                <w:p w14:paraId="40FE01C4">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7</w:t>
                  </w:r>
                </w:p>
              </w:tc>
              <w:tc>
                <w:tcPr>
                  <w:tcW w:w="822" w:type="pct"/>
                  <w:tcBorders>
                    <w:tl2br w:val="nil"/>
                    <w:tr2bl w:val="nil"/>
                  </w:tcBorders>
                  <w:shd w:val="clear" w:color="auto" w:fill="auto"/>
                  <w:vAlign w:val="center"/>
                </w:tcPr>
                <w:p w14:paraId="3AA61D01">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ascii="Times New Roman" w:hAnsi="Times New Roman" w:eastAsia="宋体"/>
                      <w:sz w:val="21"/>
                      <w:szCs w:val="24"/>
                    </w:rPr>
                    <w:t>医用棉签</w:t>
                  </w:r>
                </w:p>
              </w:tc>
              <w:tc>
                <w:tcPr>
                  <w:tcW w:w="991" w:type="pct"/>
                  <w:tcBorders>
                    <w:tl2br w:val="nil"/>
                    <w:tr2bl w:val="nil"/>
                  </w:tcBorders>
                  <w:shd w:val="clear" w:color="auto" w:fill="auto"/>
                  <w:vAlign w:val="center"/>
                </w:tcPr>
                <w:p w14:paraId="24019D30">
                  <w:pPr>
                    <w:pStyle w:val="21"/>
                    <w:keepNext w:val="0"/>
                    <w:keepLines w:val="0"/>
                    <w:pageBreakBefore w:val="0"/>
                    <w:widowControl w:val="0"/>
                    <w:kinsoku/>
                    <w:wordWrap/>
                    <w:overflowPunct/>
                    <w:autoSpaceDE/>
                    <w:autoSpaceDN/>
                    <w:bidi w:val="0"/>
                    <w:adjustRightInd/>
                    <w:jc w:val="center"/>
                    <w:textAlignment w:val="auto"/>
                    <w:rPr>
                      <w:rFonts w:ascii="Times New Roman" w:hAnsi="Times New Roman" w:eastAsia="宋体"/>
                      <w:sz w:val="21"/>
                      <w:szCs w:val="24"/>
                    </w:rPr>
                  </w:pPr>
                  <w:r>
                    <w:rPr>
                      <w:rFonts w:hint="eastAsia" w:ascii="Times New Roman" w:hAnsi="Times New Roman" w:eastAsia="宋体"/>
                      <w:sz w:val="21"/>
                      <w:szCs w:val="24"/>
                      <w:lang w:val="en-US" w:eastAsia="zh-CN"/>
                    </w:rPr>
                    <w:t>650</w:t>
                  </w:r>
                  <w:r>
                    <w:rPr>
                      <w:rFonts w:hint="eastAsia" w:ascii="Times New Roman" w:hAnsi="Times New Roman"/>
                      <w:sz w:val="21"/>
                      <w:szCs w:val="24"/>
                      <w:lang w:val="en-US" w:eastAsia="zh-CN"/>
                    </w:rPr>
                    <w:t>,</w:t>
                  </w:r>
                </w:p>
                <w:p w14:paraId="6FEF0076">
                  <w:pPr>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sz w:val="21"/>
                      <w:lang w:val="en-US" w:eastAsia="zh-CN"/>
                    </w:rPr>
                    <w:t>20（大头棉签）</w:t>
                  </w:r>
                </w:p>
              </w:tc>
              <w:tc>
                <w:tcPr>
                  <w:tcW w:w="1012" w:type="pct"/>
                  <w:tcBorders>
                    <w:tl2br w:val="nil"/>
                    <w:tr2bl w:val="nil"/>
                  </w:tcBorders>
                  <w:shd w:val="clear" w:color="auto" w:fill="auto"/>
                  <w:vAlign w:val="center"/>
                </w:tcPr>
                <w:p w14:paraId="306804F7">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ascii="Times New Roman" w:hAnsi="Times New Roman" w:eastAsia="宋体"/>
                      <w:sz w:val="21"/>
                      <w:szCs w:val="24"/>
                    </w:rPr>
                    <w:t>包</w:t>
                  </w:r>
                </w:p>
              </w:tc>
              <w:tc>
                <w:tcPr>
                  <w:tcW w:w="1085" w:type="pct"/>
                  <w:tcBorders>
                    <w:tl2br w:val="nil"/>
                    <w:tr2bl w:val="nil"/>
                  </w:tcBorders>
                  <w:shd w:val="clear" w:color="auto" w:fill="auto"/>
                  <w:vAlign w:val="center"/>
                </w:tcPr>
                <w:p w14:paraId="173A1934">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sz w:val="21"/>
                      <w:szCs w:val="24"/>
                      <w:lang w:val="en-US" w:eastAsia="zh-CN"/>
                    </w:rPr>
                  </w:pPr>
                  <w:r>
                    <w:rPr>
                      <w:rFonts w:hint="eastAsia" w:ascii="Times New Roman" w:hAnsi="Times New Roman" w:eastAsia="宋体" w:cs="Times New Roman"/>
                      <w:sz w:val="21"/>
                      <w:szCs w:val="24"/>
                      <w:lang w:val="en-US" w:eastAsia="zh-CN"/>
                    </w:rPr>
                    <w:t>65、20</w:t>
                  </w:r>
                </w:p>
              </w:tc>
              <w:tc>
                <w:tcPr>
                  <w:tcW w:w="618" w:type="pct"/>
                  <w:vMerge w:val="restart"/>
                  <w:tcBorders>
                    <w:tl2br w:val="nil"/>
                    <w:tr2bl w:val="nil"/>
                  </w:tcBorders>
                  <w:shd w:val="clear" w:color="auto" w:fill="auto"/>
                  <w:vAlign w:val="center"/>
                </w:tcPr>
                <w:p w14:paraId="70B860F3">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注射、输液用</w:t>
                  </w:r>
                </w:p>
              </w:tc>
            </w:tr>
            <w:tr w14:paraId="1F0F91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737" w:hRule="atLeast"/>
              </w:trPr>
              <w:tc>
                <w:tcPr>
                  <w:tcW w:w="469" w:type="pct"/>
                  <w:tcBorders>
                    <w:tl2br w:val="nil"/>
                    <w:tr2bl w:val="nil"/>
                  </w:tcBorders>
                  <w:shd w:val="clear" w:color="auto" w:fill="auto"/>
                  <w:vAlign w:val="center"/>
                </w:tcPr>
                <w:p w14:paraId="0F2687CF">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8</w:t>
                  </w:r>
                </w:p>
              </w:tc>
              <w:tc>
                <w:tcPr>
                  <w:tcW w:w="822" w:type="pct"/>
                  <w:tcBorders>
                    <w:tl2br w:val="nil"/>
                    <w:tr2bl w:val="nil"/>
                  </w:tcBorders>
                  <w:shd w:val="clear" w:color="auto" w:fill="auto"/>
                  <w:vAlign w:val="center"/>
                </w:tcPr>
                <w:p w14:paraId="44027428">
                  <w:pPr>
                    <w:pStyle w:val="21"/>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cs="Times New Roman"/>
                      <w:kern w:val="2"/>
                      <w:sz w:val="21"/>
                      <w:szCs w:val="24"/>
                      <w:lang w:val="en-US" w:eastAsia="zh-CN" w:bidi="ar-SA"/>
                    </w:rPr>
                  </w:pPr>
                  <w:r>
                    <w:rPr>
                      <w:rFonts w:ascii="Times New Roman" w:hAnsi="Times New Roman" w:eastAsia="宋体"/>
                      <w:sz w:val="21"/>
                      <w:szCs w:val="24"/>
                    </w:rPr>
                    <w:t>压敏胶带</w:t>
                  </w:r>
                </w:p>
              </w:tc>
              <w:tc>
                <w:tcPr>
                  <w:tcW w:w="991" w:type="pct"/>
                  <w:tcBorders>
                    <w:tl2br w:val="nil"/>
                    <w:tr2bl w:val="nil"/>
                  </w:tcBorders>
                  <w:shd w:val="clear" w:color="auto" w:fill="auto"/>
                  <w:vAlign w:val="center"/>
                </w:tcPr>
                <w:p w14:paraId="2D8A8DDB">
                  <w:pPr>
                    <w:pStyle w:val="21"/>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1400</w:t>
                  </w:r>
                </w:p>
              </w:tc>
              <w:tc>
                <w:tcPr>
                  <w:tcW w:w="1012" w:type="pct"/>
                  <w:tcBorders>
                    <w:tl2br w:val="nil"/>
                    <w:tr2bl w:val="nil"/>
                  </w:tcBorders>
                  <w:shd w:val="clear" w:color="auto" w:fill="auto"/>
                  <w:vAlign w:val="center"/>
                </w:tcPr>
                <w:p w14:paraId="70C6F489">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ascii="Times New Roman" w:hAnsi="Times New Roman" w:eastAsia="宋体"/>
                      <w:sz w:val="21"/>
                      <w:szCs w:val="24"/>
                    </w:rPr>
                    <w:t>卷</w:t>
                  </w:r>
                </w:p>
              </w:tc>
              <w:tc>
                <w:tcPr>
                  <w:tcW w:w="1085" w:type="pct"/>
                  <w:tcBorders>
                    <w:tl2br w:val="nil"/>
                    <w:tr2bl w:val="nil"/>
                  </w:tcBorders>
                  <w:shd w:val="clear" w:color="auto" w:fill="auto"/>
                  <w:vAlign w:val="center"/>
                </w:tcPr>
                <w:p w14:paraId="06FC695A">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sz w:val="21"/>
                      <w:szCs w:val="24"/>
                      <w:lang w:val="en-US" w:eastAsia="zh-CN"/>
                    </w:rPr>
                    <w:t>120</w:t>
                  </w:r>
                </w:p>
              </w:tc>
              <w:tc>
                <w:tcPr>
                  <w:tcW w:w="618" w:type="pct"/>
                  <w:vMerge w:val="continue"/>
                  <w:tcBorders>
                    <w:tl2br w:val="nil"/>
                    <w:tr2bl w:val="nil"/>
                  </w:tcBorders>
                  <w:shd w:val="clear" w:color="auto" w:fill="auto"/>
                  <w:vAlign w:val="center"/>
                </w:tcPr>
                <w:p w14:paraId="41BA0049">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p>
              </w:tc>
            </w:tr>
            <w:tr w14:paraId="1C6C70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737" w:hRule="atLeast"/>
              </w:trPr>
              <w:tc>
                <w:tcPr>
                  <w:tcW w:w="469" w:type="pct"/>
                  <w:tcBorders>
                    <w:tl2br w:val="nil"/>
                    <w:tr2bl w:val="nil"/>
                  </w:tcBorders>
                  <w:shd w:val="clear" w:color="auto" w:fill="auto"/>
                  <w:vAlign w:val="center"/>
                </w:tcPr>
                <w:p w14:paraId="247AAA4A">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9</w:t>
                  </w:r>
                </w:p>
              </w:tc>
              <w:tc>
                <w:tcPr>
                  <w:tcW w:w="822" w:type="pct"/>
                  <w:tcBorders>
                    <w:tl2br w:val="nil"/>
                    <w:tr2bl w:val="nil"/>
                  </w:tcBorders>
                  <w:shd w:val="clear" w:color="auto" w:fill="auto"/>
                  <w:vAlign w:val="center"/>
                </w:tcPr>
                <w:p w14:paraId="015774F1">
                  <w:pPr>
                    <w:pStyle w:val="21"/>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cs="Times New Roman"/>
                      <w:kern w:val="2"/>
                      <w:sz w:val="21"/>
                      <w:szCs w:val="24"/>
                      <w:lang w:val="en-US" w:eastAsia="zh-CN" w:bidi="ar-SA"/>
                    </w:rPr>
                  </w:pPr>
                  <w:r>
                    <w:rPr>
                      <w:rFonts w:ascii="Times New Roman" w:hAnsi="Times New Roman" w:eastAsia="宋体"/>
                      <w:sz w:val="21"/>
                      <w:szCs w:val="24"/>
                    </w:rPr>
                    <w:t>75%酒精</w:t>
                  </w:r>
                </w:p>
              </w:tc>
              <w:tc>
                <w:tcPr>
                  <w:tcW w:w="991" w:type="pct"/>
                  <w:tcBorders>
                    <w:tl2br w:val="nil"/>
                    <w:tr2bl w:val="nil"/>
                  </w:tcBorders>
                  <w:shd w:val="clear" w:color="auto" w:fill="auto"/>
                  <w:vAlign w:val="center"/>
                </w:tcPr>
                <w:p w14:paraId="30CBDB4F">
                  <w:pPr>
                    <w:pStyle w:val="21"/>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550</w:t>
                  </w:r>
                </w:p>
              </w:tc>
              <w:tc>
                <w:tcPr>
                  <w:tcW w:w="1012" w:type="pct"/>
                  <w:tcBorders>
                    <w:tl2br w:val="nil"/>
                    <w:tr2bl w:val="nil"/>
                  </w:tcBorders>
                  <w:shd w:val="clear" w:color="auto" w:fill="auto"/>
                  <w:vAlign w:val="center"/>
                </w:tcPr>
                <w:p w14:paraId="1803820D">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sz w:val="21"/>
                      <w:szCs w:val="24"/>
                      <w:lang w:val="en-US" w:eastAsia="zh-CN"/>
                    </w:rPr>
                    <w:t>瓶/</w:t>
                  </w:r>
                  <w:r>
                    <w:rPr>
                      <w:rFonts w:ascii="Times New Roman" w:hAnsi="Times New Roman" w:eastAsia="宋体"/>
                      <w:sz w:val="21"/>
                      <w:szCs w:val="24"/>
                    </w:rPr>
                    <w:t>500ml</w:t>
                  </w:r>
                </w:p>
              </w:tc>
              <w:tc>
                <w:tcPr>
                  <w:tcW w:w="1085" w:type="pct"/>
                  <w:tcBorders>
                    <w:tl2br w:val="nil"/>
                    <w:tr2bl w:val="nil"/>
                  </w:tcBorders>
                  <w:shd w:val="clear" w:color="auto" w:fill="auto"/>
                  <w:vAlign w:val="center"/>
                </w:tcPr>
                <w:p w14:paraId="24F02905">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sz w:val="21"/>
                      <w:szCs w:val="24"/>
                      <w:lang w:val="en-US" w:eastAsia="zh-CN"/>
                    </w:rPr>
                    <w:t>50</w:t>
                  </w:r>
                </w:p>
              </w:tc>
              <w:tc>
                <w:tcPr>
                  <w:tcW w:w="618" w:type="pct"/>
                  <w:vMerge w:val="restart"/>
                  <w:tcBorders>
                    <w:tl2br w:val="nil"/>
                    <w:tr2bl w:val="nil"/>
                  </w:tcBorders>
                  <w:shd w:val="clear" w:color="auto" w:fill="auto"/>
                  <w:vAlign w:val="center"/>
                </w:tcPr>
                <w:p w14:paraId="7EC850D8">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消毒</w:t>
                  </w:r>
                </w:p>
              </w:tc>
            </w:tr>
            <w:tr w14:paraId="42614C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737" w:hRule="atLeast"/>
              </w:trPr>
              <w:tc>
                <w:tcPr>
                  <w:tcW w:w="469" w:type="pct"/>
                  <w:tcBorders>
                    <w:tl2br w:val="nil"/>
                    <w:tr2bl w:val="nil"/>
                  </w:tcBorders>
                  <w:shd w:val="clear" w:color="auto" w:fill="auto"/>
                  <w:vAlign w:val="center"/>
                </w:tcPr>
                <w:p w14:paraId="1B901CF1">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10</w:t>
                  </w:r>
                </w:p>
              </w:tc>
              <w:tc>
                <w:tcPr>
                  <w:tcW w:w="822" w:type="pct"/>
                  <w:tcBorders>
                    <w:tl2br w:val="nil"/>
                    <w:tr2bl w:val="nil"/>
                  </w:tcBorders>
                  <w:shd w:val="clear" w:color="auto" w:fill="auto"/>
                  <w:vAlign w:val="center"/>
                </w:tcPr>
                <w:p w14:paraId="7D471B82">
                  <w:pPr>
                    <w:pStyle w:val="21"/>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cs="Times New Roman"/>
                      <w:kern w:val="2"/>
                      <w:sz w:val="21"/>
                      <w:szCs w:val="24"/>
                      <w:lang w:val="en-US" w:eastAsia="zh-CN" w:bidi="ar-SA"/>
                    </w:rPr>
                  </w:pPr>
                  <w:r>
                    <w:rPr>
                      <w:rFonts w:ascii="Times New Roman" w:hAnsi="Times New Roman" w:eastAsia="宋体"/>
                      <w:sz w:val="21"/>
                      <w:szCs w:val="24"/>
                    </w:rPr>
                    <w:t>双氧水</w:t>
                  </w:r>
                </w:p>
              </w:tc>
              <w:tc>
                <w:tcPr>
                  <w:tcW w:w="991" w:type="pct"/>
                  <w:tcBorders>
                    <w:tl2br w:val="nil"/>
                    <w:tr2bl w:val="nil"/>
                  </w:tcBorders>
                  <w:shd w:val="clear" w:color="auto" w:fill="auto"/>
                  <w:vAlign w:val="center"/>
                </w:tcPr>
                <w:p w14:paraId="02FCAC92">
                  <w:pPr>
                    <w:pStyle w:val="21"/>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36</w:t>
                  </w:r>
                </w:p>
              </w:tc>
              <w:tc>
                <w:tcPr>
                  <w:tcW w:w="1012" w:type="pct"/>
                  <w:tcBorders>
                    <w:tl2br w:val="nil"/>
                    <w:tr2bl w:val="nil"/>
                  </w:tcBorders>
                  <w:shd w:val="clear" w:color="auto" w:fill="auto"/>
                  <w:vAlign w:val="center"/>
                </w:tcPr>
                <w:p w14:paraId="7383CE4C">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sz w:val="21"/>
                      <w:szCs w:val="24"/>
                      <w:lang w:val="en-US" w:eastAsia="zh-CN"/>
                    </w:rPr>
                    <w:t>瓶/500ml</w:t>
                  </w:r>
                </w:p>
              </w:tc>
              <w:tc>
                <w:tcPr>
                  <w:tcW w:w="1085" w:type="pct"/>
                  <w:tcBorders>
                    <w:tl2br w:val="nil"/>
                    <w:tr2bl w:val="nil"/>
                  </w:tcBorders>
                  <w:shd w:val="clear" w:color="auto" w:fill="auto"/>
                  <w:vAlign w:val="center"/>
                </w:tcPr>
                <w:p w14:paraId="2F87A32E">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sz w:val="21"/>
                      <w:szCs w:val="24"/>
                      <w:lang w:val="en-US" w:eastAsia="zh-CN"/>
                    </w:rPr>
                    <w:t>30</w:t>
                  </w:r>
                </w:p>
              </w:tc>
              <w:tc>
                <w:tcPr>
                  <w:tcW w:w="618" w:type="pct"/>
                  <w:vMerge w:val="continue"/>
                  <w:tcBorders>
                    <w:tl2br w:val="nil"/>
                    <w:tr2bl w:val="nil"/>
                  </w:tcBorders>
                  <w:shd w:val="clear" w:color="auto" w:fill="auto"/>
                  <w:vAlign w:val="center"/>
                </w:tcPr>
                <w:p w14:paraId="18AFBF56">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p>
              </w:tc>
            </w:tr>
            <w:tr w14:paraId="0295DB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737" w:hRule="atLeast"/>
              </w:trPr>
              <w:tc>
                <w:tcPr>
                  <w:tcW w:w="469" w:type="pct"/>
                  <w:tcBorders>
                    <w:tl2br w:val="nil"/>
                    <w:tr2bl w:val="nil"/>
                  </w:tcBorders>
                  <w:shd w:val="clear" w:color="auto" w:fill="auto"/>
                  <w:vAlign w:val="center"/>
                </w:tcPr>
                <w:p w14:paraId="4444064B">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11</w:t>
                  </w:r>
                </w:p>
              </w:tc>
              <w:tc>
                <w:tcPr>
                  <w:tcW w:w="822" w:type="pct"/>
                  <w:tcBorders>
                    <w:tl2br w:val="nil"/>
                    <w:tr2bl w:val="nil"/>
                  </w:tcBorders>
                  <w:shd w:val="clear" w:color="auto" w:fill="auto"/>
                  <w:vAlign w:val="center"/>
                </w:tcPr>
                <w:p w14:paraId="65A78C9A">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ascii="Times New Roman" w:hAnsi="Times New Roman" w:eastAsia="宋体"/>
                      <w:sz w:val="21"/>
                      <w:szCs w:val="24"/>
                    </w:rPr>
                    <w:t>外科口罩</w:t>
                  </w:r>
                </w:p>
              </w:tc>
              <w:tc>
                <w:tcPr>
                  <w:tcW w:w="991" w:type="pct"/>
                  <w:tcBorders>
                    <w:tl2br w:val="nil"/>
                    <w:tr2bl w:val="nil"/>
                  </w:tcBorders>
                  <w:shd w:val="clear" w:color="auto" w:fill="auto"/>
                  <w:vAlign w:val="center"/>
                </w:tcPr>
                <w:p w14:paraId="6645DCBA">
                  <w:pPr>
                    <w:pStyle w:val="21"/>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15000</w:t>
                  </w:r>
                </w:p>
              </w:tc>
              <w:tc>
                <w:tcPr>
                  <w:tcW w:w="1012" w:type="pct"/>
                  <w:tcBorders>
                    <w:tl2br w:val="nil"/>
                    <w:tr2bl w:val="nil"/>
                  </w:tcBorders>
                  <w:shd w:val="clear" w:color="auto" w:fill="auto"/>
                  <w:vAlign w:val="center"/>
                </w:tcPr>
                <w:p w14:paraId="55F302FD">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sz w:val="21"/>
                      <w:szCs w:val="24"/>
                      <w:lang w:val="en-US" w:eastAsia="zh-CN"/>
                    </w:rPr>
                    <w:t>盒</w:t>
                  </w:r>
                </w:p>
              </w:tc>
              <w:tc>
                <w:tcPr>
                  <w:tcW w:w="1085" w:type="pct"/>
                  <w:tcBorders>
                    <w:tl2br w:val="nil"/>
                    <w:tr2bl w:val="nil"/>
                  </w:tcBorders>
                  <w:shd w:val="clear" w:color="auto" w:fill="auto"/>
                  <w:vAlign w:val="center"/>
                </w:tcPr>
                <w:p w14:paraId="15CDF551">
                  <w:pPr>
                    <w:pStyle w:val="21"/>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sz w:val="21"/>
                      <w:szCs w:val="24"/>
                      <w:lang w:val="en-US" w:eastAsia="zh-CN"/>
                    </w:rPr>
                    <w:t>1250</w:t>
                  </w:r>
                </w:p>
              </w:tc>
              <w:tc>
                <w:tcPr>
                  <w:tcW w:w="618" w:type="pct"/>
                  <w:tcBorders>
                    <w:tl2br w:val="nil"/>
                    <w:tr2bl w:val="nil"/>
                  </w:tcBorders>
                  <w:shd w:val="clear" w:color="auto" w:fill="auto"/>
                  <w:vAlign w:val="center"/>
                </w:tcPr>
                <w:p w14:paraId="64365740">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防护</w:t>
                  </w:r>
                </w:p>
              </w:tc>
            </w:tr>
            <w:tr w14:paraId="0AF558C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737" w:hRule="atLeast"/>
              </w:trPr>
              <w:tc>
                <w:tcPr>
                  <w:tcW w:w="469" w:type="pct"/>
                  <w:tcBorders>
                    <w:tl2br w:val="nil"/>
                    <w:tr2bl w:val="nil"/>
                  </w:tcBorders>
                  <w:shd w:val="clear" w:color="auto" w:fill="auto"/>
                  <w:vAlign w:val="center"/>
                </w:tcPr>
                <w:p w14:paraId="52788B5E">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12</w:t>
                  </w:r>
                </w:p>
              </w:tc>
              <w:tc>
                <w:tcPr>
                  <w:tcW w:w="822" w:type="pct"/>
                  <w:tcBorders>
                    <w:tl2br w:val="nil"/>
                    <w:tr2bl w:val="nil"/>
                  </w:tcBorders>
                  <w:shd w:val="clear" w:color="auto" w:fill="auto"/>
                  <w:vAlign w:val="center"/>
                </w:tcPr>
                <w:p w14:paraId="158F500E">
                  <w:pPr>
                    <w:pStyle w:val="21"/>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cs="Times New Roman"/>
                      <w:kern w:val="2"/>
                      <w:sz w:val="21"/>
                      <w:szCs w:val="24"/>
                      <w:lang w:val="en-US" w:eastAsia="zh-CN" w:bidi="ar-SA"/>
                    </w:rPr>
                  </w:pPr>
                  <w:r>
                    <w:rPr>
                      <w:rFonts w:ascii="Times New Roman" w:hAnsi="Times New Roman" w:eastAsia="宋体"/>
                      <w:sz w:val="21"/>
                      <w:szCs w:val="24"/>
                    </w:rPr>
                    <w:t>PE手套【中】</w:t>
                  </w:r>
                </w:p>
              </w:tc>
              <w:tc>
                <w:tcPr>
                  <w:tcW w:w="991" w:type="pct"/>
                  <w:tcBorders>
                    <w:tl2br w:val="nil"/>
                    <w:tr2bl w:val="nil"/>
                  </w:tcBorders>
                  <w:shd w:val="clear" w:color="auto" w:fill="auto"/>
                  <w:vAlign w:val="center"/>
                </w:tcPr>
                <w:p w14:paraId="4CDC6070">
                  <w:pPr>
                    <w:pStyle w:val="21"/>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75</w:t>
                  </w:r>
                </w:p>
              </w:tc>
              <w:tc>
                <w:tcPr>
                  <w:tcW w:w="1012" w:type="pct"/>
                  <w:tcBorders>
                    <w:tl2br w:val="nil"/>
                    <w:tr2bl w:val="nil"/>
                  </w:tcBorders>
                  <w:shd w:val="clear" w:color="auto" w:fill="auto"/>
                  <w:vAlign w:val="center"/>
                </w:tcPr>
                <w:p w14:paraId="321E56C6">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sz w:val="21"/>
                      <w:szCs w:val="24"/>
                      <w:lang w:val="en-US" w:eastAsia="zh-CN"/>
                    </w:rPr>
                    <w:t>盒</w:t>
                  </w:r>
                </w:p>
              </w:tc>
              <w:tc>
                <w:tcPr>
                  <w:tcW w:w="1085" w:type="pct"/>
                  <w:tcBorders>
                    <w:tl2br w:val="nil"/>
                    <w:tr2bl w:val="nil"/>
                  </w:tcBorders>
                  <w:shd w:val="clear" w:color="auto" w:fill="auto"/>
                  <w:vAlign w:val="center"/>
                </w:tcPr>
                <w:p w14:paraId="7DA03071">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sz w:val="21"/>
                      <w:szCs w:val="24"/>
                      <w:lang w:val="en-US" w:eastAsia="zh-CN"/>
                    </w:rPr>
                    <w:t>10</w:t>
                  </w:r>
                </w:p>
              </w:tc>
              <w:tc>
                <w:tcPr>
                  <w:tcW w:w="618" w:type="pct"/>
                  <w:tcBorders>
                    <w:tl2br w:val="nil"/>
                    <w:tr2bl w:val="nil"/>
                  </w:tcBorders>
                  <w:shd w:val="clear" w:color="auto" w:fill="auto"/>
                  <w:vAlign w:val="center"/>
                </w:tcPr>
                <w:p w14:paraId="43BC1B9D">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医用</w:t>
                  </w:r>
                </w:p>
              </w:tc>
            </w:tr>
            <w:tr w14:paraId="2316B8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737" w:hRule="atLeast"/>
              </w:trPr>
              <w:tc>
                <w:tcPr>
                  <w:tcW w:w="469" w:type="pct"/>
                  <w:tcBorders>
                    <w:tl2br w:val="nil"/>
                    <w:tr2bl w:val="nil"/>
                  </w:tcBorders>
                  <w:shd w:val="clear" w:color="auto" w:fill="auto"/>
                  <w:vAlign w:val="center"/>
                </w:tcPr>
                <w:p w14:paraId="26539D1A">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13</w:t>
                  </w:r>
                </w:p>
              </w:tc>
              <w:tc>
                <w:tcPr>
                  <w:tcW w:w="822" w:type="pct"/>
                  <w:tcBorders>
                    <w:tl2br w:val="nil"/>
                    <w:tr2bl w:val="nil"/>
                  </w:tcBorders>
                  <w:shd w:val="clear" w:color="auto" w:fill="auto"/>
                  <w:vAlign w:val="center"/>
                </w:tcPr>
                <w:p w14:paraId="38127D15">
                  <w:pPr>
                    <w:pStyle w:val="21"/>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cs="Times New Roman"/>
                      <w:kern w:val="2"/>
                      <w:sz w:val="21"/>
                      <w:szCs w:val="24"/>
                      <w:lang w:val="en-US" w:eastAsia="zh-CN" w:bidi="ar-SA"/>
                    </w:rPr>
                  </w:pPr>
                  <w:r>
                    <w:rPr>
                      <w:rFonts w:ascii="Times New Roman" w:hAnsi="Times New Roman" w:eastAsia="宋体"/>
                      <w:sz w:val="21"/>
                      <w:szCs w:val="24"/>
                    </w:rPr>
                    <w:t>一次性医用口罩</w:t>
                  </w:r>
                </w:p>
              </w:tc>
              <w:tc>
                <w:tcPr>
                  <w:tcW w:w="991" w:type="pct"/>
                  <w:tcBorders>
                    <w:tl2br w:val="nil"/>
                    <w:tr2bl w:val="nil"/>
                  </w:tcBorders>
                  <w:shd w:val="clear" w:color="auto" w:fill="auto"/>
                  <w:vAlign w:val="center"/>
                </w:tcPr>
                <w:p w14:paraId="5958DAAE">
                  <w:pPr>
                    <w:pStyle w:val="21"/>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25000</w:t>
                  </w:r>
                </w:p>
              </w:tc>
              <w:tc>
                <w:tcPr>
                  <w:tcW w:w="1012" w:type="pct"/>
                  <w:tcBorders>
                    <w:tl2br w:val="nil"/>
                    <w:tr2bl w:val="nil"/>
                  </w:tcBorders>
                  <w:shd w:val="clear" w:color="auto" w:fill="auto"/>
                  <w:vAlign w:val="center"/>
                </w:tcPr>
                <w:p w14:paraId="0440B389">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ascii="Times New Roman" w:hAnsi="Times New Roman" w:eastAsia="宋体"/>
                      <w:sz w:val="21"/>
                      <w:szCs w:val="24"/>
                    </w:rPr>
                    <w:t>个</w:t>
                  </w:r>
                </w:p>
              </w:tc>
              <w:tc>
                <w:tcPr>
                  <w:tcW w:w="1085" w:type="pct"/>
                  <w:tcBorders>
                    <w:tl2br w:val="nil"/>
                    <w:tr2bl w:val="nil"/>
                  </w:tcBorders>
                  <w:shd w:val="clear" w:color="auto" w:fill="auto"/>
                  <w:vAlign w:val="center"/>
                </w:tcPr>
                <w:p w14:paraId="4125A133">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sz w:val="21"/>
                      <w:szCs w:val="24"/>
                      <w:lang w:val="en-US" w:eastAsia="zh-CN"/>
                    </w:rPr>
                    <w:t>2000</w:t>
                  </w:r>
                </w:p>
              </w:tc>
              <w:tc>
                <w:tcPr>
                  <w:tcW w:w="618" w:type="pct"/>
                  <w:tcBorders>
                    <w:tl2br w:val="nil"/>
                    <w:tr2bl w:val="nil"/>
                  </w:tcBorders>
                  <w:shd w:val="clear" w:color="auto" w:fill="auto"/>
                  <w:vAlign w:val="center"/>
                </w:tcPr>
                <w:p w14:paraId="351873B4">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防护</w:t>
                  </w:r>
                </w:p>
              </w:tc>
            </w:tr>
            <w:tr w14:paraId="624A9DA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270" w:hRule="atLeast"/>
              </w:trPr>
              <w:tc>
                <w:tcPr>
                  <w:tcW w:w="469" w:type="pct"/>
                  <w:vMerge w:val="restart"/>
                  <w:tcBorders>
                    <w:tl2br w:val="nil"/>
                    <w:tr2bl w:val="nil"/>
                  </w:tcBorders>
                  <w:shd w:val="clear" w:color="auto" w:fill="auto"/>
                  <w:vAlign w:val="center"/>
                </w:tcPr>
                <w:p w14:paraId="27D5678A">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14</w:t>
                  </w:r>
                </w:p>
              </w:tc>
              <w:tc>
                <w:tcPr>
                  <w:tcW w:w="822" w:type="pct"/>
                  <w:vMerge w:val="restart"/>
                  <w:tcBorders>
                    <w:tl2br w:val="nil"/>
                    <w:tr2bl w:val="nil"/>
                  </w:tcBorders>
                  <w:shd w:val="clear" w:color="auto" w:fill="auto"/>
                  <w:vAlign w:val="center"/>
                </w:tcPr>
                <w:p w14:paraId="4F9A05D1">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ascii="Times New Roman" w:hAnsi="Times New Roman" w:eastAsia="宋体"/>
                      <w:sz w:val="21"/>
                      <w:szCs w:val="24"/>
                    </w:rPr>
                    <w:t>纱布绷带</w:t>
                  </w:r>
                </w:p>
              </w:tc>
              <w:tc>
                <w:tcPr>
                  <w:tcW w:w="991" w:type="pct"/>
                  <w:tcBorders>
                    <w:tl2br w:val="nil"/>
                    <w:tr2bl w:val="nil"/>
                  </w:tcBorders>
                  <w:shd w:val="clear" w:color="auto" w:fill="auto"/>
                  <w:vAlign w:val="center"/>
                </w:tcPr>
                <w:p w14:paraId="78CC0C82">
                  <w:pPr>
                    <w:pStyle w:val="21"/>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160</w:t>
                  </w:r>
                  <w:r>
                    <w:rPr>
                      <w:rFonts w:hint="eastAsia" w:ascii="Times New Roman" w:hAnsi="Times New Roman"/>
                      <w:sz w:val="21"/>
                      <w:szCs w:val="24"/>
                      <w:lang w:val="en-US" w:eastAsia="zh-CN"/>
                    </w:rPr>
                    <w:t>(</w:t>
                  </w:r>
                  <w:r>
                    <w:rPr>
                      <w:rFonts w:hint="eastAsia" w:ascii="Times New Roman" w:hAnsi="Times New Roman" w:eastAsia="宋体"/>
                      <w:sz w:val="21"/>
                      <w:szCs w:val="24"/>
                      <w:lang w:val="en-US" w:eastAsia="zh-CN"/>
                    </w:rPr>
                    <w:t>8cm*10cm</w:t>
                  </w:r>
                  <w:r>
                    <w:rPr>
                      <w:rFonts w:hint="eastAsia" w:ascii="Times New Roman" w:hAnsi="Times New Roman"/>
                      <w:sz w:val="21"/>
                      <w:szCs w:val="24"/>
                      <w:lang w:val="en-US" w:eastAsia="zh-CN"/>
                    </w:rPr>
                    <w:t>)</w:t>
                  </w:r>
                </w:p>
              </w:tc>
              <w:tc>
                <w:tcPr>
                  <w:tcW w:w="1012" w:type="pct"/>
                  <w:tcBorders>
                    <w:tl2br w:val="nil"/>
                    <w:tr2bl w:val="nil"/>
                  </w:tcBorders>
                  <w:shd w:val="clear" w:color="auto" w:fill="auto"/>
                  <w:vAlign w:val="center"/>
                </w:tcPr>
                <w:p w14:paraId="0350B5AD">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sz w:val="21"/>
                      <w:szCs w:val="24"/>
                      <w:lang w:val="en-US" w:eastAsia="zh-CN"/>
                    </w:rPr>
                    <w:t>包</w:t>
                  </w:r>
                </w:p>
              </w:tc>
              <w:tc>
                <w:tcPr>
                  <w:tcW w:w="1085" w:type="pct"/>
                  <w:tcBorders>
                    <w:tl2br w:val="nil"/>
                    <w:tr2bl w:val="nil"/>
                  </w:tcBorders>
                  <w:shd w:val="clear" w:color="auto" w:fill="auto"/>
                  <w:vAlign w:val="center"/>
                </w:tcPr>
                <w:p w14:paraId="188607B9">
                  <w:pPr>
                    <w:pStyle w:val="21"/>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sz w:val="21"/>
                      <w:szCs w:val="24"/>
                      <w:lang w:val="en-US" w:eastAsia="zh-CN"/>
                    </w:rPr>
                    <w:t>15</w:t>
                  </w:r>
                </w:p>
              </w:tc>
              <w:tc>
                <w:tcPr>
                  <w:tcW w:w="618" w:type="pct"/>
                  <w:vMerge w:val="restart"/>
                  <w:tcBorders>
                    <w:tl2br w:val="nil"/>
                    <w:tr2bl w:val="nil"/>
                  </w:tcBorders>
                  <w:shd w:val="clear" w:color="auto" w:fill="auto"/>
                  <w:vAlign w:val="center"/>
                </w:tcPr>
                <w:p w14:paraId="6767D4F5">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注射、输液用</w:t>
                  </w:r>
                </w:p>
              </w:tc>
            </w:tr>
            <w:tr w14:paraId="6E137F1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270" w:hRule="atLeast"/>
              </w:trPr>
              <w:tc>
                <w:tcPr>
                  <w:tcW w:w="469" w:type="pct"/>
                  <w:vMerge w:val="continue"/>
                  <w:tcBorders>
                    <w:tl2br w:val="nil"/>
                    <w:tr2bl w:val="nil"/>
                  </w:tcBorders>
                  <w:shd w:val="clear" w:color="auto" w:fill="auto"/>
                  <w:vAlign w:val="center"/>
                </w:tcPr>
                <w:p w14:paraId="37AB00C7">
                  <w:pPr>
                    <w:keepNext w:val="0"/>
                    <w:keepLines w:val="0"/>
                    <w:pageBreakBefore w:val="0"/>
                    <w:widowControl w:val="0"/>
                    <w:kinsoku/>
                    <w:wordWrap/>
                    <w:overflowPunct/>
                    <w:autoSpaceDE/>
                    <w:autoSpaceDN/>
                    <w:bidi w:val="0"/>
                    <w:adjustRightInd/>
                    <w:jc w:val="center"/>
                    <w:textAlignment w:val="auto"/>
                  </w:pPr>
                </w:p>
              </w:tc>
              <w:tc>
                <w:tcPr>
                  <w:tcW w:w="822" w:type="pct"/>
                  <w:vMerge w:val="continue"/>
                  <w:tcBorders>
                    <w:tl2br w:val="nil"/>
                    <w:tr2bl w:val="nil"/>
                  </w:tcBorders>
                  <w:shd w:val="clear" w:color="auto" w:fill="auto"/>
                  <w:vAlign w:val="center"/>
                </w:tcPr>
                <w:p w14:paraId="19BBE159">
                  <w:pPr>
                    <w:keepNext w:val="0"/>
                    <w:keepLines w:val="0"/>
                    <w:pageBreakBefore w:val="0"/>
                    <w:widowControl w:val="0"/>
                    <w:kinsoku/>
                    <w:wordWrap/>
                    <w:overflowPunct/>
                    <w:autoSpaceDE/>
                    <w:autoSpaceDN/>
                    <w:bidi w:val="0"/>
                    <w:adjustRightInd/>
                    <w:jc w:val="center"/>
                    <w:textAlignment w:val="auto"/>
                  </w:pPr>
                </w:p>
              </w:tc>
              <w:tc>
                <w:tcPr>
                  <w:tcW w:w="991" w:type="pct"/>
                  <w:tcBorders>
                    <w:tl2br w:val="nil"/>
                    <w:tr2bl w:val="nil"/>
                  </w:tcBorders>
                  <w:shd w:val="clear" w:color="auto" w:fill="auto"/>
                  <w:vAlign w:val="center"/>
                </w:tcPr>
                <w:p w14:paraId="4A971E02">
                  <w:pPr>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sz w:val="21"/>
                      <w:szCs w:val="24"/>
                      <w:lang w:val="en-US" w:eastAsia="zh-CN"/>
                    </w:rPr>
                  </w:pPr>
                  <w:r>
                    <w:rPr>
                      <w:rFonts w:hint="eastAsia" w:ascii="Times New Roman" w:hAnsi="Times New Roman" w:eastAsia="宋体"/>
                      <w:sz w:val="21"/>
                      <w:szCs w:val="24"/>
                      <w:lang w:val="en-US" w:eastAsia="zh-CN"/>
                    </w:rPr>
                    <w:t>纱布块</w:t>
                  </w:r>
                  <w:r>
                    <w:rPr>
                      <w:rFonts w:hint="eastAsia"/>
                      <w:sz w:val="21"/>
                      <w:szCs w:val="24"/>
                      <w:lang w:val="en-US" w:eastAsia="zh-CN"/>
                    </w:rPr>
                    <w:t>110</w:t>
                  </w:r>
                </w:p>
              </w:tc>
              <w:tc>
                <w:tcPr>
                  <w:tcW w:w="1012" w:type="pct"/>
                  <w:tcBorders>
                    <w:tl2br w:val="nil"/>
                    <w:tr2bl w:val="nil"/>
                  </w:tcBorders>
                  <w:shd w:val="clear" w:color="auto" w:fill="auto"/>
                  <w:vAlign w:val="center"/>
                </w:tcPr>
                <w:p w14:paraId="3498DDE4">
                  <w:pPr>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sz w:val="21"/>
                      <w:szCs w:val="24"/>
                      <w:lang w:val="en-US" w:eastAsia="zh-CN"/>
                    </w:rPr>
                  </w:pPr>
                  <w:r>
                    <w:rPr>
                      <w:rFonts w:hint="eastAsia" w:ascii="Times New Roman" w:hAnsi="Times New Roman" w:eastAsia="宋体"/>
                      <w:sz w:val="21"/>
                      <w:szCs w:val="24"/>
                      <w:lang w:val="en-US" w:eastAsia="zh-CN"/>
                    </w:rPr>
                    <w:t>块</w:t>
                  </w:r>
                </w:p>
              </w:tc>
              <w:tc>
                <w:tcPr>
                  <w:tcW w:w="1085" w:type="pct"/>
                  <w:tcBorders>
                    <w:tl2br w:val="nil"/>
                    <w:tr2bl w:val="nil"/>
                  </w:tcBorders>
                  <w:shd w:val="clear" w:color="auto" w:fill="auto"/>
                  <w:vAlign w:val="center"/>
                </w:tcPr>
                <w:p w14:paraId="003EE9A7">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sz w:val="21"/>
                      <w:szCs w:val="24"/>
                      <w:lang w:val="en-US" w:eastAsia="zh-CN"/>
                    </w:rPr>
                    <w:t>12</w:t>
                  </w:r>
                </w:p>
              </w:tc>
              <w:tc>
                <w:tcPr>
                  <w:tcW w:w="618" w:type="pct"/>
                  <w:vMerge w:val="continue"/>
                  <w:tcBorders>
                    <w:tl2br w:val="nil"/>
                    <w:tr2bl w:val="nil"/>
                  </w:tcBorders>
                  <w:shd w:val="clear" w:color="auto" w:fill="auto"/>
                  <w:vAlign w:val="center"/>
                </w:tcPr>
                <w:p w14:paraId="7D05DC7B">
                  <w:pPr>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sz w:val="21"/>
                      <w:szCs w:val="24"/>
                      <w:lang w:val="en-US" w:eastAsia="zh-CN"/>
                    </w:rPr>
                  </w:pPr>
                </w:p>
              </w:tc>
            </w:tr>
            <w:tr w14:paraId="69BE4A1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270" w:hRule="atLeast"/>
              </w:trPr>
              <w:tc>
                <w:tcPr>
                  <w:tcW w:w="469" w:type="pct"/>
                  <w:vMerge w:val="continue"/>
                  <w:tcBorders>
                    <w:tl2br w:val="nil"/>
                    <w:tr2bl w:val="nil"/>
                  </w:tcBorders>
                  <w:shd w:val="clear" w:color="auto" w:fill="auto"/>
                  <w:vAlign w:val="center"/>
                </w:tcPr>
                <w:p w14:paraId="387076BA">
                  <w:pPr>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sz w:val="21"/>
                      <w:szCs w:val="24"/>
                      <w:lang w:val="en-US" w:eastAsia="zh-CN"/>
                    </w:rPr>
                  </w:pPr>
                </w:p>
              </w:tc>
              <w:tc>
                <w:tcPr>
                  <w:tcW w:w="822" w:type="pct"/>
                  <w:vMerge w:val="continue"/>
                  <w:tcBorders>
                    <w:tl2br w:val="nil"/>
                    <w:tr2bl w:val="nil"/>
                  </w:tcBorders>
                  <w:shd w:val="clear" w:color="auto" w:fill="auto"/>
                  <w:vAlign w:val="center"/>
                </w:tcPr>
                <w:p w14:paraId="0FECEB1E">
                  <w:pPr>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sz w:val="21"/>
                      <w:szCs w:val="24"/>
                      <w:lang w:val="en-US" w:eastAsia="zh-CN"/>
                    </w:rPr>
                  </w:pPr>
                </w:p>
              </w:tc>
              <w:tc>
                <w:tcPr>
                  <w:tcW w:w="991" w:type="pct"/>
                  <w:tcBorders>
                    <w:tl2br w:val="nil"/>
                    <w:tr2bl w:val="nil"/>
                  </w:tcBorders>
                  <w:shd w:val="clear" w:color="auto" w:fill="auto"/>
                  <w:vAlign w:val="center"/>
                </w:tcPr>
                <w:p w14:paraId="198F8F87">
                  <w:pPr>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sz w:val="21"/>
                      <w:szCs w:val="24"/>
                      <w:lang w:val="en-US" w:eastAsia="zh-CN"/>
                    </w:rPr>
                  </w:pPr>
                  <w:r>
                    <w:rPr>
                      <w:rFonts w:hint="eastAsia" w:ascii="Times New Roman" w:hAnsi="Times New Roman" w:eastAsia="宋体"/>
                      <w:sz w:val="21"/>
                      <w:szCs w:val="24"/>
                      <w:lang w:val="en-US" w:eastAsia="zh-CN"/>
                    </w:rPr>
                    <w:t>5</w:t>
                  </w:r>
                  <w:r>
                    <w:rPr>
                      <w:rFonts w:hint="eastAsia"/>
                      <w:sz w:val="21"/>
                      <w:szCs w:val="24"/>
                      <w:lang w:val="en-US" w:eastAsia="zh-CN"/>
                    </w:rPr>
                    <w:t>(</w:t>
                  </w:r>
                  <w:r>
                    <w:rPr>
                      <w:rFonts w:hint="eastAsia" w:ascii="Times New Roman" w:hAnsi="Times New Roman" w:eastAsia="宋体"/>
                      <w:sz w:val="21"/>
                      <w:szCs w:val="24"/>
                      <w:lang w:val="en-US" w:eastAsia="zh-CN"/>
                    </w:rPr>
                    <w:t>10cm*20cm</w:t>
                  </w:r>
                  <w:r>
                    <w:rPr>
                      <w:rFonts w:hint="eastAsia"/>
                      <w:sz w:val="21"/>
                      <w:szCs w:val="24"/>
                      <w:lang w:val="en-US" w:eastAsia="zh-CN"/>
                    </w:rPr>
                    <w:t>)</w:t>
                  </w:r>
                </w:p>
              </w:tc>
              <w:tc>
                <w:tcPr>
                  <w:tcW w:w="1012" w:type="pct"/>
                  <w:tcBorders>
                    <w:tl2br w:val="nil"/>
                    <w:tr2bl w:val="nil"/>
                  </w:tcBorders>
                  <w:shd w:val="clear" w:color="auto" w:fill="auto"/>
                  <w:vAlign w:val="center"/>
                </w:tcPr>
                <w:p w14:paraId="5EDBCAD3">
                  <w:pPr>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sz w:val="21"/>
                      <w:szCs w:val="24"/>
                      <w:lang w:val="en-US" w:eastAsia="zh-CN"/>
                    </w:rPr>
                  </w:pPr>
                  <w:r>
                    <w:rPr>
                      <w:rFonts w:hint="eastAsia" w:ascii="Times New Roman" w:hAnsi="Times New Roman" w:eastAsia="宋体"/>
                      <w:sz w:val="21"/>
                      <w:szCs w:val="24"/>
                      <w:lang w:val="en-US" w:eastAsia="zh-CN"/>
                    </w:rPr>
                    <w:t>包</w:t>
                  </w:r>
                </w:p>
              </w:tc>
              <w:tc>
                <w:tcPr>
                  <w:tcW w:w="1085" w:type="pct"/>
                  <w:tcBorders>
                    <w:tl2br w:val="nil"/>
                    <w:tr2bl w:val="nil"/>
                  </w:tcBorders>
                  <w:shd w:val="clear" w:color="auto" w:fill="auto"/>
                  <w:vAlign w:val="center"/>
                </w:tcPr>
                <w:p w14:paraId="164205C6">
                  <w:pPr>
                    <w:pStyle w:val="21"/>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sz w:val="21"/>
                      <w:szCs w:val="24"/>
                      <w:lang w:val="en-US" w:eastAsia="zh-CN"/>
                    </w:rPr>
                    <w:t>5</w:t>
                  </w:r>
                </w:p>
              </w:tc>
              <w:tc>
                <w:tcPr>
                  <w:tcW w:w="618" w:type="pct"/>
                  <w:vMerge w:val="continue"/>
                  <w:tcBorders>
                    <w:tl2br w:val="nil"/>
                    <w:tr2bl w:val="nil"/>
                  </w:tcBorders>
                  <w:shd w:val="clear" w:color="auto" w:fill="auto"/>
                  <w:vAlign w:val="center"/>
                </w:tcPr>
                <w:p w14:paraId="488F49B5">
                  <w:pPr>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sz w:val="21"/>
                      <w:szCs w:val="24"/>
                      <w:lang w:val="en-US" w:eastAsia="zh-CN"/>
                    </w:rPr>
                  </w:pPr>
                </w:p>
              </w:tc>
            </w:tr>
            <w:tr w14:paraId="13C2B73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270" w:hRule="atLeast"/>
              </w:trPr>
              <w:tc>
                <w:tcPr>
                  <w:tcW w:w="469" w:type="pct"/>
                  <w:vMerge w:val="continue"/>
                  <w:tcBorders>
                    <w:tl2br w:val="nil"/>
                    <w:tr2bl w:val="nil"/>
                  </w:tcBorders>
                  <w:shd w:val="clear" w:color="auto" w:fill="auto"/>
                  <w:vAlign w:val="center"/>
                </w:tcPr>
                <w:p w14:paraId="05F4BE55">
                  <w:pPr>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sz w:val="21"/>
                      <w:szCs w:val="24"/>
                      <w:lang w:val="en-US" w:eastAsia="zh-CN"/>
                    </w:rPr>
                  </w:pPr>
                </w:p>
              </w:tc>
              <w:tc>
                <w:tcPr>
                  <w:tcW w:w="822" w:type="pct"/>
                  <w:vMerge w:val="continue"/>
                  <w:tcBorders>
                    <w:tl2br w:val="nil"/>
                    <w:tr2bl w:val="nil"/>
                  </w:tcBorders>
                  <w:shd w:val="clear" w:color="auto" w:fill="auto"/>
                  <w:vAlign w:val="center"/>
                </w:tcPr>
                <w:p w14:paraId="16A8550E">
                  <w:pPr>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sz w:val="21"/>
                      <w:szCs w:val="24"/>
                      <w:lang w:val="en-US" w:eastAsia="zh-CN"/>
                    </w:rPr>
                  </w:pPr>
                </w:p>
              </w:tc>
              <w:tc>
                <w:tcPr>
                  <w:tcW w:w="991" w:type="pct"/>
                  <w:tcBorders>
                    <w:tl2br w:val="nil"/>
                    <w:tr2bl w:val="nil"/>
                  </w:tcBorders>
                  <w:shd w:val="clear" w:color="auto" w:fill="auto"/>
                  <w:vAlign w:val="center"/>
                </w:tcPr>
                <w:p w14:paraId="351FA591">
                  <w:pPr>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sz w:val="21"/>
                      <w:szCs w:val="24"/>
                      <w:lang w:val="en-US" w:eastAsia="zh-CN"/>
                    </w:rPr>
                  </w:pPr>
                  <w:r>
                    <w:rPr>
                      <w:rFonts w:hint="eastAsia" w:ascii="Times New Roman" w:hAnsi="Times New Roman" w:eastAsia="宋体"/>
                      <w:sz w:val="21"/>
                      <w:szCs w:val="24"/>
                      <w:lang w:val="en-US" w:eastAsia="zh-CN"/>
                    </w:rPr>
                    <w:t>3470</w:t>
                  </w:r>
                  <w:r>
                    <w:rPr>
                      <w:rFonts w:hint="eastAsia"/>
                      <w:sz w:val="21"/>
                      <w:szCs w:val="24"/>
                      <w:lang w:val="en-US" w:eastAsia="zh-CN"/>
                    </w:rPr>
                    <w:t>(</w:t>
                  </w:r>
                  <w:r>
                    <w:rPr>
                      <w:rFonts w:hint="eastAsia" w:ascii="Times New Roman" w:hAnsi="Times New Roman" w:eastAsia="宋体"/>
                      <w:sz w:val="21"/>
                      <w:szCs w:val="24"/>
                      <w:lang w:val="en-US" w:eastAsia="zh-CN"/>
                    </w:rPr>
                    <w:t>600cm*8cm</w:t>
                  </w:r>
                  <w:r>
                    <w:rPr>
                      <w:rFonts w:hint="eastAsia"/>
                      <w:sz w:val="21"/>
                      <w:szCs w:val="24"/>
                      <w:lang w:val="en-US" w:eastAsia="zh-CN"/>
                    </w:rPr>
                    <w:t>)</w:t>
                  </w:r>
                </w:p>
              </w:tc>
              <w:tc>
                <w:tcPr>
                  <w:tcW w:w="1012" w:type="pct"/>
                  <w:tcBorders>
                    <w:tl2br w:val="nil"/>
                    <w:tr2bl w:val="nil"/>
                  </w:tcBorders>
                  <w:shd w:val="clear" w:color="auto" w:fill="auto"/>
                  <w:vAlign w:val="center"/>
                </w:tcPr>
                <w:p w14:paraId="704484B6">
                  <w:pPr>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sz w:val="21"/>
                      <w:szCs w:val="24"/>
                      <w:lang w:val="en-US" w:eastAsia="zh-CN"/>
                    </w:rPr>
                  </w:pPr>
                  <w:r>
                    <w:rPr>
                      <w:rFonts w:hint="eastAsia" w:ascii="Times New Roman" w:hAnsi="Times New Roman" w:eastAsia="宋体"/>
                      <w:sz w:val="21"/>
                      <w:szCs w:val="24"/>
                      <w:lang w:val="en-US" w:eastAsia="zh-CN"/>
                    </w:rPr>
                    <w:t>卷</w:t>
                  </w:r>
                </w:p>
              </w:tc>
              <w:tc>
                <w:tcPr>
                  <w:tcW w:w="1085" w:type="pct"/>
                  <w:tcBorders>
                    <w:tl2br w:val="nil"/>
                    <w:tr2bl w:val="nil"/>
                  </w:tcBorders>
                  <w:shd w:val="clear" w:color="auto" w:fill="auto"/>
                  <w:vAlign w:val="center"/>
                </w:tcPr>
                <w:p w14:paraId="50C58178">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sz w:val="21"/>
                      <w:szCs w:val="24"/>
                      <w:lang w:val="en-US" w:eastAsia="zh-CN"/>
                    </w:rPr>
                    <w:t>300</w:t>
                  </w:r>
                </w:p>
              </w:tc>
              <w:tc>
                <w:tcPr>
                  <w:tcW w:w="618" w:type="pct"/>
                  <w:vMerge w:val="continue"/>
                  <w:tcBorders>
                    <w:tl2br w:val="nil"/>
                    <w:tr2bl w:val="nil"/>
                  </w:tcBorders>
                  <w:shd w:val="clear" w:color="auto" w:fill="auto"/>
                  <w:vAlign w:val="center"/>
                </w:tcPr>
                <w:p w14:paraId="0E0BC66D">
                  <w:pPr>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sz w:val="21"/>
                      <w:szCs w:val="24"/>
                      <w:lang w:val="en-US" w:eastAsia="zh-CN"/>
                    </w:rPr>
                  </w:pPr>
                </w:p>
              </w:tc>
            </w:tr>
            <w:tr w14:paraId="073A626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270" w:hRule="atLeast"/>
              </w:trPr>
              <w:tc>
                <w:tcPr>
                  <w:tcW w:w="469" w:type="pct"/>
                  <w:vMerge w:val="continue"/>
                  <w:tcBorders>
                    <w:tl2br w:val="nil"/>
                    <w:tr2bl w:val="nil"/>
                  </w:tcBorders>
                  <w:shd w:val="clear" w:color="auto" w:fill="auto"/>
                  <w:vAlign w:val="center"/>
                </w:tcPr>
                <w:p w14:paraId="5CCAE847">
                  <w:pPr>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sz w:val="21"/>
                      <w:szCs w:val="24"/>
                      <w:lang w:val="en-US" w:eastAsia="zh-CN"/>
                    </w:rPr>
                  </w:pPr>
                </w:p>
              </w:tc>
              <w:tc>
                <w:tcPr>
                  <w:tcW w:w="822" w:type="pct"/>
                  <w:vMerge w:val="continue"/>
                  <w:tcBorders>
                    <w:tl2br w:val="nil"/>
                    <w:tr2bl w:val="nil"/>
                  </w:tcBorders>
                  <w:shd w:val="clear" w:color="auto" w:fill="auto"/>
                  <w:vAlign w:val="center"/>
                </w:tcPr>
                <w:p w14:paraId="50FD8C1B">
                  <w:pPr>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sz w:val="21"/>
                      <w:szCs w:val="24"/>
                      <w:lang w:val="en-US" w:eastAsia="zh-CN"/>
                    </w:rPr>
                  </w:pPr>
                </w:p>
              </w:tc>
              <w:tc>
                <w:tcPr>
                  <w:tcW w:w="991" w:type="pct"/>
                  <w:tcBorders>
                    <w:tl2br w:val="nil"/>
                    <w:tr2bl w:val="nil"/>
                  </w:tcBorders>
                  <w:shd w:val="clear" w:color="auto" w:fill="auto"/>
                  <w:vAlign w:val="center"/>
                </w:tcPr>
                <w:p w14:paraId="0C72DBF1">
                  <w:pPr>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sz w:val="21"/>
                      <w:szCs w:val="24"/>
                      <w:lang w:val="en-US" w:eastAsia="zh-CN"/>
                    </w:rPr>
                  </w:pPr>
                  <w:r>
                    <w:rPr>
                      <w:rFonts w:hint="eastAsia" w:ascii="Times New Roman" w:hAnsi="Times New Roman" w:eastAsia="宋体"/>
                      <w:sz w:val="21"/>
                      <w:szCs w:val="24"/>
                      <w:lang w:val="en-US" w:eastAsia="zh-CN"/>
                    </w:rPr>
                    <w:t>360（石膏6寸）</w:t>
                  </w:r>
                </w:p>
              </w:tc>
              <w:tc>
                <w:tcPr>
                  <w:tcW w:w="1012" w:type="pct"/>
                  <w:tcBorders>
                    <w:tl2br w:val="nil"/>
                    <w:tr2bl w:val="nil"/>
                  </w:tcBorders>
                  <w:shd w:val="clear" w:color="auto" w:fill="auto"/>
                  <w:vAlign w:val="center"/>
                </w:tcPr>
                <w:p w14:paraId="63B4E01D">
                  <w:pPr>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sz w:val="21"/>
                      <w:szCs w:val="24"/>
                      <w:lang w:val="en-US" w:eastAsia="zh-CN"/>
                    </w:rPr>
                  </w:pPr>
                  <w:r>
                    <w:rPr>
                      <w:rFonts w:hint="eastAsia" w:ascii="Times New Roman" w:hAnsi="Times New Roman" w:eastAsia="宋体"/>
                      <w:sz w:val="21"/>
                      <w:szCs w:val="24"/>
                      <w:lang w:val="en-US" w:eastAsia="zh-CN"/>
                    </w:rPr>
                    <w:t>卷</w:t>
                  </w:r>
                </w:p>
              </w:tc>
              <w:tc>
                <w:tcPr>
                  <w:tcW w:w="1085" w:type="pct"/>
                  <w:tcBorders>
                    <w:tl2br w:val="nil"/>
                    <w:tr2bl w:val="nil"/>
                  </w:tcBorders>
                  <w:shd w:val="clear" w:color="auto" w:fill="auto"/>
                  <w:vAlign w:val="center"/>
                </w:tcPr>
                <w:p w14:paraId="156B469C">
                  <w:pPr>
                    <w:pStyle w:val="21"/>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sz w:val="21"/>
                      <w:szCs w:val="24"/>
                      <w:lang w:val="en-US" w:eastAsia="zh-CN"/>
                    </w:rPr>
                    <w:t>30</w:t>
                  </w:r>
                </w:p>
              </w:tc>
              <w:tc>
                <w:tcPr>
                  <w:tcW w:w="618" w:type="pct"/>
                  <w:vMerge w:val="continue"/>
                  <w:tcBorders>
                    <w:tl2br w:val="nil"/>
                    <w:tr2bl w:val="nil"/>
                  </w:tcBorders>
                  <w:shd w:val="clear" w:color="auto" w:fill="auto"/>
                  <w:vAlign w:val="center"/>
                </w:tcPr>
                <w:p w14:paraId="0C16B0DC">
                  <w:pPr>
                    <w:keepNext w:val="0"/>
                    <w:keepLines w:val="0"/>
                    <w:pageBreakBefore w:val="0"/>
                    <w:widowControl w:val="0"/>
                    <w:kinsoku/>
                    <w:wordWrap/>
                    <w:overflowPunct/>
                    <w:autoSpaceDE/>
                    <w:autoSpaceDN/>
                    <w:bidi w:val="0"/>
                    <w:adjustRightInd/>
                    <w:jc w:val="center"/>
                    <w:textAlignment w:val="auto"/>
                    <w:rPr>
                      <w:rFonts w:hint="eastAsia" w:ascii="Times New Roman" w:hAnsi="Times New Roman" w:eastAsia="宋体"/>
                      <w:sz w:val="21"/>
                      <w:szCs w:val="24"/>
                      <w:lang w:val="en-US" w:eastAsia="zh-CN"/>
                    </w:rPr>
                  </w:pPr>
                </w:p>
              </w:tc>
            </w:tr>
            <w:tr w14:paraId="10D27D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737" w:hRule="atLeast"/>
              </w:trPr>
              <w:tc>
                <w:tcPr>
                  <w:tcW w:w="469" w:type="pct"/>
                  <w:tcBorders>
                    <w:tl2br w:val="nil"/>
                    <w:tr2bl w:val="nil"/>
                  </w:tcBorders>
                  <w:shd w:val="clear" w:color="auto" w:fill="auto"/>
                  <w:vAlign w:val="center"/>
                </w:tcPr>
                <w:p w14:paraId="405A41D1">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15</w:t>
                  </w:r>
                </w:p>
              </w:tc>
              <w:tc>
                <w:tcPr>
                  <w:tcW w:w="822" w:type="pct"/>
                  <w:tcBorders>
                    <w:tl2br w:val="nil"/>
                    <w:tr2bl w:val="nil"/>
                  </w:tcBorders>
                  <w:shd w:val="clear" w:color="auto" w:fill="auto"/>
                  <w:vAlign w:val="center"/>
                </w:tcPr>
                <w:p w14:paraId="55356BF7">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ascii="Times New Roman" w:hAnsi="Times New Roman" w:eastAsia="宋体"/>
                      <w:sz w:val="21"/>
                      <w:szCs w:val="24"/>
                    </w:rPr>
                    <w:t>体温计</w:t>
                  </w:r>
                </w:p>
              </w:tc>
              <w:tc>
                <w:tcPr>
                  <w:tcW w:w="991" w:type="pct"/>
                  <w:tcBorders>
                    <w:tl2br w:val="nil"/>
                    <w:tr2bl w:val="nil"/>
                  </w:tcBorders>
                  <w:shd w:val="clear" w:color="auto" w:fill="auto"/>
                  <w:vAlign w:val="center"/>
                </w:tcPr>
                <w:p w14:paraId="28AE6DC0">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40</w:t>
                  </w:r>
                </w:p>
              </w:tc>
              <w:tc>
                <w:tcPr>
                  <w:tcW w:w="1012" w:type="pct"/>
                  <w:tcBorders>
                    <w:tl2br w:val="nil"/>
                    <w:tr2bl w:val="nil"/>
                  </w:tcBorders>
                  <w:shd w:val="clear" w:color="auto" w:fill="auto"/>
                  <w:vAlign w:val="center"/>
                </w:tcPr>
                <w:p w14:paraId="2E7C0E0B">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ascii="Times New Roman" w:hAnsi="Times New Roman" w:eastAsia="宋体"/>
                      <w:sz w:val="21"/>
                      <w:szCs w:val="24"/>
                    </w:rPr>
                    <w:t>支</w:t>
                  </w:r>
                </w:p>
              </w:tc>
              <w:tc>
                <w:tcPr>
                  <w:tcW w:w="1085" w:type="pct"/>
                  <w:tcBorders>
                    <w:tl2br w:val="nil"/>
                    <w:tr2bl w:val="nil"/>
                  </w:tcBorders>
                  <w:shd w:val="clear" w:color="auto" w:fill="auto"/>
                  <w:vAlign w:val="center"/>
                </w:tcPr>
                <w:p w14:paraId="7F22C6F4">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sz w:val="21"/>
                      <w:szCs w:val="24"/>
                      <w:lang w:val="en-US" w:eastAsia="zh-CN"/>
                    </w:rPr>
                    <w:t>15</w:t>
                  </w:r>
                </w:p>
              </w:tc>
              <w:tc>
                <w:tcPr>
                  <w:tcW w:w="618" w:type="pct"/>
                  <w:tcBorders>
                    <w:tl2br w:val="nil"/>
                    <w:tr2bl w:val="nil"/>
                  </w:tcBorders>
                  <w:shd w:val="clear" w:color="auto" w:fill="auto"/>
                  <w:vAlign w:val="center"/>
                </w:tcPr>
                <w:p w14:paraId="00F50E4E">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测温</w:t>
                  </w:r>
                </w:p>
              </w:tc>
            </w:tr>
            <w:tr w14:paraId="00B0DA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737" w:hRule="atLeast"/>
              </w:trPr>
              <w:tc>
                <w:tcPr>
                  <w:tcW w:w="469" w:type="pct"/>
                  <w:tcBorders>
                    <w:tl2br w:val="nil"/>
                    <w:tr2bl w:val="nil"/>
                  </w:tcBorders>
                  <w:shd w:val="clear" w:color="auto" w:fill="auto"/>
                  <w:vAlign w:val="center"/>
                </w:tcPr>
                <w:p w14:paraId="42CE19E4">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16</w:t>
                  </w:r>
                </w:p>
              </w:tc>
              <w:tc>
                <w:tcPr>
                  <w:tcW w:w="822" w:type="pct"/>
                  <w:tcBorders>
                    <w:tl2br w:val="nil"/>
                    <w:tr2bl w:val="nil"/>
                  </w:tcBorders>
                  <w:shd w:val="clear" w:color="auto" w:fill="auto"/>
                  <w:vAlign w:val="center"/>
                </w:tcPr>
                <w:p w14:paraId="48E05DC2">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ascii="Times New Roman" w:hAnsi="Times New Roman" w:eastAsia="宋体"/>
                      <w:sz w:val="21"/>
                      <w:szCs w:val="24"/>
                    </w:rPr>
                    <w:t>免洗外科手消毒凝</w:t>
                  </w:r>
                  <w:r>
                    <w:rPr>
                      <w:rFonts w:hint="eastAsia" w:ascii="Times New Roman" w:hAnsi="Times New Roman" w:eastAsia="宋体"/>
                      <w:sz w:val="21"/>
                      <w:szCs w:val="24"/>
                      <w:lang w:val="en-US" w:eastAsia="zh-CN"/>
                    </w:rPr>
                    <w:t>胶</w:t>
                  </w:r>
                </w:p>
              </w:tc>
              <w:tc>
                <w:tcPr>
                  <w:tcW w:w="991" w:type="pct"/>
                  <w:tcBorders>
                    <w:tl2br w:val="nil"/>
                    <w:tr2bl w:val="nil"/>
                  </w:tcBorders>
                  <w:shd w:val="clear" w:color="auto" w:fill="auto"/>
                  <w:vAlign w:val="center"/>
                </w:tcPr>
                <w:p w14:paraId="0FD91EF3">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139</w:t>
                  </w:r>
                </w:p>
              </w:tc>
              <w:tc>
                <w:tcPr>
                  <w:tcW w:w="1012" w:type="pct"/>
                  <w:tcBorders>
                    <w:tl2br w:val="nil"/>
                    <w:tr2bl w:val="nil"/>
                  </w:tcBorders>
                  <w:shd w:val="clear" w:color="auto" w:fill="auto"/>
                  <w:vAlign w:val="center"/>
                </w:tcPr>
                <w:p w14:paraId="2E915721">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ascii="Times New Roman" w:hAnsi="Times New Roman" w:eastAsia="宋体"/>
                      <w:sz w:val="21"/>
                      <w:szCs w:val="24"/>
                    </w:rPr>
                    <w:t>瓶</w:t>
                  </w:r>
                </w:p>
              </w:tc>
              <w:tc>
                <w:tcPr>
                  <w:tcW w:w="1085" w:type="pct"/>
                  <w:tcBorders>
                    <w:tl2br w:val="nil"/>
                    <w:tr2bl w:val="nil"/>
                  </w:tcBorders>
                  <w:shd w:val="clear" w:color="auto" w:fill="auto"/>
                  <w:vAlign w:val="center"/>
                </w:tcPr>
                <w:p w14:paraId="2F207DA5">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sz w:val="21"/>
                      <w:szCs w:val="24"/>
                      <w:lang w:val="en-US" w:eastAsia="zh-CN"/>
                    </w:rPr>
                    <w:t>50</w:t>
                  </w:r>
                </w:p>
              </w:tc>
              <w:tc>
                <w:tcPr>
                  <w:tcW w:w="618" w:type="pct"/>
                  <w:tcBorders>
                    <w:tl2br w:val="nil"/>
                    <w:tr2bl w:val="nil"/>
                  </w:tcBorders>
                  <w:shd w:val="clear" w:color="auto" w:fill="auto"/>
                  <w:vAlign w:val="center"/>
                </w:tcPr>
                <w:p w14:paraId="63436499">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消毒</w:t>
                  </w:r>
                </w:p>
              </w:tc>
            </w:tr>
            <w:tr w14:paraId="7A5725D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737" w:hRule="atLeast"/>
              </w:trPr>
              <w:tc>
                <w:tcPr>
                  <w:tcW w:w="469" w:type="pct"/>
                  <w:vAlign w:val="center"/>
                </w:tcPr>
                <w:p w14:paraId="4F05705C">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17</w:t>
                  </w:r>
                </w:p>
              </w:tc>
              <w:tc>
                <w:tcPr>
                  <w:tcW w:w="822" w:type="pct"/>
                  <w:shd w:val="clear" w:color="auto" w:fill="auto"/>
                  <w:vAlign w:val="center"/>
                </w:tcPr>
                <w:p w14:paraId="6CF94A6D">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ascii="Times New Roman" w:hAnsi="Times New Roman" w:eastAsia="宋体"/>
                      <w:sz w:val="21"/>
                      <w:szCs w:val="24"/>
                    </w:rPr>
                    <w:t>一次性医用帽</w:t>
                  </w:r>
                </w:p>
              </w:tc>
              <w:tc>
                <w:tcPr>
                  <w:tcW w:w="991" w:type="pct"/>
                  <w:shd w:val="clear" w:color="auto" w:fill="auto"/>
                  <w:vAlign w:val="center"/>
                </w:tcPr>
                <w:p w14:paraId="4A44F9A9">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1500</w:t>
                  </w:r>
                </w:p>
              </w:tc>
              <w:tc>
                <w:tcPr>
                  <w:tcW w:w="1012" w:type="pct"/>
                  <w:vAlign w:val="center"/>
                </w:tcPr>
                <w:p w14:paraId="5CD16E16">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ascii="Times New Roman" w:hAnsi="Times New Roman" w:eastAsia="宋体"/>
                      <w:sz w:val="21"/>
                      <w:szCs w:val="24"/>
                    </w:rPr>
                    <w:t>个</w:t>
                  </w:r>
                </w:p>
              </w:tc>
              <w:tc>
                <w:tcPr>
                  <w:tcW w:w="1085" w:type="pct"/>
                  <w:shd w:val="clear" w:color="auto" w:fill="auto"/>
                  <w:vAlign w:val="center"/>
                </w:tcPr>
                <w:p w14:paraId="1D5A148E">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sz w:val="21"/>
                      <w:szCs w:val="24"/>
                      <w:lang w:val="en-US" w:eastAsia="zh-CN"/>
                    </w:rPr>
                    <w:t>200</w:t>
                  </w:r>
                </w:p>
              </w:tc>
              <w:tc>
                <w:tcPr>
                  <w:tcW w:w="618" w:type="pct"/>
                  <w:vMerge w:val="restart"/>
                  <w:vAlign w:val="center"/>
                </w:tcPr>
                <w:p w14:paraId="1600FFC5">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防护</w:t>
                  </w:r>
                </w:p>
              </w:tc>
            </w:tr>
            <w:tr w14:paraId="3303BA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737" w:hRule="atLeast"/>
              </w:trPr>
              <w:tc>
                <w:tcPr>
                  <w:tcW w:w="469" w:type="pct"/>
                  <w:vAlign w:val="center"/>
                </w:tcPr>
                <w:p w14:paraId="6E66A63F">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18</w:t>
                  </w:r>
                </w:p>
              </w:tc>
              <w:tc>
                <w:tcPr>
                  <w:tcW w:w="822" w:type="pct"/>
                  <w:shd w:val="clear" w:color="auto" w:fill="auto"/>
                  <w:vAlign w:val="center"/>
                </w:tcPr>
                <w:p w14:paraId="616157F6">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ascii="Times New Roman" w:hAnsi="Times New Roman" w:eastAsia="宋体"/>
                      <w:sz w:val="21"/>
                      <w:szCs w:val="24"/>
                    </w:rPr>
                    <w:t>外科检查手套</w:t>
                  </w:r>
                </w:p>
              </w:tc>
              <w:tc>
                <w:tcPr>
                  <w:tcW w:w="991" w:type="pct"/>
                  <w:shd w:val="clear" w:color="auto" w:fill="auto"/>
                  <w:vAlign w:val="center"/>
                </w:tcPr>
                <w:p w14:paraId="3F51A93E">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35</w:t>
                  </w:r>
                </w:p>
              </w:tc>
              <w:tc>
                <w:tcPr>
                  <w:tcW w:w="1012" w:type="pct"/>
                  <w:vAlign w:val="center"/>
                </w:tcPr>
                <w:p w14:paraId="6C74516C">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sz w:val="21"/>
                      <w:szCs w:val="24"/>
                      <w:lang w:val="en-US" w:eastAsia="zh-CN"/>
                    </w:rPr>
                    <w:t>盒</w:t>
                  </w:r>
                </w:p>
              </w:tc>
              <w:tc>
                <w:tcPr>
                  <w:tcW w:w="1085" w:type="pct"/>
                  <w:shd w:val="clear" w:color="auto" w:fill="auto"/>
                  <w:vAlign w:val="center"/>
                </w:tcPr>
                <w:p w14:paraId="02AC48A2">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sz w:val="21"/>
                      <w:szCs w:val="24"/>
                      <w:lang w:val="en-US" w:eastAsia="zh-CN"/>
                    </w:rPr>
                    <w:t>35</w:t>
                  </w:r>
                </w:p>
              </w:tc>
              <w:tc>
                <w:tcPr>
                  <w:tcW w:w="618" w:type="pct"/>
                  <w:vMerge w:val="continue"/>
                  <w:vAlign w:val="center"/>
                </w:tcPr>
                <w:p w14:paraId="452721A7">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p>
              </w:tc>
            </w:tr>
            <w:tr w14:paraId="7B2818C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737" w:hRule="atLeast"/>
              </w:trPr>
              <w:tc>
                <w:tcPr>
                  <w:tcW w:w="469" w:type="pct"/>
                  <w:vAlign w:val="center"/>
                </w:tcPr>
                <w:p w14:paraId="3DF2C901">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19</w:t>
                  </w:r>
                </w:p>
              </w:tc>
              <w:tc>
                <w:tcPr>
                  <w:tcW w:w="822" w:type="pct"/>
                  <w:shd w:val="clear" w:color="auto" w:fill="auto"/>
                  <w:vAlign w:val="center"/>
                </w:tcPr>
                <w:p w14:paraId="71D0E4BC">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ascii="Times New Roman" w:hAnsi="Times New Roman" w:eastAsia="宋体"/>
                      <w:sz w:val="21"/>
                      <w:szCs w:val="24"/>
                    </w:rPr>
                    <w:t>非接触式红外线体温计</w:t>
                  </w:r>
                </w:p>
              </w:tc>
              <w:tc>
                <w:tcPr>
                  <w:tcW w:w="991" w:type="pct"/>
                  <w:shd w:val="clear" w:color="auto" w:fill="auto"/>
                  <w:vAlign w:val="center"/>
                </w:tcPr>
                <w:p w14:paraId="33BAEB48">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10</w:t>
                  </w:r>
                </w:p>
              </w:tc>
              <w:tc>
                <w:tcPr>
                  <w:tcW w:w="1012" w:type="pct"/>
                  <w:vAlign w:val="center"/>
                </w:tcPr>
                <w:p w14:paraId="4DD6335F">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ascii="Times New Roman" w:hAnsi="Times New Roman" w:eastAsia="宋体"/>
                      <w:sz w:val="21"/>
                      <w:szCs w:val="24"/>
                    </w:rPr>
                    <w:t>把</w:t>
                  </w:r>
                </w:p>
              </w:tc>
              <w:tc>
                <w:tcPr>
                  <w:tcW w:w="1085" w:type="pct"/>
                  <w:shd w:val="clear" w:color="auto" w:fill="auto"/>
                  <w:vAlign w:val="center"/>
                </w:tcPr>
                <w:p w14:paraId="48B77EB3">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sz w:val="21"/>
                      <w:szCs w:val="24"/>
                      <w:lang w:val="en-US" w:eastAsia="zh-CN"/>
                    </w:rPr>
                    <w:t>10</w:t>
                  </w:r>
                </w:p>
              </w:tc>
              <w:tc>
                <w:tcPr>
                  <w:tcW w:w="618" w:type="pct"/>
                  <w:vAlign w:val="center"/>
                </w:tcPr>
                <w:p w14:paraId="5B9C133B">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测温</w:t>
                  </w:r>
                </w:p>
              </w:tc>
            </w:tr>
            <w:tr w14:paraId="034225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737" w:hRule="atLeast"/>
              </w:trPr>
              <w:tc>
                <w:tcPr>
                  <w:tcW w:w="469" w:type="pct"/>
                  <w:vAlign w:val="center"/>
                </w:tcPr>
                <w:p w14:paraId="5554011A">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20</w:t>
                  </w:r>
                </w:p>
              </w:tc>
              <w:tc>
                <w:tcPr>
                  <w:tcW w:w="822" w:type="pct"/>
                  <w:shd w:val="clear" w:color="auto" w:fill="auto"/>
                  <w:vAlign w:val="center"/>
                </w:tcPr>
                <w:p w14:paraId="040D444E">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ascii="Times New Roman" w:hAnsi="Times New Roman" w:eastAsia="宋体"/>
                      <w:sz w:val="21"/>
                      <w:szCs w:val="24"/>
                    </w:rPr>
                    <w:t>尿试纸</w:t>
                  </w:r>
                </w:p>
              </w:tc>
              <w:tc>
                <w:tcPr>
                  <w:tcW w:w="991" w:type="pct"/>
                  <w:shd w:val="clear" w:color="auto" w:fill="auto"/>
                  <w:vAlign w:val="center"/>
                </w:tcPr>
                <w:p w14:paraId="6B357384">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6000</w:t>
                  </w:r>
                </w:p>
              </w:tc>
              <w:tc>
                <w:tcPr>
                  <w:tcW w:w="1012" w:type="pct"/>
                  <w:vAlign w:val="center"/>
                </w:tcPr>
                <w:p w14:paraId="14A54A20">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ascii="Times New Roman" w:hAnsi="Times New Roman" w:eastAsia="宋体"/>
                      <w:sz w:val="21"/>
                      <w:szCs w:val="24"/>
                    </w:rPr>
                    <w:t>条</w:t>
                  </w:r>
                </w:p>
              </w:tc>
              <w:tc>
                <w:tcPr>
                  <w:tcW w:w="1085" w:type="pct"/>
                  <w:shd w:val="clear" w:color="auto" w:fill="auto"/>
                  <w:vAlign w:val="center"/>
                </w:tcPr>
                <w:p w14:paraId="4245D31C">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sz w:val="21"/>
                      <w:szCs w:val="24"/>
                      <w:lang w:val="en-US" w:eastAsia="zh-CN"/>
                    </w:rPr>
                    <w:t>500</w:t>
                  </w:r>
                </w:p>
              </w:tc>
              <w:tc>
                <w:tcPr>
                  <w:tcW w:w="618" w:type="pct"/>
                  <w:vMerge w:val="restart"/>
                  <w:vAlign w:val="center"/>
                </w:tcPr>
                <w:p w14:paraId="116AB399">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检验</w:t>
                  </w:r>
                </w:p>
              </w:tc>
            </w:tr>
            <w:tr w14:paraId="7AE586A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737" w:hRule="atLeast"/>
              </w:trPr>
              <w:tc>
                <w:tcPr>
                  <w:tcW w:w="469" w:type="pct"/>
                  <w:vAlign w:val="center"/>
                </w:tcPr>
                <w:p w14:paraId="4319836F">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21</w:t>
                  </w:r>
                </w:p>
              </w:tc>
              <w:tc>
                <w:tcPr>
                  <w:tcW w:w="822" w:type="pct"/>
                  <w:shd w:val="clear" w:color="auto" w:fill="auto"/>
                  <w:vAlign w:val="center"/>
                </w:tcPr>
                <w:p w14:paraId="0CA35979">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ascii="Times New Roman" w:hAnsi="Times New Roman" w:eastAsia="宋体"/>
                      <w:sz w:val="21"/>
                      <w:szCs w:val="24"/>
                    </w:rPr>
                    <w:t>离心管</w:t>
                  </w:r>
                  <w:r>
                    <w:rPr>
                      <w:rFonts w:hint="eastAsia" w:ascii="Times New Roman" w:hAnsi="Times New Roman"/>
                      <w:sz w:val="21"/>
                      <w:szCs w:val="24"/>
                      <w:lang w:eastAsia="zh-CN"/>
                    </w:rPr>
                    <w:t>（</w:t>
                  </w:r>
                  <w:r>
                    <w:rPr>
                      <w:rFonts w:ascii="Times New Roman" w:hAnsi="Times New Roman" w:eastAsia="宋体"/>
                      <w:sz w:val="21"/>
                      <w:szCs w:val="24"/>
                    </w:rPr>
                    <w:t>子弹头</w:t>
                  </w:r>
                  <w:r>
                    <w:rPr>
                      <w:rFonts w:hint="eastAsia" w:ascii="Times New Roman" w:hAnsi="Times New Roman"/>
                      <w:sz w:val="21"/>
                      <w:szCs w:val="24"/>
                      <w:lang w:eastAsia="zh-CN"/>
                    </w:rPr>
                    <w:t>）</w:t>
                  </w:r>
                </w:p>
              </w:tc>
              <w:tc>
                <w:tcPr>
                  <w:tcW w:w="991" w:type="pct"/>
                  <w:shd w:val="clear" w:color="auto" w:fill="auto"/>
                  <w:vAlign w:val="center"/>
                </w:tcPr>
                <w:p w14:paraId="45565429">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1</w:t>
                  </w:r>
                </w:p>
              </w:tc>
              <w:tc>
                <w:tcPr>
                  <w:tcW w:w="1012" w:type="pct"/>
                  <w:vAlign w:val="center"/>
                </w:tcPr>
                <w:p w14:paraId="08A281B2">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eastAsia" w:ascii="Times New Roman" w:hAnsi="Times New Roman" w:eastAsia="宋体" w:cs="Times New Roman"/>
                      <w:color w:val="auto"/>
                      <w:sz w:val="21"/>
                      <w:szCs w:val="21"/>
                      <w:lang w:val="en-US" w:eastAsia="zh-CN"/>
                    </w:rPr>
                  </w:pPr>
                  <w:r>
                    <w:rPr>
                      <w:rFonts w:ascii="Times New Roman" w:hAnsi="Times New Roman" w:eastAsia="宋体"/>
                      <w:sz w:val="21"/>
                      <w:szCs w:val="24"/>
                    </w:rPr>
                    <w:t>个</w:t>
                  </w:r>
                </w:p>
              </w:tc>
              <w:tc>
                <w:tcPr>
                  <w:tcW w:w="1085" w:type="pct"/>
                  <w:vAlign w:val="center"/>
                </w:tcPr>
                <w:p w14:paraId="32353E0F">
                  <w:pPr>
                    <w:pStyle w:val="21"/>
                    <w:keepNext w:val="0"/>
                    <w:keepLines w:val="0"/>
                    <w:pageBreakBefore w:val="0"/>
                    <w:widowControl w:val="0"/>
                    <w:kinsoku/>
                    <w:wordWrap/>
                    <w:overflowPunct/>
                    <w:autoSpaceDE/>
                    <w:autoSpaceDN/>
                    <w:bidi w:val="0"/>
                    <w:adjustRightInd/>
                    <w:jc w:val="center"/>
                    <w:textAlignment w:val="auto"/>
                    <w:rPr>
                      <w:rFonts w:hint="default" w:ascii="Times New Roman" w:hAnsi="Times New Roman" w:eastAsia="宋体" w:cs="Times New Roman"/>
                      <w:sz w:val="21"/>
                      <w:szCs w:val="24"/>
                      <w:lang w:val="en-US" w:eastAsia="zh-CN"/>
                    </w:rPr>
                  </w:pPr>
                  <w:r>
                    <w:rPr>
                      <w:rFonts w:hint="eastAsia" w:ascii="Times New Roman" w:hAnsi="Times New Roman" w:eastAsia="宋体" w:cs="Times New Roman"/>
                      <w:sz w:val="21"/>
                      <w:szCs w:val="24"/>
                      <w:lang w:val="en-US" w:eastAsia="zh-CN"/>
                    </w:rPr>
                    <w:t>1</w:t>
                  </w:r>
                </w:p>
              </w:tc>
              <w:tc>
                <w:tcPr>
                  <w:tcW w:w="618" w:type="pct"/>
                  <w:vMerge w:val="continue"/>
                  <w:vAlign w:val="center"/>
                </w:tcPr>
                <w:p w14:paraId="19D965A2">
                  <w:pPr>
                    <w:pStyle w:val="48"/>
                    <w:keepNext w:val="0"/>
                    <w:keepLines w:val="0"/>
                    <w:pageBreakBefore w:val="0"/>
                    <w:widowControl w:val="0"/>
                    <w:suppressLineNumbers w:val="0"/>
                    <w:tabs>
                      <w:tab w:val="left" w:pos="0"/>
                    </w:tabs>
                    <w:kinsoku/>
                    <w:wordWrap/>
                    <w:overflowPunct/>
                    <w:topLinePunct/>
                    <w:autoSpaceDE/>
                    <w:autoSpaceDN/>
                    <w:bidi w:val="0"/>
                    <w:adjustRightInd/>
                    <w:snapToGrid w:val="0"/>
                    <w:spacing w:beforeAutospacing="0" w:after="0" w:afterAutospacing="0" w:line="240" w:lineRule="auto"/>
                    <w:ind w:right="0"/>
                    <w:jc w:val="center"/>
                    <w:textAlignment w:val="auto"/>
                    <w:rPr>
                      <w:rFonts w:hint="default" w:ascii="Times New Roman" w:hAnsi="Times New Roman" w:eastAsia="宋体" w:cs="Times New Roman"/>
                      <w:color w:val="auto"/>
                      <w:sz w:val="21"/>
                      <w:szCs w:val="21"/>
                      <w:lang w:val="en-US" w:eastAsia="zh-CN"/>
                    </w:rPr>
                  </w:pPr>
                </w:p>
              </w:tc>
            </w:tr>
          </w:tbl>
          <w:p w14:paraId="21FCED99">
            <w:pPr>
              <w:pStyle w:val="3"/>
              <w:bidi w:val="0"/>
              <w:ind w:left="0" w:leftChars="0" w:firstLine="0" w:firstLineChars="0"/>
              <w:rPr>
                <w:rFonts w:hint="eastAsia"/>
                <w:color w:val="auto"/>
                <w:highlight w:val="none"/>
              </w:rPr>
            </w:pPr>
            <w:r>
              <w:rPr>
                <w:rFonts w:hint="eastAsia"/>
                <w:color w:val="auto"/>
                <w:highlight w:val="none"/>
                <w:lang w:val="en-US" w:eastAsia="zh-CN"/>
              </w:rPr>
              <w:t>水平衡</w:t>
            </w:r>
          </w:p>
          <w:p w14:paraId="73FE9C8C">
            <w:pPr>
              <w:pStyle w:val="4"/>
              <w:numPr>
                <w:ilvl w:val="2"/>
                <w:numId w:val="1"/>
              </w:numPr>
              <w:bidi w:val="0"/>
              <w:ind w:left="720" w:leftChars="0" w:hanging="720" w:firstLineChars="0"/>
              <w:rPr>
                <w:rFonts w:hint="eastAsia"/>
                <w:color w:val="auto"/>
                <w:highlight w:val="none"/>
                <w:lang w:val="en-US" w:eastAsia="zh-CN"/>
              </w:rPr>
            </w:pPr>
            <w:r>
              <w:rPr>
                <w:rFonts w:hint="eastAsia"/>
                <w:color w:val="auto"/>
                <w:highlight w:val="none"/>
                <w:lang w:val="en-US" w:eastAsia="zh-CN"/>
              </w:rPr>
              <w:t>水平衡</w:t>
            </w:r>
          </w:p>
          <w:p w14:paraId="131B4530">
            <w:pPr>
              <w:pStyle w:val="46"/>
              <w:keepNext w:val="0"/>
              <w:keepLines w:val="0"/>
              <w:pageBreakBefore w:val="0"/>
              <w:widowControl w:val="0"/>
              <w:numPr>
                <w:ilvl w:val="0"/>
                <w:numId w:val="0"/>
              </w:numPr>
              <w:shd w:val="clear"/>
              <w:kinsoku/>
              <w:wordWrap/>
              <w:overflowPunct/>
              <w:topLinePunct w:val="0"/>
              <w:autoSpaceDE w:val="0"/>
              <w:autoSpaceDN w:val="0"/>
              <w:bidi w:val="0"/>
              <w:adjustRightInd/>
              <w:snapToGrid/>
              <w:ind w:firstLine="480" w:firstLineChars="200"/>
              <w:textAlignment w:val="auto"/>
              <w:rPr>
                <w:color w:val="auto"/>
                <w:highlight w:val="none"/>
              </w:rPr>
            </w:pPr>
            <w:r>
              <w:rPr>
                <w:rFonts w:ascii="Times New Roman" w:hAnsi="Times New Roman" w:eastAsia="宋体" w:cs="宋体"/>
                <w:color w:val="auto"/>
                <w:kern w:val="0"/>
                <w:sz w:val="24"/>
                <w:szCs w:val="20"/>
                <w:lang w:val="zh-CN" w:eastAsia="zh-CN" w:bidi="ar-SA"/>
              </w:rPr>
              <w:t>（1）</w:t>
            </w:r>
            <w:r>
              <w:rPr>
                <w:rFonts w:hint="eastAsia"/>
                <w:color w:val="auto"/>
                <w:highlight w:val="none"/>
                <w:lang w:val="en-US" w:eastAsia="zh-CN"/>
              </w:rPr>
              <w:t>医疗</w:t>
            </w:r>
            <w:r>
              <w:rPr>
                <w:rFonts w:hint="eastAsia"/>
                <w:color w:val="auto"/>
                <w:highlight w:val="none"/>
              </w:rPr>
              <w:t>用水</w:t>
            </w:r>
          </w:p>
          <w:p w14:paraId="18964F0C">
            <w:pPr>
              <w:pStyle w:val="46"/>
              <w:keepNext w:val="0"/>
              <w:keepLines w:val="0"/>
              <w:pageBreakBefore w:val="0"/>
              <w:widowControl w:val="0"/>
              <w:kinsoku/>
              <w:wordWrap/>
              <w:overflowPunct/>
              <w:topLinePunct w:val="0"/>
              <w:autoSpaceDE w:val="0"/>
              <w:autoSpaceDN w:val="0"/>
              <w:bidi w:val="0"/>
              <w:adjustRightInd/>
              <w:snapToGrid/>
              <w:ind w:firstLine="480"/>
              <w:textAlignment w:val="auto"/>
              <w:rPr>
                <w:rFonts w:hint="default" w:eastAsia="宋体"/>
                <w:color w:val="auto"/>
                <w:highlight w:val="none"/>
                <w:lang w:val="en-US" w:eastAsia="zh-CN"/>
              </w:rPr>
            </w:pPr>
            <w:r>
              <w:rPr>
                <w:color w:val="auto"/>
                <w:highlight w:val="none"/>
              </w:rPr>
              <w:t>项目</w:t>
            </w:r>
            <w:r>
              <w:rPr>
                <w:rFonts w:hint="eastAsia"/>
                <w:color w:val="auto"/>
                <w:highlight w:val="none"/>
                <w:lang w:val="en-US" w:eastAsia="zh-CN"/>
              </w:rPr>
              <w:t>医疗</w:t>
            </w:r>
            <w:r>
              <w:rPr>
                <w:rFonts w:hint="eastAsia"/>
                <w:color w:val="auto"/>
                <w:highlight w:val="none"/>
              </w:rPr>
              <w:t>用水</w:t>
            </w:r>
            <w:r>
              <w:rPr>
                <w:rFonts w:hint="eastAsia"/>
                <w:color w:val="auto"/>
                <w:highlight w:val="none"/>
                <w:lang w:val="en-US" w:eastAsia="zh-CN"/>
              </w:rPr>
              <w:t>主要</w:t>
            </w:r>
            <w:r>
              <w:rPr>
                <w:rFonts w:hint="eastAsia"/>
                <w:color w:val="auto"/>
                <w:highlight w:val="none"/>
              </w:rPr>
              <w:t>为</w:t>
            </w:r>
            <w:r>
              <w:rPr>
                <w:rFonts w:hint="eastAsia"/>
                <w:color w:val="auto"/>
                <w:highlight w:val="none"/>
                <w:lang w:val="en-US" w:eastAsia="zh-CN"/>
              </w:rPr>
              <w:t>门诊用水、病房用水。</w:t>
            </w:r>
          </w:p>
          <w:p w14:paraId="0F4ACE9E">
            <w:pPr>
              <w:pStyle w:val="46"/>
              <w:keepNext w:val="0"/>
              <w:keepLines w:val="0"/>
              <w:pageBreakBefore w:val="0"/>
              <w:widowControl w:val="0"/>
              <w:kinsoku/>
              <w:wordWrap/>
              <w:overflowPunct/>
              <w:topLinePunct w:val="0"/>
              <w:autoSpaceDE w:val="0"/>
              <w:autoSpaceDN w:val="0"/>
              <w:bidi w:val="0"/>
              <w:adjustRightInd/>
              <w:snapToGrid/>
              <w:ind w:firstLine="480"/>
              <w:textAlignment w:val="auto"/>
              <w:rPr>
                <w:rFonts w:hint="eastAsia" w:eastAsia="宋体"/>
                <w:color w:val="auto"/>
                <w:highlight w:val="none"/>
                <w:lang w:eastAsia="zh-CN"/>
              </w:rPr>
            </w:pPr>
            <w:r>
              <w:rPr>
                <w:rFonts w:hint="eastAsia"/>
                <w:color w:val="auto"/>
                <w:highlight w:val="none"/>
              </w:rPr>
              <w:t>①</w:t>
            </w:r>
            <w:r>
              <w:rPr>
                <w:rFonts w:hint="eastAsia"/>
                <w:color w:val="auto"/>
                <w:highlight w:val="none"/>
                <w:lang w:val="en-US" w:eastAsia="zh-CN"/>
              </w:rPr>
              <w:t>门诊</w:t>
            </w:r>
            <w:r>
              <w:rPr>
                <w:rFonts w:hint="eastAsia"/>
                <w:color w:val="auto"/>
                <w:highlight w:val="none"/>
              </w:rPr>
              <w:t>废水W</w:t>
            </w:r>
            <w:r>
              <w:rPr>
                <w:rFonts w:hint="eastAsia"/>
                <w:color w:val="auto"/>
                <w:highlight w:val="none"/>
                <w:lang w:val="en-US" w:eastAsia="zh-CN"/>
              </w:rPr>
              <w:t>1</w:t>
            </w:r>
          </w:p>
          <w:p w14:paraId="2659CF24">
            <w:pPr>
              <w:pStyle w:val="46"/>
              <w:keepNext w:val="0"/>
              <w:keepLines w:val="0"/>
              <w:pageBreakBefore w:val="0"/>
              <w:widowControl w:val="0"/>
              <w:kinsoku/>
              <w:wordWrap/>
              <w:overflowPunct/>
              <w:topLinePunct w:val="0"/>
              <w:autoSpaceDE w:val="0"/>
              <w:autoSpaceDN w:val="0"/>
              <w:bidi w:val="0"/>
              <w:adjustRightInd/>
              <w:snapToGrid/>
              <w:ind w:firstLine="480"/>
              <w:textAlignment w:val="auto"/>
              <w:rPr>
                <w:rFonts w:hint="eastAsia"/>
                <w:color w:val="auto"/>
                <w:highlight w:val="none"/>
              </w:rPr>
            </w:pPr>
            <w:r>
              <w:rPr>
                <w:rFonts w:hint="eastAsia"/>
                <w:color w:val="auto"/>
                <w:highlight w:val="none"/>
              </w:rPr>
              <w:t>根据</w:t>
            </w:r>
            <w:r>
              <w:rPr>
                <w:rFonts w:hint="eastAsia"/>
                <w:color w:val="auto"/>
                <w:highlight w:val="none"/>
                <w:lang w:val="en-US" w:eastAsia="zh-CN"/>
              </w:rPr>
              <w:t>建设单位</w:t>
            </w:r>
            <w:r>
              <w:rPr>
                <w:rFonts w:hint="eastAsia"/>
                <w:color w:val="auto"/>
                <w:highlight w:val="none"/>
              </w:rPr>
              <w:t>提供</w:t>
            </w:r>
            <w:r>
              <w:rPr>
                <w:rFonts w:hint="eastAsia"/>
                <w:color w:val="auto"/>
                <w:highlight w:val="none"/>
                <w:lang w:eastAsia="zh-CN"/>
              </w:rPr>
              <w:t>的信息，</w:t>
            </w:r>
            <w:r>
              <w:rPr>
                <w:rFonts w:hint="eastAsia"/>
                <w:color w:val="auto"/>
                <w:highlight w:val="none"/>
              </w:rPr>
              <w:t>医院原门诊量约</w:t>
            </w:r>
            <w:r>
              <w:rPr>
                <w:rFonts w:hint="eastAsia"/>
                <w:color w:val="auto"/>
                <w:highlight w:val="none"/>
                <w:lang w:val="en-US" w:eastAsia="zh-CN"/>
              </w:rPr>
              <w:t>337</w:t>
            </w:r>
            <w:r>
              <w:rPr>
                <w:rFonts w:hint="eastAsia"/>
                <w:b w:val="0"/>
                <w:bCs w:val="0"/>
                <w:color w:val="auto"/>
                <w:highlight w:val="none"/>
              </w:rPr>
              <w:t>人/d</w:t>
            </w:r>
            <w:r>
              <w:rPr>
                <w:rFonts w:hint="eastAsia"/>
                <w:color w:val="auto"/>
                <w:highlight w:val="none"/>
              </w:rPr>
              <w:t>，项目</w:t>
            </w:r>
            <w:r>
              <w:rPr>
                <w:rFonts w:hint="eastAsia"/>
                <w:color w:val="auto"/>
                <w:highlight w:val="none"/>
                <w:lang w:val="en-US" w:eastAsia="zh-CN"/>
              </w:rPr>
              <w:t>迁建</w:t>
            </w:r>
            <w:r>
              <w:rPr>
                <w:rFonts w:hint="eastAsia"/>
                <w:color w:val="auto"/>
                <w:highlight w:val="none"/>
              </w:rPr>
              <w:t>后全院最大门诊量预计</w:t>
            </w:r>
            <w:r>
              <w:rPr>
                <w:rFonts w:hint="eastAsia"/>
                <w:color w:val="auto"/>
                <w:highlight w:val="none"/>
                <w:lang w:eastAsia="zh-CN"/>
              </w:rPr>
              <w:t>为642</w:t>
            </w:r>
            <w:r>
              <w:rPr>
                <w:rFonts w:hint="eastAsia"/>
                <w:color w:val="auto"/>
                <w:highlight w:val="none"/>
              </w:rPr>
              <w:t>人/d。根据《</w:t>
            </w:r>
            <w:r>
              <w:rPr>
                <w:rFonts w:hint="eastAsia"/>
                <w:color w:val="auto"/>
                <w:highlight w:val="none"/>
                <w:lang w:eastAsia="zh-CN"/>
              </w:rPr>
              <w:t>综合医院建筑设计标准</w:t>
            </w:r>
            <w:r>
              <w:rPr>
                <w:rFonts w:hint="eastAsia"/>
                <w:color w:val="auto"/>
                <w:highlight w:val="none"/>
              </w:rPr>
              <w:t>》</w:t>
            </w:r>
            <w:r>
              <w:rPr>
                <w:rFonts w:hint="eastAsia"/>
                <w:color w:val="auto"/>
                <w:highlight w:val="none"/>
                <w:lang w:eastAsia="zh-CN"/>
              </w:rPr>
              <w:t>GB 51039-2014</w:t>
            </w:r>
            <w:r>
              <w:rPr>
                <w:rFonts w:hint="eastAsia"/>
                <w:color w:val="auto"/>
                <w:highlight w:val="none"/>
              </w:rPr>
              <w:t>和《医院污水处理工程技术规范》</w:t>
            </w:r>
            <w:r>
              <w:rPr>
                <w:rFonts w:hint="eastAsia"/>
                <w:color w:val="auto"/>
                <w:highlight w:val="none"/>
                <w:lang w:eastAsia="zh-CN"/>
              </w:rPr>
              <w:t>（</w:t>
            </w:r>
            <w:r>
              <w:rPr>
                <w:rFonts w:hint="eastAsia"/>
                <w:color w:val="auto"/>
                <w:highlight w:val="none"/>
              </w:rPr>
              <w:t>HJ2029-2013</w:t>
            </w:r>
            <w:r>
              <w:rPr>
                <w:rFonts w:hint="eastAsia"/>
                <w:color w:val="auto"/>
                <w:highlight w:val="none"/>
                <w:lang w:eastAsia="zh-CN"/>
              </w:rPr>
              <w:t>）</w:t>
            </w:r>
            <w:r>
              <w:rPr>
                <w:rFonts w:hint="eastAsia"/>
                <w:color w:val="auto"/>
                <w:highlight w:val="none"/>
              </w:rPr>
              <w:t>的相关规定，门诊用水按15L/人</w:t>
            </w:r>
            <w:r>
              <w:rPr>
                <w:rFonts w:hint="eastAsia"/>
                <w:color w:val="auto"/>
                <w:highlight w:val="none"/>
                <w:lang w:eastAsia="zh-CN"/>
              </w:rPr>
              <w:t>·</w:t>
            </w:r>
            <w:r>
              <w:rPr>
                <w:rFonts w:hint="eastAsia"/>
                <w:color w:val="auto"/>
                <w:highlight w:val="none"/>
              </w:rPr>
              <w:t>d计，则门诊用水量为</w:t>
            </w:r>
            <w:r>
              <w:rPr>
                <w:rFonts w:hint="eastAsia"/>
                <w:color w:val="auto"/>
                <w:highlight w:val="none"/>
                <w:lang w:val="en-US" w:eastAsia="zh-CN"/>
              </w:rPr>
              <w:t>9.63</w:t>
            </w:r>
            <w:r>
              <w:rPr>
                <w:rFonts w:hint="eastAsia"/>
                <w:color w:val="auto"/>
                <w:highlight w:val="none"/>
              </w:rPr>
              <w:t>m</w:t>
            </w:r>
            <w:r>
              <w:rPr>
                <w:rFonts w:hint="eastAsia"/>
                <w:color w:val="auto"/>
                <w:highlight w:val="none"/>
                <w:vertAlign w:val="superscript"/>
              </w:rPr>
              <w:t>3</w:t>
            </w:r>
            <w:r>
              <w:rPr>
                <w:rFonts w:hint="eastAsia"/>
                <w:color w:val="auto"/>
                <w:highlight w:val="none"/>
              </w:rPr>
              <w:t>/d(</w:t>
            </w:r>
            <w:r>
              <w:rPr>
                <w:rFonts w:hint="eastAsia"/>
                <w:color w:val="auto"/>
                <w:highlight w:val="none"/>
                <w:lang w:val="en-US" w:eastAsia="zh-CN"/>
              </w:rPr>
              <w:t>3514.95</w:t>
            </w:r>
            <w:r>
              <w:rPr>
                <w:rFonts w:hint="eastAsia"/>
                <w:color w:val="auto"/>
                <w:highlight w:val="none"/>
              </w:rPr>
              <w:t>m</w:t>
            </w:r>
            <w:r>
              <w:rPr>
                <w:rFonts w:hint="eastAsia"/>
                <w:color w:val="auto"/>
                <w:highlight w:val="none"/>
                <w:vertAlign w:val="superscript"/>
              </w:rPr>
              <w:t>3</w:t>
            </w:r>
            <w:r>
              <w:rPr>
                <w:rFonts w:hint="eastAsia"/>
                <w:color w:val="auto"/>
                <w:highlight w:val="none"/>
              </w:rPr>
              <w:t>/a</w:t>
            </w:r>
            <w:r>
              <w:rPr>
                <w:rFonts w:hint="eastAsia"/>
                <w:color w:val="auto"/>
                <w:highlight w:val="none"/>
                <w:lang w:eastAsia="zh-CN"/>
              </w:rPr>
              <w:t>）</w:t>
            </w:r>
            <w:r>
              <w:rPr>
                <w:rFonts w:hint="eastAsia"/>
                <w:color w:val="auto"/>
                <w:highlight w:val="none"/>
              </w:rPr>
              <w:t>，产污系数取0.85，则门诊废水产生量为</w:t>
            </w:r>
            <w:r>
              <w:rPr>
                <w:rFonts w:hint="eastAsia"/>
                <w:color w:val="auto"/>
                <w:highlight w:val="none"/>
                <w:lang w:val="en-US" w:eastAsia="zh-CN"/>
              </w:rPr>
              <w:t>8.186</w:t>
            </w:r>
            <w:r>
              <w:rPr>
                <w:rFonts w:hint="eastAsia"/>
                <w:color w:val="auto"/>
                <w:highlight w:val="none"/>
              </w:rPr>
              <w:t>m</w:t>
            </w:r>
            <w:r>
              <w:rPr>
                <w:rFonts w:hint="eastAsia"/>
                <w:color w:val="auto"/>
                <w:highlight w:val="none"/>
                <w:vertAlign w:val="superscript"/>
              </w:rPr>
              <w:t>3</w:t>
            </w:r>
            <w:r>
              <w:rPr>
                <w:rFonts w:hint="eastAsia"/>
                <w:color w:val="auto"/>
                <w:highlight w:val="none"/>
              </w:rPr>
              <w:t>/d (</w:t>
            </w:r>
            <w:r>
              <w:rPr>
                <w:rFonts w:hint="eastAsia"/>
                <w:color w:val="auto"/>
                <w:highlight w:val="none"/>
                <w:lang w:val="en-US" w:eastAsia="zh-CN"/>
              </w:rPr>
              <w:t>2987.71</w:t>
            </w:r>
            <w:r>
              <w:rPr>
                <w:rFonts w:hint="eastAsia"/>
                <w:color w:val="auto"/>
                <w:highlight w:val="none"/>
              </w:rPr>
              <w:t>m</w:t>
            </w:r>
            <w:r>
              <w:rPr>
                <w:rFonts w:hint="eastAsia"/>
                <w:color w:val="auto"/>
                <w:highlight w:val="none"/>
                <w:vertAlign w:val="superscript"/>
                <w:lang w:val="en-US" w:eastAsia="zh-CN"/>
              </w:rPr>
              <w:t>3</w:t>
            </w:r>
            <w:r>
              <w:rPr>
                <w:rFonts w:hint="eastAsia"/>
                <w:color w:val="auto"/>
                <w:highlight w:val="none"/>
              </w:rPr>
              <w:t>/a</w:t>
            </w:r>
            <w:r>
              <w:rPr>
                <w:rFonts w:hint="eastAsia"/>
                <w:color w:val="auto"/>
                <w:highlight w:val="none"/>
                <w:lang w:eastAsia="zh-CN"/>
              </w:rPr>
              <w:t>)</w:t>
            </w:r>
            <w:r>
              <w:rPr>
                <w:rFonts w:hint="eastAsia"/>
                <w:color w:val="auto"/>
                <w:highlight w:val="none"/>
              </w:rPr>
              <w:t>。</w:t>
            </w:r>
          </w:p>
          <w:p w14:paraId="7BADC8D6">
            <w:pPr>
              <w:pStyle w:val="46"/>
              <w:keepNext w:val="0"/>
              <w:keepLines w:val="0"/>
              <w:pageBreakBefore w:val="0"/>
              <w:widowControl w:val="0"/>
              <w:kinsoku/>
              <w:wordWrap/>
              <w:overflowPunct/>
              <w:topLinePunct w:val="0"/>
              <w:autoSpaceDE w:val="0"/>
              <w:autoSpaceDN w:val="0"/>
              <w:bidi w:val="0"/>
              <w:adjustRightInd/>
              <w:snapToGrid/>
              <w:ind w:firstLine="480"/>
              <w:textAlignment w:val="auto"/>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②</w:t>
            </w:r>
            <w:r>
              <w:rPr>
                <w:rFonts w:hint="eastAsia"/>
                <w:color w:val="000000" w:themeColor="text1"/>
                <w:highlight w:val="none"/>
                <w:lang w:val="en-US" w:eastAsia="zh-CN"/>
                <w14:textFill>
                  <w14:solidFill>
                    <w14:schemeClr w14:val="tx1"/>
                  </w14:solidFill>
                </w14:textFill>
              </w:rPr>
              <w:t>病房</w:t>
            </w:r>
            <w:r>
              <w:rPr>
                <w:rFonts w:hint="eastAsia"/>
                <w:color w:val="000000" w:themeColor="text1"/>
                <w:highlight w:val="none"/>
                <w14:textFill>
                  <w14:solidFill>
                    <w14:schemeClr w14:val="tx1"/>
                  </w14:solidFill>
                </w14:textFill>
              </w:rPr>
              <w:t>废水W</w:t>
            </w:r>
            <w:r>
              <w:rPr>
                <w:rFonts w:hint="eastAsia"/>
                <w:color w:val="000000" w:themeColor="text1"/>
                <w:highlight w:val="none"/>
                <w:lang w:val="en-US" w:eastAsia="zh-CN"/>
                <w14:textFill>
                  <w14:solidFill>
                    <w14:schemeClr w14:val="tx1"/>
                  </w14:solidFill>
                </w14:textFill>
              </w:rPr>
              <w:t>2</w:t>
            </w:r>
          </w:p>
          <w:p w14:paraId="66D8F759">
            <w:pPr>
              <w:pStyle w:val="46"/>
              <w:keepNext w:val="0"/>
              <w:keepLines w:val="0"/>
              <w:pageBreakBefore w:val="0"/>
              <w:widowControl w:val="0"/>
              <w:kinsoku/>
              <w:wordWrap/>
              <w:overflowPunct/>
              <w:topLinePunct w:val="0"/>
              <w:autoSpaceDE w:val="0"/>
              <w:autoSpaceDN w:val="0"/>
              <w:bidi w:val="0"/>
              <w:adjustRightInd/>
              <w:snapToGrid/>
              <w:ind w:firstLine="48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w:t>
            </w:r>
            <w:r>
              <w:rPr>
                <w:rFonts w:hint="eastAsia"/>
                <w:color w:val="auto"/>
                <w:highlight w:val="none"/>
                <w:lang w:val="en-US" w:eastAsia="zh-CN"/>
              </w:rPr>
              <w:t>建设单位</w:t>
            </w:r>
            <w:r>
              <w:rPr>
                <w:rFonts w:hint="eastAsia"/>
                <w:color w:val="000000" w:themeColor="text1"/>
                <w:highlight w:val="none"/>
                <w14:textFill>
                  <w14:solidFill>
                    <w14:schemeClr w14:val="tx1"/>
                  </w14:solidFill>
                </w14:textFill>
              </w:rPr>
              <w:t>提供</w:t>
            </w:r>
            <w:r>
              <w:rPr>
                <w:rFonts w:hint="eastAsia"/>
                <w:color w:val="000000" w:themeColor="text1"/>
                <w:highlight w:val="none"/>
                <w:lang w:eastAsia="zh-CN"/>
                <w14:textFill>
                  <w14:solidFill>
                    <w14:schemeClr w14:val="tx1"/>
                  </w14:solidFill>
                </w14:textFill>
              </w:rPr>
              <w:t>的信息，</w:t>
            </w:r>
            <w:r>
              <w:rPr>
                <w:rFonts w:hint="eastAsia"/>
                <w:color w:val="000000" w:themeColor="text1"/>
                <w:highlight w:val="none"/>
                <w14:textFill>
                  <w14:solidFill>
                    <w14:schemeClr w14:val="tx1"/>
                  </w14:solidFill>
                </w14:textFill>
              </w:rPr>
              <w:t>原项目床位数为</w:t>
            </w:r>
            <w:r>
              <w:rPr>
                <w:rFonts w:hint="eastAsia"/>
                <w:color w:val="000000" w:themeColor="text1"/>
                <w:highlight w:val="none"/>
                <w:lang w:val="en-US" w:eastAsia="zh-CN"/>
                <w14:textFill>
                  <w14:solidFill>
                    <w14:schemeClr w14:val="tx1"/>
                  </w14:solidFill>
                </w14:textFill>
              </w:rPr>
              <w:t>70</w:t>
            </w:r>
            <w:r>
              <w:rPr>
                <w:rFonts w:hint="eastAsia"/>
                <w:color w:val="000000" w:themeColor="text1"/>
                <w:highlight w:val="none"/>
                <w14:textFill>
                  <w14:solidFill>
                    <w14:schemeClr w14:val="tx1"/>
                  </w14:solidFill>
                </w14:textFill>
              </w:rPr>
              <w:t>张，项目</w:t>
            </w:r>
            <w:r>
              <w:rPr>
                <w:rFonts w:hint="eastAsia"/>
                <w:color w:val="000000" w:themeColor="text1"/>
                <w:highlight w:val="none"/>
                <w:lang w:val="en-US" w:eastAsia="zh-CN"/>
                <w14:textFill>
                  <w14:solidFill>
                    <w14:schemeClr w14:val="tx1"/>
                  </w14:solidFill>
                </w14:textFill>
              </w:rPr>
              <w:t>迁建</w:t>
            </w:r>
            <w:r>
              <w:rPr>
                <w:rFonts w:hint="eastAsia"/>
                <w:color w:val="000000" w:themeColor="text1"/>
                <w:highlight w:val="none"/>
                <w14:textFill>
                  <w14:solidFill>
                    <w14:schemeClr w14:val="tx1"/>
                  </w14:solidFill>
                </w14:textFill>
              </w:rPr>
              <w:t>后，全院共设床位</w:t>
            </w:r>
            <w:r>
              <w:rPr>
                <w:rFonts w:hint="eastAsia"/>
                <w:color w:val="000000" w:themeColor="text1"/>
                <w:highlight w:val="none"/>
                <w:lang w:val="en-US" w:eastAsia="zh-CN"/>
                <w14:textFill>
                  <w14:solidFill>
                    <w14:schemeClr w14:val="tx1"/>
                  </w14:solidFill>
                </w14:textFill>
              </w:rPr>
              <w:t>270</w:t>
            </w:r>
            <w:r>
              <w:rPr>
                <w:rFonts w:hint="eastAsia"/>
                <w:color w:val="000000" w:themeColor="text1"/>
                <w:highlight w:val="none"/>
                <w14:textFill>
                  <w14:solidFill>
                    <w14:schemeClr w14:val="tx1"/>
                  </w14:solidFill>
                </w14:textFill>
              </w:rPr>
              <w:t>张。根据《</w:t>
            </w:r>
            <w:r>
              <w:rPr>
                <w:rFonts w:hint="eastAsia"/>
                <w:color w:val="000000" w:themeColor="text1"/>
                <w:highlight w:val="none"/>
                <w:lang w:eastAsia="zh-CN"/>
                <w14:textFill>
                  <w14:solidFill>
                    <w14:schemeClr w14:val="tx1"/>
                  </w14:solidFill>
                </w14:textFill>
              </w:rPr>
              <w:t>综合医院建筑设计标准</w:t>
            </w:r>
            <w:r>
              <w:rPr>
                <w:rFonts w:hint="eastAsia"/>
                <w:color w:val="000000" w:themeColor="text1"/>
                <w:highlight w:val="none"/>
                <w14:textFill>
                  <w14:solidFill>
                    <w14:schemeClr w14:val="tx1"/>
                  </w14:solidFill>
                </w14:textFill>
              </w:rPr>
              <w:t>》</w:t>
            </w:r>
            <w:r>
              <w:rPr>
                <w:rFonts w:hint="eastAsia"/>
                <w:color w:val="000000" w:themeColor="text1"/>
                <w:highlight w:val="none"/>
                <w:lang w:eastAsia="zh-CN"/>
                <w14:textFill>
                  <w14:solidFill>
                    <w14:schemeClr w14:val="tx1"/>
                  </w14:solidFill>
                </w14:textFill>
              </w:rPr>
              <w:t>GB 51039-2014</w:t>
            </w:r>
            <w:r>
              <w:rPr>
                <w:rFonts w:hint="eastAsia"/>
                <w:color w:val="000000" w:themeColor="text1"/>
                <w:highlight w:val="none"/>
                <w14:textFill>
                  <w14:solidFill>
                    <w14:schemeClr w14:val="tx1"/>
                  </w14:solidFill>
                </w14:textFill>
              </w:rPr>
              <w:t>和《医院污水处理工程技术规范》</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HJ2029-2013</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的相关规定，病房用水按400L/</w:t>
            </w:r>
            <w:r>
              <w:rPr>
                <w:rFonts w:hint="eastAsia"/>
                <w:color w:val="000000" w:themeColor="text1"/>
                <w:highlight w:val="none"/>
                <w:lang w:val="en-US" w:eastAsia="zh-CN"/>
                <w14:textFill>
                  <w14:solidFill>
                    <w14:schemeClr w14:val="tx1"/>
                  </w14:solidFill>
                </w14:textFill>
              </w:rPr>
              <w:t>床·</w:t>
            </w:r>
            <w:r>
              <w:rPr>
                <w:rFonts w:hint="eastAsia"/>
                <w:color w:val="000000" w:themeColor="text1"/>
                <w:highlight w:val="none"/>
                <w14:textFill>
                  <w14:solidFill>
                    <w14:schemeClr w14:val="tx1"/>
                  </w14:solidFill>
                </w14:textFill>
              </w:rPr>
              <w:t>d计，</w:t>
            </w:r>
            <w:r>
              <w:rPr>
                <w:rFonts w:hint="eastAsia"/>
                <w:color w:val="000000" w:themeColor="text1"/>
                <w:highlight w:val="none"/>
                <w:lang w:val="en-US" w:eastAsia="zh-CN"/>
                <w14:textFill>
                  <w14:solidFill>
                    <w14:schemeClr w14:val="tx1"/>
                  </w14:solidFill>
                </w14:textFill>
              </w:rPr>
              <w:t>由于项目为迁建项目（以床位270张计），</w:t>
            </w:r>
            <w:r>
              <w:rPr>
                <w:rFonts w:hint="eastAsia"/>
                <w:color w:val="000000" w:themeColor="text1"/>
                <w:highlight w:val="none"/>
                <w14:textFill>
                  <w14:solidFill>
                    <w14:schemeClr w14:val="tx1"/>
                  </w14:solidFill>
                </w14:textFill>
              </w:rPr>
              <w:t>则病房用水量为</w:t>
            </w:r>
            <w:r>
              <w:rPr>
                <w:rFonts w:hint="eastAsia"/>
                <w:color w:val="000000" w:themeColor="text1"/>
                <w:highlight w:val="none"/>
                <w:lang w:val="en-US" w:eastAsia="zh-CN"/>
                <w14:textFill>
                  <w14:solidFill>
                    <w14:schemeClr w14:val="tx1"/>
                  </w14:solidFill>
                </w14:textFill>
              </w:rPr>
              <w:t>108</w:t>
            </w:r>
            <w:r>
              <w:rPr>
                <w:rFonts w:hint="eastAsia"/>
                <w:color w:val="000000" w:themeColor="text1"/>
                <w:highlight w:val="none"/>
                <w14:textFill>
                  <w14:solidFill>
                    <w14:schemeClr w14:val="tx1"/>
                  </w14:solidFill>
                </w14:textFill>
              </w:rPr>
              <w:t>m</w:t>
            </w:r>
            <w:r>
              <w:rPr>
                <w:rFonts w:hint="eastAsia"/>
                <w:color w:val="000000" w:themeColor="text1"/>
                <w:highlight w:val="non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/d</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39420</w:t>
            </w:r>
            <w:r>
              <w:rPr>
                <w:rFonts w:hint="eastAsia"/>
                <w:color w:val="000000" w:themeColor="text1"/>
                <w:highlight w:val="none"/>
                <w14:textFill>
                  <w14:solidFill>
                    <w14:schemeClr w14:val="tx1"/>
                  </w14:solidFill>
                </w14:textFill>
              </w:rPr>
              <w:t>m</w:t>
            </w:r>
            <w:r>
              <w:rPr>
                <w:rFonts w:hint="eastAsia"/>
                <w:color w:val="000000" w:themeColor="text1"/>
                <w:highlight w:val="non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/a</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，产污系数取0.85，则</w:t>
            </w:r>
            <w:r>
              <w:rPr>
                <w:rFonts w:hint="eastAsia"/>
                <w:color w:val="000000" w:themeColor="text1"/>
                <w:highlight w:val="none"/>
                <w:lang w:eastAsia="zh-CN"/>
                <w14:textFill>
                  <w14:solidFill>
                    <w14:schemeClr w14:val="tx1"/>
                  </w14:solidFill>
                </w14:textFill>
              </w:rPr>
              <w:t>迁建</w:t>
            </w:r>
            <w:r>
              <w:rPr>
                <w:rFonts w:hint="eastAsia"/>
                <w:color w:val="000000" w:themeColor="text1"/>
                <w:highlight w:val="none"/>
                <w14:textFill>
                  <w14:solidFill>
                    <w14:schemeClr w14:val="tx1"/>
                  </w14:solidFill>
                </w14:textFill>
              </w:rPr>
              <w:t>后全院病房废水产生量为</w:t>
            </w:r>
            <w:r>
              <w:rPr>
                <w:rFonts w:hint="eastAsia"/>
                <w:color w:val="000000" w:themeColor="text1"/>
                <w:highlight w:val="none"/>
                <w:lang w:val="en-US" w:eastAsia="zh-CN"/>
                <w14:textFill>
                  <w14:solidFill>
                    <w14:schemeClr w14:val="tx1"/>
                  </w14:solidFill>
                </w14:textFill>
              </w:rPr>
              <w:t>91.8</w:t>
            </w:r>
            <w:r>
              <w:rPr>
                <w:rFonts w:hint="eastAsia"/>
                <w:color w:val="000000" w:themeColor="text1"/>
                <w:highlight w:val="none"/>
                <w14:textFill>
                  <w14:solidFill>
                    <w14:schemeClr w14:val="tx1"/>
                  </w14:solidFill>
                </w14:textFill>
              </w:rPr>
              <w:t>m</w:t>
            </w:r>
            <w:r>
              <w:rPr>
                <w:rFonts w:hint="eastAsia"/>
                <w:color w:val="000000" w:themeColor="text1"/>
                <w:highlight w:val="non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/d(</w:t>
            </w:r>
            <w:r>
              <w:rPr>
                <w:rFonts w:hint="eastAsia"/>
                <w:color w:val="000000" w:themeColor="text1"/>
                <w:highlight w:val="none"/>
                <w:lang w:val="en-US" w:eastAsia="zh-CN"/>
                <w14:textFill>
                  <w14:solidFill>
                    <w14:schemeClr w14:val="tx1"/>
                  </w14:solidFill>
                </w14:textFill>
              </w:rPr>
              <w:t>33507</w:t>
            </w:r>
            <w:r>
              <w:rPr>
                <w:rFonts w:hint="eastAsia"/>
                <w:color w:val="000000" w:themeColor="text1"/>
                <w:highlight w:val="none"/>
                <w14:textFill>
                  <w14:solidFill>
                    <w14:schemeClr w14:val="tx1"/>
                  </w14:solidFill>
                </w14:textFill>
              </w:rPr>
              <w:t>m</w:t>
            </w:r>
            <w:r>
              <w:rPr>
                <w:rFonts w:hint="eastAsia"/>
                <w:color w:val="000000" w:themeColor="text1"/>
                <w:highlight w:val="non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/a</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5F925589">
            <w:pPr>
              <w:pStyle w:val="46"/>
              <w:keepNext w:val="0"/>
              <w:keepLines w:val="0"/>
              <w:pageBreakBefore w:val="0"/>
              <w:widowControl w:val="0"/>
              <w:kinsoku/>
              <w:wordWrap/>
              <w:overflowPunct/>
              <w:topLinePunct w:val="0"/>
              <w:autoSpaceDE w:val="0"/>
              <w:autoSpaceDN w:val="0"/>
              <w:bidi w:val="0"/>
              <w:adjustRightInd/>
              <w:snapToGrid/>
              <w:ind w:firstLine="480"/>
              <w:textAlignment w:val="auto"/>
              <w:rPr>
                <w:rFonts w:hint="eastAsia" w:eastAsia="宋体"/>
                <w:color w:val="auto"/>
                <w:highlight w:val="none"/>
                <w:lang w:eastAsia="zh-CN"/>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rPr>
              <w:t>生活用水W</w:t>
            </w:r>
            <w:r>
              <w:rPr>
                <w:rFonts w:hint="eastAsia"/>
                <w:color w:val="auto"/>
                <w:highlight w:val="none"/>
                <w:lang w:val="en-US" w:eastAsia="zh-CN"/>
              </w:rPr>
              <w:t>3</w:t>
            </w:r>
          </w:p>
          <w:p w14:paraId="06CA69C2">
            <w:pPr>
              <w:pStyle w:val="46"/>
              <w:keepNext w:val="0"/>
              <w:keepLines w:val="0"/>
              <w:pageBreakBefore w:val="0"/>
              <w:widowControl w:val="0"/>
              <w:kinsoku/>
              <w:wordWrap/>
              <w:overflowPunct/>
              <w:topLinePunct w:val="0"/>
              <w:autoSpaceDE w:val="0"/>
              <w:autoSpaceDN w:val="0"/>
              <w:bidi w:val="0"/>
              <w:adjustRightInd/>
              <w:snapToGrid/>
              <w:ind w:firstLine="480"/>
              <w:textAlignment w:val="auto"/>
              <w:rPr>
                <w:color w:val="auto"/>
                <w:highlight w:val="none"/>
              </w:rPr>
            </w:pPr>
            <w:r>
              <w:rPr>
                <w:rFonts w:hint="eastAsia"/>
                <w:color w:val="auto"/>
                <w:highlight w:val="none"/>
                <w:lang w:eastAsia="zh-CN"/>
              </w:rPr>
              <w:t>根据建设单位提供的信息</w:t>
            </w:r>
            <w:r>
              <w:rPr>
                <w:rFonts w:hint="eastAsia"/>
                <w:color w:val="auto"/>
                <w:highlight w:val="none"/>
              </w:rPr>
              <w:t>，项目</w:t>
            </w:r>
            <w:r>
              <w:rPr>
                <w:rFonts w:hint="eastAsia"/>
                <w:color w:val="auto"/>
                <w:highlight w:val="none"/>
                <w:lang w:val="en-US" w:eastAsia="zh-CN"/>
              </w:rPr>
              <w:t>迁建</w:t>
            </w:r>
            <w:r>
              <w:rPr>
                <w:rFonts w:hint="eastAsia"/>
                <w:color w:val="auto"/>
                <w:highlight w:val="none"/>
              </w:rPr>
              <w:t>后工作人员约</w:t>
            </w:r>
            <w:r>
              <w:rPr>
                <w:rFonts w:hint="eastAsia"/>
                <w:color w:val="auto"/>
                <w:highlight w:val="none"/>
                <w:lang w:val="en-US" w:eastAsia="zh-CN"/>
              </w:rPr>
              <w:t>136</w:t>
            </w:r>
            <w:r>
              <w:rPr>
                <w:rFonts w:hint="eastAsia"/>
                <w:color w:val="auto"/>
                <w:highlight w:val="none"/>
              </w:rPr>
              <w:t>名。参照《</w:t>
            </w:r>
            <w:r>
              <w:rPr>
                <w:rFonts w:hint="eastAsia"/>
                <w:color w:val="auto"/>
                <w:highlight w:val="none"/>
                <w:lang w:eastAsia="zh-CN"/>
              </w:rPr>
              <w:t>综合医院建筑设计标准</w:t>
            </w:r>
            <w:r>
              <w:rPr>
                <w:rFonts w:hint="eastAsia"/>
                <w:color w:val="auto"/>
                <w:highlight w:val="none"/>
              </w:rPr>
              <w:t>》</w:t>
            </w:r>
            <w:r>
              <w:rPr>
                <w:rFonts w:hint="eastAsia"/>
                <w:color w:val="auto"/>
                <w:highlight w:val="none"/>
                <w:lang w:eastAsia="zh-CN"/>
              </w:rPr>
              <w:t>GB 51039-2014</w:t>
            </w:r>
            <w:r>
              <w:rPr>
                <w:rFonts w:hint="eastAsia"/>
                <w:color w:val="auto"/>
                <w:highlight w:val="none"/>
              </w:rPr>
              <w:t>和《医院污水处理工程技术规范》</w:t>
            </w:r>
            <w:r>
              <w:rPr>
                <w:rFonts w:hint="eastAsia"/>
                <w:color w:val="auto"/>
                <w:highlight w:val="none"/>
                <w:lang w:eastAsia="zh-CN"/>
              </w:rPr>
              <w:t>（</w:t>
            </w:r>
            <w:r>
              <w:rPr>
                <w:rFonts w:hint="eastAsia"/>
                <w:color w:val="auto"/>
                <w:highlight w:val="none"/>
              </w:rPr>
              <w:t>HJ2029-2013</w:t>
            </w:r>
            <w:r>
              <w:rPr>
                <w:rFonts w:hint="eastAsia"/>
                <w:color w:val="auto"/>
                <w:highlight w:val="none"/>
                <w:lang w:eastAsia="zh-CN"/>
              </w:rPr>
              <w:t>）</w:t>
            </w:r>
            <w:r>
              <w:rPr>
                <w:rFonts w:hint="eastAsia"/>
                <w:color w:val="auto"/>
                <w:highlight w:val="none"/>
              </w:rPr>
              <w:t>的相关规定</w:t>
            </w:r>
            <w:r>
              <w:rPr>
                <w:rFonts w:hint="eastAsia"/>
                <w:color w:val="auto"/>
                <w:highlight w:val="none"/>
                <w:lang w:eastAsia="zh-CN"/>
              </w:rPr>
              <w:t>，</w:t>
            </w:r>
            <w:r>
              <w:rPr>
                <w:rFonts w:hint="eastAsia"/>
                <w:color w:val="auto"/>
                <w:highlight w:val="none"/>
              </w:rPr>
              <w:t>医务人员生活用水按150L/人</w:t>
            </w:r>
            <w:r>
              <w:rPr>
                <w:rFonts w:hint="eastAsia"/>
                <w:color w:val="auto"/>
                <w:highlight w:val="none"/>
                <w:lang w:eastAsia="zh-CN"/>
              </w:rPr>
              <w:t>·</w:t>
            </w:r>
            <w:r>
              <w:rPr>
                <w:rFonts w:hint="eastAsia"/>
                <w:color w:val="auto"/>
                <w:highlight w:val="none"/>
              </w:rPr>
              <w:t>d计，则医务人员生活用水量为</w:t>
            </w:r>
            <w:r>
              <w:rPr>
                <w:rFonts w:hint="eastAsia"/>
                <w:color w:val="auto"/>
                <w:highlight w:val="none"/>
                <w:lang w:val="en-US" w:eastAsia="zh-CN"/>
              </w:rPr>
              <w:t>20.4</w:t>
            </w:r>
            <w:r>
              <w:rPr>
                <w:rFonts w:hint="eastAsia"/>
                <w:color w:val="auto"/>
                <w:highlight w:val="none"/>
              </w:rPr>
              <w:t>m</w:t>
            </w:r>
            <w:r>
              <w:rPr>
                <w:rFonts w:hint="eastAsia"/>
                <w:color w:val="auto"/>
                <w:highlight w:val="none"/>
                <w:vertAlign w:val="superscript"/>
              </w:rPr>
              <w:t>3</w:t>
            </w:r>
            <w:r>
              <w:rPr>
                <w:rFonts w:hint="eastAsia"/>
                <w:color w:val="auto"/>
                <w:highlight w:val="none"/>
              </w:rPr>
              <w:t>/d(</w:t>
            </w:r>
            <w:r>
              <w:rPr>
                <w:rFonts w:hint="eastAsia"/>
                <w:color w:val="auto"/>
                <w:highlight w:val="none"/>
                <w:lang w:val="en-US" w:eastAsia="zh-CN"/>
              </w:rPr>
              <w:t>7446</w:t>
            </w:r>
            <w:r>
              <w:rPr>
                <w:rFonts w:hint="eastAsia"/>
                <w:color w:val="auto"/>
                <w:highlight w:val="none"/>
              </w:rPr>
              <w:t>m</w:t>
            </w:r>
            <w:r>
              <w:rPr>
                <w:rFonts w:hint="eastAsia"/>
                <w:color w:val="auto"/>
                <w:highlight w:val="none"/>
                <w:vertAlign w:val="superscript"/>
              </w:rPr>
              <w:t>3</w:t>
            </w:r>
            <w:r>
              <w:rPr>
                <w:rFonts w:hint="eastAsia"/>
                <w:color w:val="auto"/>
                <w:highlight w:val="none"/>
              </w:rPr>
              <w:t>/a</w:t>
            </w:r>
            <w:r>
              <w:rPr>
                <w:rFonts w:hint="eastAsia"/>
                <w:color w:val="auto"/>
                <w:highlight w:val="none"/>
                <w:lang w:eastAsia="zh-CN"/>
              </w:rPr>
              <w:t>）</w:t>
            </w:r>
            <w:r>
              <w:rPr>
                <w:rFonts w:hint="eastAsia"/>
                <w:color w:val="auto"/>
                <w:highlight w:val="none"/>
              </w:rPr>
              <w:t>，产污系数取0.80，则医务人员生活废水产生量为</w:t>
            </w:r>
            <w:r>
              <w:rPr>
                <w:rFonts w:hint="eastAsia"/>
                <w:color w:val="auto"/>
                <w:highlight w:val="none"/>
                <w:lang w:val="en-US" w:eastAsia="zh-CN"/>
              </w:rPr>
              <w:t>16.32</w:t>
            </w:r>
            <w:r>
              <w:rPr>
                <w:rFonts w:hint="eastAsia"/>
                <w:color w:val="auto"/>
                <w:highlight w:val="none"/>
              </w:rPr>
              <w:t>m</w:t>
            </w:r>
            <w:r>
              <w:rPr>
                <w:rFonts w:hint="eastAsia"/>
                <w:color w:val="auto"/>
                <w:highlight w:val="none"/>
                <w:vertAlign w:val="superscript"/>
              </w:rPr>
              <w:t>3</w:t>
            </w:r>
            <w:r>
              <w:rPr>
                <w:rFonts w:hint="eastAsia"/>
                <w:color w:val="auto"/>
                <w:highlight w:val="none"/>
              </w:rPr>
              <w:t>/d(</w:t>
            </w:r>
            <w:r>
              <w:rPr>
                <w:rFonts w:hint="eastAsia"/>
                <w:color w:val="auto"/>
                <w:highlight w:val="none"/>
                <w:lang w:val="en-US" w:eastAsia="zh-CN"/>
              </w:rPr>
              <w:t>5956.8</w:t>
            </w:r>
            <w:r>
              <w:rPr>
                <w:rFonts w:hint="eastAsia"/>
                <w:color w:val="auto"/>
                <w:highlight w:val="none"/>
              </w:rPr>
              <w:t>m</w:t>
            </w:r>
            <w:r>
              <w:rPr>
                <w:rFonts w:hint="eastAsia"/>
                <w:color w:val="auto"/>
                <w:highlight w:val="none"/>
                <w:vertAlign w:val="superscript"/>
              </w:rPr>
              <w:t>3</w:t>
            </w:r>
            <w:r>
              <w:rPr>
                <w:rFonts w:hint="eastAsia"/>
                <w:color w:val="auto"/>
                <w:highlight w:val="none"/>
              </w:rPr>
              <w:t>/a</w:t>
            </w:r>
            <w:r>
              <w:rPr>
                <w:rFonts w:hint="eastAsia"/>
                <w:color w:val="auto"/>
                <w:highlight w:val="none"/>
                <w:lang w:eastAsia="zh-CN"/>
              </w:rPr>
              <w:t>)</w:t>
            </w:r>
            <w:r>
              <w:rPr>
                <w:rFonts w:hint="eastAsia"/>
                <w:color w:val="auto"/>
                <w:highlight w:val="none"/>
              </w:rPr>
              <w:t>。</w:t>
            </w:r>
          </w:p>
          <w:p w14:paraId="0D7F79E1">
            <w:pPr>
              <w:pStyle w:val="46"/>
              <w:keepNext w:val="0"/>
              <w:keepLines w:val="0"/>
              <w:pageBreakBefore w:val="0"/>
              <w:widowControl w:val="0"/>
              <w:kinsoku/>
              <w:wordWrap/>
              <w:overflowPunct/>
              <w:topLinePunct w:val="0"/>
              <w:autoSpaceDE w:val="0"/>
              <w:autoSpaceDN w:val="0"/>
              <w:bidi w:val="0"/>
              <w:adjustRightInd/>
              <w:snapToGrid/>
              <w:ind w:firstLine="480"/>
              <w:textAlignment w:val="auto"/>
              <w:rPr>
                <w:color w:val="auto"/>
                <w:highlight w:val="none"/>
              </w:rPr>
            </w:pPr>
            <w:r>
              <w:rPr>
                <w:rFonts w:hint="eastAsia"/>
                <w:color w:val="auto"/>
                <w:highlight w:val="none"/>
              </w:rPr>
              <w:t>（3）项目排水</w:t>
            </w:r>
          </w:p>
          <w:p w14:paraId="55DA8B9D">
            <w:pPr>
              <w:pStyle w:val="46"/>
              <w:keepNext w:val="0"/>
              <w:keepLines w:val="0"/>
              <w:pageBreakBefore w:val="0"/>
              <w:widowControl w:val="0"/>
              <w:kinsoku/>
              <w:wordWrap/>
              <w:overflowPunct/>
              <w:topLinePunct w:val="0"/>
              <w:autoSpaceDE w:val="0"/>
              <w:autoSpaceDN w:val="0"/>
              <w:bidi w:val="0"/>
              <w:adjustRightInd/>
              <w:snapToGrid/>
              <w:ind w:firstLine="480"/>
              <w:textAlignment w:val="auto"/>
              <w:rPr>
                <w:rFonts w:hint="eastAsia"/>
                <w:color w:val="auto"/>
                <w:highlight w:val="none"/>
              </w:rPr>
            </w:pPr>
            <w:r>
              <w:rPr>
                <w:color w:val="auto"/>
                <w:highlight w:val="none"/>
              </w:rPr>
              <w:t>本项目所在厂区雨污分流，已建立完善的雨、污水管道。厂区雨水经雨水管道纳入市政雨水管网。本项目</w:t>
            </w:r>
            <w:r>
              <w:rPr>
                <w:rFonts w:hint="eastAsia"/>
                <w:color w:val="auto"/>
                <w:highlight w:val="none"/>
                <w:lang w:val="en-US" w:eastAsia="zh-CN"/>
              </w:rPr>
              <w:t>医疗废水</w:t>
            </w:r>
            <w:r>
              <w:rPr>
                <w:color w:val="auto"/>
                <w:highlight w:val="none"/>
              </w:rPr>
              <w:t>经收集后进入</w:t>
            </w:r>
            <w:r>
              <w:rPr>
                <w:rFonts w:hint="eastAsia"/>
                <w:color w:val="auto"/>
                <w:highlight w:val="none"/>
                <w:lang w:eastAsia="zh-CN"/>
              </w:rPr>
              <w:t>污水处理设施</w:t>
            </w:r>
            <w:r>
              <w:rPr>
                <w:color w:val="auto"/>
                <w:highlight w:val="none"/>
              </w:rPr>
              <w:t>净化处理</w:t>
            </w:r>
            <w:r>
              <w:rPr>
                <w:rFonts w:hint="eastAsia"/>
                <w:color w:val="auto"/>
                <w:highlight w:val="none"/>
                <w:lang w:eastAsia="zh-CN"/>
              </w:rPr>
              <w:t>，然后</w:t>
            </w:r>
            <w:r>
              <w:rPr>
                <w:color w:val="auto"/>
                <w:highlight w:val="none"/>
              </w:rPr>
              <w:t>纳入</w:t>
            </w:r>
            <w:r>
              <w:rPr>
                <w:rFonts w:hint="eastAsia"/>
                <w:color w:val="auto"/>
                <w:highlight w:val="none"/>
                <w:lang w:val="en-US" w:eastAsia="zh-CN"/>
              </w:rPr>
              <w:t>市政</w:t>
            </w:r>
            <w:r>
              <w:rPr>
                <w:color w:val="auto"/>
                <w:highlight w:val="none"/>
              </w:rPr>
              <w:t>污水管网；</w:t>
            </w:r>
            <w:r>
              <w:rPr>
                <w:rFonts w:hint="eastAsia"/>
                <w:color w:val="auto"/>
                <w:highlight w:val="none"/>
                <w:lang w:val="en-US" w:eastAsia="zh-CN"/>
              </w:rPr>
              <w:t>生活污水、医疗废水经过化粪池预处理后，再经过污水处理设施（“生物接触氧化法+沉淀+消毒工艺”）处理，进入市政污水管网，最终排入罗源城区污水处理厂</w:t>
            </w:r>
            <w:r>
              <w:rPr>
                <w:color w:val="auto"/>
                <w:highlight w:val="none"/>
              </w:rPr>
              <w:t>集中处理。</w:t>
            </w:r>
            <w:r>
              <w:rPr>
                <w:rFonts w:hint="eastAsia"/>
                <w:color w:val="auto"/>
                <w:highlight w:val="none"/>
                <w:lang w:eastAsia="zh-CN"/>
              </w:rPr>
              <w:t>具体情况</w:t>
            </w:r>
            <w:r>
              <w:rPr>
                <w:color w:val="auto"/>
                <w:highlight w:val="none"/>
              </w:rPr>
              <w:t>见</w:t>
            </w:r>
            <w:r>
              <w:rPr>
                <w:rFonts w:hint="eastAsia"/>
                <w:color w:val="auto"/>
                <w:highlight w:val="none"/>
              </w:rPr>
              <w:fldChar w:fldCharType="begin"/>
            </w:r>
            <w:r>
              <w:rPr>
                <w:rFonts w:hint="eastAsia"/>
                <w:color w:val="auto"/>
                <w:highlight w:val="none"/>
              </w:rPr>
              <w:instrText xml:space="preserve"> REF _Ref27012 \n \h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REF _Ref22741 \n \h </w:instrText>
            </w:r>
            <w:r>
              <w:rPr>
                <w:rFonts w:hint="eastAsia"/>
                <w:color w:val="auto"/>
                <w:highlight w:val="none"/>
              </w:rPr>
              <w:fldChar w:fldCharType="separate"/>
            </w:r>
            <w:r>
              <w:rPr>
                <w:rFonts w:hint="eastAsia"/>
                <w:color w:val="auto"/>
                <w:highlight w:val="none"/>
              </w:rPr>
              <w:t>图</w:t>
            </w:r>
            <w:r>
              <w:rPr>
                <w:rFonts w:hint="eastAsia"/>
                <w:color w:val="auto"/>
                <w:highlight w:val="none"/>
                <w:lang w:val="en-US" w:eastAsia="zh-CN"/>
              </w:rPr>
              <w:t>2.6-</w:t>
            </w:r>
            <w:r>
              <w:rPr>
                <w:rFonts w:hint="eastAsia"/>
                <w:color w:val="auto"/>
                <w:highlight w:val="none"/>
              </w:rPr>
              <w:t>1</w:t>
            </w:r>
            <w:r>
              <w:rPr>
                <w:rFonts w:hint="eastAsia"/>
                <w:color w:val="auto"/>
                <w:highlight w:val="none"/>
              </w:rPr>
              <w:fldChar w:fldCharType="end"/>
            </w:r>
            <w:r>
              <w:rPr>
                <w:color w:val="auto"/>
                <w:highlight w:val="none"/>
              </w:rPr>
              <w:t>。</w:t>
            </w:r>
            <w:r>
              <w:rPr>
                <w:rFonts w:hint="eastAsia"/>
                <w:color w:val="auto"/>
                <w:highlight w:val="none"/>
              </w:rPr>
              <w:fldChar w:fldCharType="end"/>
            </w:r>
          </w:p>
          <w:p w14:paraId="3DE03770">
            <w:pPr>
              <w:rPr>
                <w:rFonts w:hint="eastAsia" w:eastAsia="宋体"/>
                <w:color w:val="auto"/>
                <w:lang w:eastAsia="zh-CN"/>
              </w:rPr>
            </w:pPr>
            <w:r>
              <w:rPr>
                <w:rFonts w:hint="eastAsia" w:eastAsia="宋体"/>
                <w:color w:val="auto"/>
                <w:lang w:eastAsia="zh-CN"/>
              </w:rPr>
              <w:drawing>
                <wp:inline distT="0" distB="0" distL="114300" distR="114300">
                  <wp:extent cx="5264785" cy="2929890"/>
                  <wp:effectExtent l="0" t="0" r="0" b="0"/>
                  <wp:docPr id="11" name="ECB019B1-382A-4266-B25C-5B523AA43C14-1" descr="C:/Users/Administrator/AppData/Local/Temp/wps.arYbuH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CB019B1-382A-4266-B25C-5B523AA43C14-1" descr="C:/Users/Administrator/AppData/Local/Temp/wps.arYbuHwps"/>
                          <pic:cNvPicPr>
                            <a:picLocks noChangeAspect="1"/>
                          </pic:cNvPicPr>
                        </pic:nvPicPr>
                        <pic:blipFill>
                          <a:blip r:embed="rId12"/>
                          <a:stretch>
                            <a:fillRect/>
                          </a:stretch>
                        </pic:blipFill>
                        <pic:spPr>
                          <a:xfrm>
                            <a:off x="0" y="0"/>
                            <a:ext cx="5264785" cy="2929890"/>
                          </a:xfrm>
                          <a:prstGeom prst="rect">
                            <a:avLst/>
                          </a:prstGeom>
                        </pic:spPr>
                      </pic:pic>
                    </a:graphicData>
                  </a:graphic>
                </wp:inline>
              </w:drawing>
            </w:r>
          </w:p>
          <w:p w14:paraId="744ED25B">
            <w:pPr>
              <w:pStyle w:val="49"/>
              <w:keepNext w:val="0"/>
              <w:keepLines w:val="0"/>
              <w:pageBreakBefore w:val="0"/>
              <w:widowControl w:val="0"/>
              <w:shd w:val="clear"/>
              <w:kinsoku/>
              <w:wordWrap/>
              <w:overflowPunct/>
              <w:topLinePunct w:val="0"/>
              <w:autoSpaceDE/>
              <w:autoSpaceDN/>
              <w:bidi w:val="0"/>
              <w:adjustRightInd/>
              <w:snapToGrid/>
              <w:spacing w:line="240" w:lineRule="auto"/>
              <w:ind w:left="1582" w:hanging="1582"/>
              <w:textAlignment w:val="auto"/>
            </w:pPr>
            <w:r>
              <w:rPr>
                <w:rFonts w:hint="eastAsia"/>
                <w:color w:val="000000" w:themeColor="text1"/>
                <w:highlight w:val="none"/>
                <w:lang w:val="en-US" w:eastAsia="zh-CN"/>
                <w14:textFill>
                  <w14:solidFill>
                    <w14:schemeClr w14:val="tx1"/>
                  </w14:solidFill>
                </w14:textFill>
              </w:rPr>
              <w:t>项目水平衡 单位：m</w:t>
            </w:r>
            <w:r>
              <w:rPr>
                <w:rFonts w:hint="eastAsia"/>
                <w:color w:val="000000" w:themeColor="text1"/>
                <w:highlight w:val="none"/>
                <w:vertAlign w:val="superscript"/>
                <w:lang w:val="en-US" w:eastAsia="zh-CN"/>
                <w14:textFill>
                  <w14:solidFill>
                    <w14:schemeClr w14:val="tx1"/>
                  </w14:solidFill>
                </w14:textFill>
              </w:rPr>
              <w:t>3</w:t>
            </w:r>
            <w:r>
              <w:rPr>
                <w:rFonts w:hint="eastAsia"/>
                <w:color w:val="000000" w:themeColor="text1"/>
                <w:highlight w:val="none"/>
                <w:lang w:val="en-US" w:eastAsia="zh-CN"/>
                <w14:textFill>
                  <w14:solidFill>
                    <w14:schemeClr w14:val="tx1"/>
                  </w14:solidFill>
                </w14:textFill>
              </w:rPr>
              <w:t>/d</w:t>
            </w:r>
          </w:p>
        </w:tc>
      </w:tr>
    </w:tbl>
    <w:p w14:paraId="2E68B3D7">
      <w:pPr>
        <w:pStyle w:val="30"/>
        <w:adjustRightInd w:val="0"/>
        <w:snapToGrid w:val="0"/>
        <w:spacing w:before="0" w:beforeAutospacing="0" w:after="0" w:afterAutospacing="0"/>
        <w:jc w:val="center"/>
        <w:rPr>
          <w:rFonts w:cs="宋体"/>
          <w:color w:val="auto"/>
          <w:sz w:val="21"/>
          <w:szCs w:val="21"/>
          <w:highlight w:val="none"/>
        </w:rPr>
        <w:sectPr>
          <w:pgSz w:w="11905" w:h="16838"/>
          <w:pgMar w:top="1417" w:right="1417" w:bottom="1417" w:left="1417" w:header="851" w:footer="1077" w:gutter="0"/>
          <w:pgBorders>
            <w:top w:val="none" w:sz="0" w:space="0"/>
            <w:left w:val="none" w:sz="0" w:space="0"/>
            <w:bottom w:val="none" w:sz="0" w:space="0"/>
            <w:right w:val="none" w:sz="0" w:space="0"/>
          </w:pgBorders>
          <w:pgNumType w:fmt="decimal"/>
          <w:cols w:space="0" w:num="1"/>
          <w:docGrid w:linePitch="312" w:charSpace="0"/>
        </w:sectPr>
      </w:pPr>
    </w:p>
    <w:tbl>
      <w:tblPr>
        <w:tblStyle w:val="35"/>
        <w:tblW w:w="93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8"/>
        <w:gridCol w:w="9000"/>
      </w:tblGrid>
      <w:tr w14:paraId="0349A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4" w:hRule="atLeast"/>
        </w:trPr>
        <w:tc>
          <w:tcPr>
            <w:tcW w:w="429" w:type="dxa"/>
            <w:vAlign w:val="center"/>
          </w:tcPr>
          <w:p w14:paraId="1BE93369">
            <w:pPr>
              <w:pStyle w:val="30"/>
              <w:adjustRightInd w:val="0"/>
              <w:snapToGrid w:val="0"/>
              <w:spacing w:before="0" w:beforeAutospacing="0" w:after="0" w:afterAutospacing="0"/>
              <w:jc w:val="center"/>
              <w:rPr>
                <w:rFonts w:cs="宋体"/>
                <w:color w:val="auto"/>
                <w:sz w:val="21"/>
                <w:szCs w:val="21"/>
                <w:highlight w:val="none"/>
              </w:rPr>
            </w:pPr>
            <w:r>
              <w:rPr>
                <w:rFonts w:hint="eastAsia" w:cs="宋体"/>
                <w:color w:val="auto"/>
                <w:sz w:val="21"/>
                <w:szCs w:val="21"/>
                <w:highlight w:val="none"/>
              </w:rPr>
              <w:t>工艺流程和产排污环节</w:t>
            </w:r>
          </w:p>
        </w:tc>
        <w:tc>
          <w:tcPr>
            <w:tcW w:w="8949" w:type="dxa"/>
          </w:tcPr>
          <w:p w14:paraId="72251121">
            <w:pPr>
              <w:pStyle w:val="3"/>
              <w:keepNext/>
              <w:keepLines/>
              <w:pageBreakBefore w:val="0"/>
              <w:widowControl w:val="0"/>
              <w:kinsoku/>
              <w:wordWrap/>
              <w:overflowPunct/>
              <w:topLinePunct w:val="0"/>
              <w:autoSpaceDE/>
              <w:autoSpaceDN/>
              <w:bidi w:val="0"/>
              <w:adjustRightInd/>
              <w:snapToGrid/>
              <w:spacing w:after="0"/>
              <w:ind w:left="0" w:leftChars="0" w:firstLine="0" w:firstLineChars="0"/>
              <w:textAlignment w:val="auto"/>
              <w:rPr>
                <w:rFonts w:hint="eastAsia"/>
                <w:color w:val="auto"/>
                <w:highlight w:val="none"/>
              </w:rPr>
            </w:pPr>
            <w:r>
              <w:rPr>
                <w:rFonts w:hint="eastAsia"/>
                <w:color w:val="auto"/>
                <w:highlight w:val="none"/>
              </w:rPr>
              <w:t>主要</w:t>
            </w:r>
            <w:r>
              <w:rPr>
                <w:rFonts w:hint="eastAsia"/>
                <w:color w:val="auto"/>
                <w:highlight w:val="none"/>
                <w:lang w:val="en-US" w:eastAsia="zh-CN"/>
              </w:rPr>
              <w:t>诊疗</w:t>
            </w:r>
            <w:r>
              <w:rPr>
                <w:rFonts w:hint="eastAsia"/>
                <w:color w:val="auto"/>
                <w:highlight w:val="none"/>
              </w:rPr>
              <w:t>流程及产污环节</w:t>
            </w:r>
          </w:p>
          <w:p w14:paraId="565D86CF">
            <w:pPr>
              <w:pStyle w:val="4"/>
              <w:keepNext/>
              <w:keepLines/>
              <w:pageBreakBefore w:val="0"/>
              <w:widowControl w:val="0"/>
              <w:kinsoku/>
              <w:wordWrap/>
              <w:overflowPunct/>
              <w:topLinePunct w:val="0"/>
              <w:autoSpaceDE/>
              <w:autoSpaceDN/>
              <w:bidi w:val="0"/>
              <w:adjustRightInd/>
              <w:snapToGrid/>
              <w:spacing w:after="157" w:afterLines="50"/>
              <w:ind w:left="720" w:leftChars="0" w:hanging="720" w:firstLineChars="0"/>
              <w:textAlignment w:val="auto"/>
              <w:rPr>
                <w:rFonts w:hint="eastAsia"/>
                <w:color w:val="auto"/>
                <w:highlight w:val="none"/>
              </w:rPr>
            </w:pPr>
            <w:r>
              <w:rPr>
                <w:rFonts w:hint="eastAsia"/>
                <w:color w:val="auto"/>
                <w:highlight w:val="none"/>
                <w:lang w:val="en-US" w:eastAsia="zh-CN"/>
              </w:rPr>
              <w:t>诊疗流程</w:t>
            </w:r>
          </w:p>
          <w:p w14:paraId="356F65AD">
            <w:pPr>
              <w:pStyle w:val="115"/>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Times New Roman" w:hAnsi="Times New Roman" w:cs="宋体"/>
                <w:color w:val="auto"/>
                <w:kern w:val="0"/>
                <w:sz w:val="24"/>
                <w:szCs w:val="20"/>
                <w:highlight w:val="none"/>
                <w:lang w:val="en-US" w:eastAsia="zh-CN" w:bidi="ar-SA"/>
              </w:rPr>
            </w:pPr>
            <w:r>
              <w:rPr>
                <w:rFonts w:hint="eastAsia" w:ascii="Times New Roman" w:hAnsi="Times New Roman" w:eastAsia="宋体" w:cs="宋体"/>
                <w:color w:val="auto"/>
                <w:kern w:val="0"/>
                <w:sz w:val="24"/>
                <w:szCs w:val="20"/>
                <w:highlight w:val="none"/>
                <w:lang w:val="zh-CN" w:eastAsia="zh-CN" w:bidi="ar-SA"/>
              </w:rPr>
              <w:t>本项目</w:t>
            </w:r>
            <w:r>
              <w:rPr>
                <w:rFonts w:hint="eastAsia"/>
                <w:color w:val="auto"/>
                <w:highlight w:val="none"/>
              </w:rPr>
              <w:t>诊疗流程</w:t>
            </w:r>
            <w:r>
              <w:rPr>
                <w:rFonts w:hint="eastAsia"/>
                <w:color w:val="auto"/>
                <w:highlight w:val="none"/>
                <w:lang w:val="en-US" w:eastAsia="zh-CN"/>
              </w:rPr>
              <w:t>及产污环节</w:t>
            </w:r>
            <w:r>
              <w:rPr>
                <w:rFonts w:hint="eastAsia" w:ascii="Times New Roman" w:hAnsi="Times New Roman" w:eastAsia="宋体" w:cs="宋体"/>
                <w:color w:val="auto"/>
                <w:kern w:val="0"/>
                <w:sz w:val="24"/>
                <w:szCs w:val="20"/>
                <w:highlight w:val="none"/>
                <w:lang w:val="zh-CN" w:eastAsia="zh-CN" w:bidi="ar-SA"/>
              </w:rPr>
              <w:t>见图</w:t>
            </w:r>
            <w:r>
              <w:rPr>
                <w:rFonts w:hint="eastAsia" w:ascii="Times New Roman" w:hAnsi="Times New Roman" w:eastAsia="宋体" w:cs="宋体"/>
                <w:color w:val="auto"/>
                <w:kern w:val="0"/>
                <w:sz w:val="24"/>
                <w:szCs w:val="20"/>
                <w:highlight w:val="none"/>
                <w:lang w:val="en-US" w:eastAsia="zh-CN" w:bidi="ar-SA"/>
              </w:rPr>
              <w:t>2.7-1</w:t>
            </w:r>
            <w:r>
              <w:rPr>
                <w:rFonts w:hint="eastAsia" w:ascii="Times New Roman" w:hAnsi="Times New Roman" w:cs="宋体"/>
                <w:color w:val="auto"/>
                <w:kern w:val="0"/>
                <w:sz w:val="24"/>
                <w:szCs w:val="20"/>
                <w:highlight w:val="none"/>
                <w:lang w:val="en-US" w:eastAsia="zh-CN" w:bidi="ar-SA"/>
              </w:rPr>
              <w:t>。</w:t>
            </w:r>
          </w:p>
          <w:p w14:paraId="7902C11F">
            <w:pPr>
              <w:pStyle w:val="115"/>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eastAsia="宋体" w:cs="宋体"/>
                <w:color w:val="auto"/>
                <w:kern w:val="0"/>
                <w:sz w:val="24"/>
                <w:szCs w:val="20"/>
                <w:highlight w:val="none"/>
                <w:lang w:val="en-US" w:eastAsia="zh-CN" w:bidi="ar-SA"/>
              </w:rPr>
            </w:pPr>
            <w:r>
              <w:rPr>
                <w:rFonts w:hint="default" w:ascii="Times New Roman" w:hAnsi="Times New Roman" w:eastAsia="宋体" w:cs="宋体"/>
                <w:color w:val="auto"/>
                <w:kern w:val="0"/>
                <w:sz w:val="24"/>
                <w:szCs w:val="20"/>
                <w:highlight w:val="none"/>
                <w:lang w:val="en-US" w:eastAsia="zh-CN" w:bidi="ar-SA"/>
              </w:rPr>
              <w:drawing>
                <wp:inline distT="0" distB="0" distL="114300" distR="114300">
                  <wp:extent cx="4740275" cy="3954780"/>
                  <wp:effectExtent l="0" t="0" r="0" b="0"/>
                  <wp:docPr id="43" name="ECB019B1-382A-4266-B25C-5B523AA43C14-2" descr="C:/Users/Administrator/AppData/Local/Temp/wps.wwrsVa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ECB019B1-382A-4266-B25C-5B523AA43C14-2" descr="C:/Users/Administrator/AppData/Local/Temp/wps.wwrsVawps"/>
                          <pic:cNvPicPr>
                            <a:picLocks noChangeAspect="1"/>
                          </pic:cNvPicPr>
                        </pic:nvPicPr>
                        <pic:blipFill>
                          <a:blip r:embed="rId13"/>
                          <a:stretch>
                            <a:fillRect/>
                          </a:stretch>
                        </pic:blipFill>
                        <pic:spPr>
                          <a:xfrm>
                            <a:off x="0" y="0"/>
                            <a:ext cx="4740275" cy="3954780"/>
                          </a:xfrm>
                          <a:prstGeom prst="rect">
                            <a:avLst/>
                          </a:prstGeom>
                        </pic:spPr>
                      </pic:pic>
                    </a:graphicData>
                  </a:graphic>
                </wp:inline>
              </w:drawing>
            </w:r>
          </w:p>
          <w:p w14:paraId="176DA36F">
            <w:pPr>
              <w:pStyle w:val="49"/>
              <w:keepNext w:val="0"/>
              <w:keepLines w:val="0"/>
              <w:pageBreakBefore w:val="0"/>
              <w:widowControl w:val="0"/>
              <w:kinsoku/>
              <w:wordWrap/>
              <w:overflowPunct/>
              <w:topLinePunct w:val="0"/>
              <w:autoSpaceDE/>
              <w:autoSpaceDN/>
              <w:bidi w:val="0"/>
              <w:adjustRightInd/>
              <w:snapToGrid/>
              <w:spacing w:line="240" w:lineRule="auto"/>
              <w:ind w:left="0" w:firstLine="0"/>
              <w:jc w:val="center"/>
              <w:textAlignment w:val="auto"/>
              <w:rPr>
                <w:rFonts w:hint="eastAsia" w:eastAsia="宋体"/>
                <w:lang w:eastAsia="zh-CN"/>
              </w:rPr>
            </w:pPr>
            <w:r>
              <w:rPr>
                <w:rFonts w:hint="eastAsia"/>
                <w:color w:val="auto"/>
                <w:highlight w:val="none"/>
                <w:lang w:val="en-US" w:eastAsia="zh-CN"/>
              </w:rPr>
              <w:t>诊疗流程</w:t>
            </w:r>
          </w:p>
        </w:tc>
      </w:tr>
      <w:tr w14:paraId="2814D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9" w:hRule="atLeast"/>
        </w:trPr>
        <w:tc>
          <w:tcPr>
            <w:tcW w:w="429" w:type="dxa"/>
            <w:vAlign w:val="top"/>
          </w:tcPr>
          <w:p w14:paraId="3526174A">
            <w:pPr>
              <w:pStyle w:val="30"/>
              <w:adjustRightInd w:val="0"/>
              <w:snapToGrid w:val="0"/>
              <w:spacing w:before="0" w:beforeAutospacing="0" w:after="0" w:afterAutospacing="0"/>
              <w:ind w:left="0" w:leftChars="0" w:right="0" w:rightChars="0"/>
              <w:jc w:val="center"/>
              <w:rPr>
                <w:rFonts w:hint="eastAsia" w:cs="宋体"/>
                <w:color w:val="auto"/>
                <w:sz w:val="21"/>
                <w:szCs w:val="21"/>
                <w:highlight w:val="none"/>
              </w:rPr>
            </w:pPr>
            <w:r>
              <w:rPr>
                <w:rFonts w:hint="eastAsia" w:cs="宋体"/>
                <w:color w:val="auto"/>
                <w:sz w:val="21"/>
                <w:szCs w:val="21"/>
                <w:highlight w:val="none"/>
              </w:rPr>
              <w:t>工艺流程和产排污环节</w:t>
            </w:r>
          </w:p>
        </w:tc>
        <w:tc>
          <w:tcPr>
            <w:tcW w:w="8949" w:type="dxa"/>
            <w:vAlign w:val="top"/>
          </w:tcPr>
          <w:p w14:paraId="51A138B4">
            <w:pPr>
              <w:pStyle w:val="5"/>
              <w:keepNext/>
              <w:keepLines/>
              <w:pageBreakBefore w:val="0"/>
              <w:widowControl w:val="0"/>
              <w:numPr>
                <w:ilvl w:val="3"/>
                <w:numId w:val="8"/>
              </w:numPr>
              <w:tabs>
                <w:tab w:val="left" w:pos="0"/>
              </w:tabs>
              <w:kinsoku/>
              <w:wordWrap/>
              <w:overflowPunct/>
              <w:topLinePunct w:val="0"/>
              <w:autoSpaceDE/>
              <w:autoSpaceDN/>
              <w:bidi w:val="0"/>
              <w:adjustRightInd/>
              <w:snapToGrid/>
              <w:spacing w:before="157" w:beforeLines="50"/>
              <w:ind w:left="862" w:leftChars="0" w:hanging="862" w:firstLineChars="0"/>
              <w:textAlignment w:val="auto"/>
              <w:rPr>
                <w:rFonts w:hint="default"/>
                <w:color w:val="auto"/>
                <w:highlight w:val="none"/>
                <w:lang w:val="en-US" w:eastAsia="zh-CN"/>
              </w:rPr>
            </w:pPr>
            <w:r>
              <w:rPr>
                <w:rFonts w:hint="eastAsia"/>
                <w:color w:val="auto"/>
                <w:highlight w:val="none"/>
                <w:lang w:val="en-US" w:eastAsia="zh-CN"/>
              </w:rPr>
              <w:t>诊疗流程</w:t>
            </w:r>
          </w:p>
          <w:p w14:paraId="03A18E2A">
            <w:pPr>
              <w:pStyle w:val="46"/>
              <w:ind w:firstLine="480"/>
              <w:rPr>
                <w:rFonts w:hint="default" w:eastAsia="宋体" w:cs="宋体"/>
                <w:color w:val="auto"/>
                <w:kern w:val="0"/>
                <w:sz w:val="24"/>
                <w:szCs w:val="20"/>
                <w:highlight w:val="none"/>
                <w:lang w:val="en-US" w:eastAsia="zh-CN" w:bidi="ar-SA"/>
              </w:rPr>
            </w:pPr>
            <w:r>
              <w:rPr>
                <w:rFonts w:hint="eastAsia"/>
                <w:color w:val="auto"/>
                <w:highlight w:val="none"/>
              </w:rPr>
              <w:t>本项目诊疗流程</w:t>
            </w:r>
            <w:r>
              <w:rPr>
                <w:rFonts w:hint="eastAsia"/>
                <w:color w:val="auto"/>
                <w:highlight w:val="none"/>
                <w:lang w:eastAsia="zh-CN"/>
              </w:rPr>
              <w:t>：</w:t>
            </w:r>
            <w:r>
              <w:rPr>
                <w:rFonts w:hint="default" w:eastAsia="宋体" w:cs="宋体"/>
                <w:color w:val="auto"/>
                <w:kern w:val="0"/>
                <w:sz w:val="24"/>
                <w:szCs w:val="20"/>
                <w:highlight w:val="none"/>
                <w:lang w:val="en-US" w:eastAsia="zh-CN" w:bidi="ar-SA"/>
              </w:rPr>
              <w:t>患者经挂号后，医生对患者进行诊断，诊断过程主要为</w:t>
            </w:r>
            <w:r>
              <w:rPr>
                <w:rFonts w:hint="eastAsia" w:cs="宋体"/>
                <w:color w:val="auto"/>
                <w:kern w:val="0"/>
                <w:sz w:val="24"/>
                <w:szCs w:val="20"/>
                <w:highlight w:val="none"/>
                <w:lang w:val="en-US" w:eastAsia="zh-CN" w:bidi="ar-SA"/>
              </w:rPr>
              <w:t>：</w:t>
            </w:r>
            <w:r>
              <w:rPr>
                <w:rFonts w:hint="default" w:eastAsia="宋体" w:cs="宋体"/>
                <w:color w:val="auto"/>
                <w:kern w:val="0"/>
                <w:sz w:val="24"/>
                <w:szCs w:val="20"/>
                <w:highlight w:val="none"/>
                <w:lang w:val="en-US" w:eastAsia="zh-CN" w:bidi="ar-SA"/>
              </w:rPr>
              <w:t>医生进行问诊并依据病人情况对患者进行医疗检验</w:t>
            </w:r>
            <w:r>
              <w:rPr>
                <w:rFonts w:hint="eastAsia" w:cs="宋体"/>
                <w:color w:val="auto"/>
                <w:kern w:val="0"/>
                <w:sz w:val="24"/>
                <w:szCs w:val="20"/>
                <w:highlight w:val="none"/>
                <w:lang w:val="en-US" w:eastAsia="zh-CN" w:bidi="ar-SA"/>
              </w:rPr>
              <w:t>（放射、胃镜、心电图、抽血化验等）</w:t>
            </w:r>
            <w:r>
              <w:rPr>
                <w:rFonts w:hint="default" w:eastAsia="宋体" w:cs="宋体"/>
                <w:color w:val="auto"/>
                <w:kern w:val="0"/>
                <w:sz w:val="24"/>
                <w:szCs w:val="20"/>
                <w:highlight w:val="none"/>
                <w:lang w:val="en-US" w:eastAsia="zh-CN" w:bidi="ar-SA"/>
              </w:rPr>
              <w:t>，最终诊断患者病情。经诊断的病人安排住院治疗或开药离院，住院治疗手段以机械康复设备治疗为主，同时配有部分手术治疗。</w:t>
            </w:r>
          </w:p>
          <w:p w14:paraId="2DB95750">
            <w:pPr>
              <w:pStyle w:val="5"/>
              <w:numPr>
                <w:ilvl w:val="3"/>
                <w:numId w:val="8"/>
              </w:numPr>
              <w:tabs>
                <w:tab w:val="left" w:pos="0"/>
              </w:tabs>
              <w:bidi w:val="0"/>
              <w:ind w:left="864" w:leftChars="0" w:hanging="864" w:firstLineChars="0"/>
              <w:rPr>
                <w:rFonts w:hint="eastAsia"/>
                <w:color w:val="auto"/>
                <w:highlight w:val="none"/>
                <w:lang w:val="en-US" w:eastAsia="zh-CN"/>
              </w:rPr>
            </w:pPr>
            <w:r>
              <w:rPr>
                <w:rFonts w:hint="eastAsia"/>
                <w:color w:val="auto"/>
                <w:highlight w:val="none"/>
                <w:lang w:val="en-US" w:eastAsia="zh-CN"/>
              </w:rPr>
              <w:t>主要产污环节</w:t>
            </w:r>
          </w:p>
          <w:p w14:paraId="2AE48F46">
            <w:pPr>
              <w:pStyle w:val="46"/>
              <w:ind w:firstLine="480"/>
              <w:rPr>
                <w:rFonts w:hint="eastAsia"/>
                <w:color w:val="auto"/>
              </w:rPr>
            </w:pPr>
            <w:r>
              <w:rPr>
                <w:rFonts w:hint="eastAsia"/>
                <w:color w:val="auto"/>
              </w:rPr>
              <w:t>主要</w:t>
            </w:r>
            <w:r>
              <w:rPr>
                <w:rFonts w:hint="eastAsia"/>
                <w:color w:val="auto"/>
                <w:highlight w:val="none"/>
                <w:vertAlign w:val="baseline"/>
                <w:lang w:val="en-US" w:eastAsia="zh-CN"/>
              </w:rPr>
              <w:t>产污环节</w:t>
            </w:r>
            <w:r>
              <w:rPr>
                <w:rFonts w:hint="eastAsia"/>
                <w:color w:val="auto"/>
              </w:rPr>
              <w:t>见下表。</w:t>
            </w:r>
          </w:p>
          <w:p w14:paraId="1ACDD9D5">
            <w:pPr>
              <w:pStyle w:val="44"/>
              <w:keepNext/>
              <w:keepLines/>
              <w:pageBreakBefore w:val="0"/>
              <w:widowControl w:val="0"/>
              <w:numPr>
                <w:ilvl w:val="7"/>
                <w:numId w:val="9"/>
              </w:numPr>
              <w:tabs>
                <w:tab w:val="left" w:pos="0"/>
              </w:tabs>
              <w:kinsoku/>
              <w:wordWrap/>
              <w:overflowPunct/>
              <w:topLinePunct w:val="0"/>
              <w:autoSpaceDE/>
              <w:autoSpaceDN/>
              <w:bidi w:val="0"/>
              <w:adjustRightInd/>
              <w:snapToGrid/>
              <w:spacing w:before="157" w:beforeLines="50" w:after="0"/>
              <w:ind w:left="630" w:leftChars="0" w:firstLineChars="0"/>
              <w:textAlignment w:val="auto"/>
              <w:rPr>
                <w:color w:val="auto"/>
                <w:highlight w:val="none"/>
              </w:rPr>
            </w:pPr>
            <w:r>
              <w:rPr>
                <w:color w:val="auto"/>
                <w:highlight w:val="none"/>
              </w:rPr>
              <w:t>主要污染工序一览表</w:t>
            </w:r>
          </w:p>
          <w:tbl>
            <w:tblPr>
              <w:tblStyle w:val="34"/>
              <w:tblW w:w="0" w:type="auto"/>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28" w:type="dxa"/>
                <w:bottom w:w="0" w:type="dxa"/>
                <w:right w:w="28" w:type="dxa"/>
              </w:tblCellMar>
            </w:tblPr>
            <w:tblGrid>
              <w:gridCol w:w="389"/>
              <w:gridCol w:w="444"/>
              <w:gridCol w:w="2031"/>
              <w:gridCol w:w="1587"/>
              <w:gridCol w:w="530"/>
              <w:gridCol w:w="3658"/>
            </w:tblGrid>
            <w:tr w14:paraId="02B78C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507" w:hRule="atLeast"/>
                <w:tblHeader/>
              </w:trPr>
              <w:tc>
                <w:tcPr>
                  <w:tcW w:w="0" w:type="auto"/>
                  <w:tcBorders>
                    <w:bottom w:val="single" w:color="000000" w:sz="12" w:space="0"/>
                  </w:tcBorders>
                  <w:vAlign w:val="center"/>
                </w:tcPr>
                <w:p w14:paraId="6A3F3B75">
                  <w:pPr>
                    <w:pStyle w:val="97"/>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ascii="Times New Roman" w:hAnsi="Times New Roman" w:eastAsia="宋体"/>
                      <w:color w:val="auto"/>
                      <w:sz w:val="21"/>
                      <w:szCs w:val="21"/>
                      <w:highlight w:val="none"/>
                    </w:rPr>
                  </w:pPr>
                  <w:r>
                    <w:rPr>
                      <w:rFonts w:ascii="Times New Roman" w:hAnsi="Times New Roman" w:eastAsia="宋体"/>
                      <w:color w:val="auto"/>
                      <w:spacing w:val="-8"/>
                      <w:sz w:val="21"/>
                    </w:rPr>
                    <w:t>序号</w:t>
                  </w:r>
                </w:p>
              </w:tc>
              <w:tc>
                <w:tcPr>
                  <w:tcW w:w="444" w:type="dxa"/>
                  <w:tcBorders>
                    <w:bottom w:val="single" w:color="000000" w:sz="12" w:space="0"/>
                  </w:tcBorders>
                  <w:vAlign w:val="center"/>
                </w:tcPr>
                <w:p w14:paraId="70FDACFD">
                  <w:pPr>
                    <w:pStyle w:val="97"/>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ascii="Times New Roman" w:hAnsi="Times New Roman" w:eastAsia="宋体"/>
                      <w:color w:val="auto"/>
                      <w:sz w:val="21"/>
                      <w:szCs w:val="21"/>
                      <w:highlight w:val="none"/>
                    </w:rPr>
                  </w:pPr>
                  <w:r>
                    <w:rPr>
                      <w:rFonts w:ascii="Times New Roman" w:hAnsi="Times New Roman" w:eastAsia="宋体"/>
                      <w:color w:val="auto"/>
                      <w:spacing w:val="-8"/>
                      <w:sz w:val="21"/>
                    </w:rPr>
                    <w:t>类别</w:t>
                  </w:r>
                </w:p>
              </w:tc>
              <w:tc>
                <w:tcPr>
                  <w:tcW w:w="2031" w:type="dxa"/>
                  <w:tcBorders>
                    <w:bottom w:val="single" w:color="000000" w:sz="12" w:space="0"/>
                  </w:tcBorders>
                  <w:vAlign w:val="center"/>
                </w:tcPr>
                <w:p w14:paraId="5547A986">
                  <w:pPr>
                    <w:pStyle w:val="97"/>
                    <w:keepNext w:val="0"/>
                    <w:keepLines w:val="0"/>
                    <w:pageBreakBefore w:val="0"/>
                    <w:widowControl w:val="0"/>
                    <w:kinsoku/>
                    <w:wordWrap/>
                    <w:overflowPunct/>
                    <w:topLinePunct w:val="0"/>
                    <w:autoSpaceDE/>
                    <w:autoSpaceDN/>
                    <w:bidi w:val="0"/>
                    <w:spacing w:line="240" w:lineRule="auto"/>
                    <w:ind w:left="0" w:right="0" w:rightChars="0" w:firstLine="0" w:firstLineChars="0"/>
                    <w:jc w:val="center"/>
                    <w:textAlignment w:val="auto"/>
                    <w:rPr>
                      <w:rFonts w:ascii="Times New Roman" w:hAnsi="Times New Roman" w:eastAsia="宋体" w:cs="宋体"/>
                      <w:color w:val="auto"/>
                      <w:spacing w:val="-7"/>
                      <w:sz w:val="21"/>
                    </w:rPr>
                  </w:pPr>
                  <w:r>
                    <w:rPr>
                      <w:rFonts w:ascii="Times New Roman" w:hAnsi="Times New Roman" w:eastAsia="宋体" w:cs="宋体"/>
                      <w:color w:val="auto"/>
                      <w:spacing w:val="-7"/>
                      <w:sz w:val="21"/>
                    </w:rPr>
                    <w:t>产污工序</w:t>
                  </w:r>
                </w:p>
              </w:tc>
              <w:tc>
                <w:tcPr>
                  <w:tcW w:w="1587" w:type="dxa"/>
                  <w:tcBorders>
                    <w:bottom w:val="single" w:color="000000" w:sz="12" w:space="0"/>
                  </w:tcBorders>
                  <w:vAlign w:val="center"/>
                </w:tcPr>
                <w:p w14:paraId="105EAF27">
                  <w:pPr>
                    <w:pStyle w:val="97"/>
                    <w:keepNext w:val="0"/>
                    <w:keepLines w:val="0"/>
                    <w:pageBreakBefore w:val="0"/>
                    <w:widowControl w:val="0"/>
                    <w:kinsoku/>
                    <w:wordWrap/>
                    <w:overflowPunct/>
                    <w:topLinePunct w:val="0"/>
                    <w:autoSpaceDE/>
                    <w:autoSpaceDN/>
                    <w:bidi w:val="0"/>
                    <w:spacing w:line="240" w:lineRule="auto"/>
                    <w:ind w:left="0" w:right="0" w:rightChars="0" w:firstLine="0" w:firstLineChars="0"/>
                    <w:jc w:val="center"/>
                    <w:textAlignment w:val="auto"/>
                    <w:rPr>
                      <w:rFonts w:hint="eastAsia" w:ascii="Times New Roman" w:hAnsi="Times New Roman" w:eastAsia="宋体" w:cs="宋体"/>
                      <w:color w:val="auto"/>
                      <w:spacing w:val="-7"/>
                      <w:sz w:val="21"/>
                      <w:lang w:val="en-US" w:eastAsia="zh-CN"/>
                    </w:rPr>
                  </w:pPr>
                  <w:r>
                    <w:rPr>
                      <w:rFonts w:ascii="Times New Roman" w:hAnsi="Times New Roman" w:eastAsia="宋体" w:cs="宋体"/>
                      <w:color w:val="auto"/>
                      <w:spacing w:val="-7"/>
                      <w:sz w:val="21"/>
                    </w:rPr>
                    <w:t>污染物名称</w:t>
                  </w:r>
                </w:p>
              </w:tc>
              <w:tc>
                <w:tcPr>
                  <w:tcW w:w="530" w:type="dxa"/>
                  <w:tcBorders>
                    <w:bottom w:val="single" w:color="000000" w:sz="12" w:space="0"/>
                  </w:tcBorders>
                  <w:vAlign w:val="center"/>
                </w:tcPr>
                <w:p w14:paraId="21A61851">
                  <w:pPr>
                    <w:pStyle w:val="97"/>
                    <w:keepNext w:val="0"/>
                    <w:keepLines w:val="0"/>
                    <w:pageBreakBefore w:val="0"/>
                    <w:widowControl w:val="0"/>
                    <w:kinsoku/>
                    <w:wordWrap/>
                    <w:overflowPunct/>
                    <w:topLinePunct w:val="0"/>
                    <w:autoSpaceDE/>
                    <w:autoSpaceDN/>
                    <w:bidi w:val="0"/>
                    <w:spacing w:line="240" w:lineRule="auto"/>
                    <w:ind w:left="0" w:right="0" w:rightChars="0" w:firstLine="0" w:firstLineChars="0"/>
                    <w:jc w:val="center"/>
                    <w:textAlignment w:val="auto"/>
                    <w:rPr>
                      <w:rFonts w:ascii="Times New Roman" w:hAnsi="Times New Roman" w:eastAsia="宋体" w:cs="宋体"/>
                      <w:color w:val="auto"/>
                      <w:spacing w:val="-7"/>
                      <w:sz w:val="21"/>
                    </w:rPr>
                  </w:pPr>
                  <w:r>
                    <w:rPr>
                      <w:rFonts w:ascii="Times New Roman" w:hAnsi="Times New Roman" w:eastAsia="宋体" w:cs="宋体"/>
                      <w:color w:val="auto"/>
                      <w:spacing w:val="-7"/>
                      <w:sz w:val="21"/>
                    </w:rPr>
                    <w:t>代号</w:t>
                  </w:r>
                </w:p>
              </w:tc>
              <w:tc>
                <w:tcPr>
                  <w:tcW w:w="3658" w:type="dxa"/>
                  <w:tcBorders>
                    <w:bottom w:val="single" w:color="000000" w:sz="12" w:space="0"/>
                  </w:tcBorders>
                  <w:vAlign w:val="center"/>
                </w:tcPr>
                <w:p w14:paraId="0BA0450B">
                  <w:pPr>
                    <w:pStyle w:val="97"/>
                    <w:keepNext w:val="0"/>
                    <w:keepLines w:val="0"/>
                    <w:pageBreakBefore w:val="0"/>
                    <w:widowControl w:val="0"/>
                    <w:kinsoku/>
                    <w:wordWrap/>
                    <w:overflowPunct/>
                    <w:topLinePunct w:val="0"/>
                    <w:autoSpaceDE/>
                    <w:autoSpaceDN/>
                    <w:bidi w:val="0"/>
                    <w:spacing w:line="240" w:lineRule="auto"/>
                    <w:ind w:left="0" w:right="0" w:rightChars="0" w:firstLine="0" w:firstLineChars="0"/>
                    <w:jc w:val="center"/>
                    <w:textAlignment w:val="auto"/>
                    <w:rPr>
                      <w:rFonts w:ascii="Times New Roman" w:hAnsi="Times New Roman" w:eastAsia="宋体" w:cs="宋体"/>
                      <w:color w:val="auto"/>
                      <w:spacing w:val="-7"/>
                      <w:sz w:val="21"/>
                    </w:rPr>
                  </w:pPr>
                  <w:r>
                    <w:rPr>
                      <w:rFonts w:ascii="Times New Roman" w:hAnsi="Times New Roman" w:eastAsia="宋体" w:cs="宋体"/>
                      <w:color w:val="auto"/>
                      <w:spacing w:val="-7"/>
                      <w:sz w:val="21"/>
                    </w:rPr>
                    <w:t>主要成分</w:t>
                  </w:r>
                </w:p>
              </w:tc>
            </w:tr>
            <w:tr w14:paraId="743F7BC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420" w:hRule="atLeast"/>
                <w:tblHeader/>
              </w:trPr>
              <w:tc>
                <w:tcPr>
                  <w:tcW w:w="389" w:type="dxa"/>
                  <w:vMerge w:val="restart"/>
                  <w:tcBorders>
                    <w:top w:val="single" w:color="000000" w:sz="12" w:space="0"/>
                    <w:tl2br w:val="nil"/>
                    <w:tr2bl w:val="nil"/>
                  </w:tcBorders>
                  <w:vAlign w:val="center"/>
                </w:tcPr>
                <w:p w14:paraId="6E9257D5">
                  <w:pPr>
                    <w:pStyle w:val="97"/>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ascii="Times New Roman" w:hAnsi="Times New Roman" w:eastAsia="宋体"/>
                      <w:color w:val="auto"/>
                      <w:sz w:val="21"/>
                      <w:szCs w:val="21"/>
                      <w:highlight w:val="none"/>
                    </w:rPr>
                  </w:pPr>
                  <w:r>
                    <w:rPr>
                      <w:rFonts w:ascii="Times New Roman" w:hAnsi="Times New Roman" w:eastAsia="宋体"/>
                      <w:color w:val="auto"/>
                      <w:spacing w:val="-10"/>
                      <w:sz w:val="21"/>
                    </w:rPr>
                    <w:t>1</w:t>
                  </w:r>
                </w:p>
              </w:tc>
              <w:tc>
                <w:tcPr>
                  <w:tcW w:w="444" w:type="dxa"/>
                  <w:vMerge w:val="restart"/>
                  <w:tcBorders>
                    <w:top w:val="single" w:color="000000" w:sz="12" w:space="0"/>
                    <w:tl2br w:val="nil"/>
                    <w:tr2bl w:val="nil"/>
                  </w:tcBorders>
                  <w:vAlign w:val="center"/>
                </w:tcPr>
                <w:p w14:paraId="3FCAEAE2">
                  <w:pPr>
                    <w:pStyle w:val="97"/>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ascii="Times New Roman" w:hAnsi="Times New Roman" w:eastAsia="宋体"/>
                      <w:color w:val="auto"/>
                      <w:sz w:val="21"/>
                      <w:szCs w:val="21"/>
                      <w:highlight w:val="none"/>
                    </w:rPr>
                  </w:pPr>
                  <w:r>
                    <w:rPr>
                      <w:rFonts w:ascii="Times New Roman" w:hAnsi="Times New Roman" w:eastAsia="宋体"/>
                      <w:color w:val="auto"/>
                      <w:spacing w:val="-8"/>
                      <w:sz w:val="21"/>
                    </w:rPr>
                    <w:t>废气</w:t>
                  </w:r>
                </w:p>
              </w:tc>
              <w:tc>
                <w:tcPr>
                  <w:tcW w:w="2031" w:type="dxa"/>
                  <w:tcBorders>
                    <w:top w:val="single" w:color="000000" w:sz="12" w:space="0"/>
                    <w:tl2br w:val="nil"/>
                    <w:tr2bl w:val="nil"/>
                  </w:tcBorders>
                  <w:shd w:val="clear" w:color="auto" w:fill="auto"/>
                  <w:vAlign w:val="center"/>
                </w:tcPr>
                <w:p w14:paraId="117BA992">
                  <w:pPr>
                    <w:pStyle w:val="115"/>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hint="default" w:ascii="Times New Roman" w:hAnsi="Times New Roman" w:eastAsia="宋体" w:cs="宋体"/>
                      <w:color w:val="auto"/>
                      <w:kern w:val="2"/>
                      <w:sz w:val="21"/>
                      <w:szCs w:val="24"/>
                      <w:lang w:val="en-US" w:eastAsia="zh-CN" w:bidi="ar-SA"/>
                    </w:rPr>
                  </w:pPr>
                  <w:r>
                    <w:rPr>
                      <w:rFonts w:hint="eastAsia" w:ascii="Times New Roman" w:hAnsi="Times New Roman" w:cs="宋体"/>
                      <w:color w:val="auto"/>
                      <w:kern w:val="2"/>
                      <w:sz w:val="21"/>
                      <w:szCs w:val="24"/>
                      <w:lang w:val="en-US" w:eastAsia="zh-CN" w:bidi="ar-SA"/>
                    </w:rPr>
                    <w:t>污水处理设施</w:t>
                  </w:r>
                </w:p>
              </w:tc>
              <w:tc>
                <w:tcPr>
                  <w:tcW w:w="1587" w:type="dxa"/>
                  <w:tcBorders>
                    <w:top w:val="single" w:color="000000" w:sz="12" w:space="0"/>
                    <w:tl2br w:val="nil"/>
                    <w:tr2bl w:val="nil"/>
                  </w:tcBorders>
                  <w:shd w:val="clear" w:color="auto" w:fill="auto"/>
                  <w:vAlign w:val="center"/>
                </w:tcPr>
                <w:p w14:paraId="0C7C3F55">
                  <w:pPr>
                    <w:pStyle w:val="115"/>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hint="default" w:ascii="Times New Roman" w:hAnsi="Times New Roman" w:eastAsia="宋体" w:cs="宋体"/>
                      <w:color w:val="auto"/>
                      <w:kern w:val="2"/>
                      <w:sz w:val="21"/>
                      <w:szCs w:val="24"/>
                      <w:lang w:val="en-US" w:eastAsia="zh-CN" w:bidi="ar-SA"/>
                    </w:rPr>
                  </w:pPr>
                  <w:r>
                    <w:rPr>
                      <w:rFonts w:hint="eastAsia" w:ascii="Times New Roman" w:hAnsi="Times New Roman" w:cs="宋体"/>
                      <w:color w:val="auto"/>
                      <w:kern w:val="2"/>
                      <w:sz w:val="21"/>
                      <w:szCs w:val="24"/>
                      <w:lang w:val="en-US" w:eastAsia="zh-CN" w:bidi="ar-SA"/>
                    </w:rPr>
                    <w:t>污水处理设施废气</w:t>
                  </w:r>
                </w:p>
              </w:tc>
              <w:tc>
                <w:tcPr>
                  <w:tcW w:w="530" w:type="dxa"/>
                  <w:tcBorders>
                    <w:top w:val="single" w:color="000000" w:sz="12" w:space="0"/>
                    <w:tl2br w:val="nil"/>
                    <w:tr2bl w:val="nil"/>
                  </w:tcBorders>
                  <w:shd w:val="clear" w:color="auto" w:fill="auto"/>
                  <w:vAlign w:val="center"/>
                </w:tcPr>
                <w:p w14:paraId="7873C95E">
                  <w:pPr>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ascii="Times New Roman" w:hAnsi="Times New Roman" w:eastAsia="宋体" w:cs="Times New Roman"/>
                      <w:color w:val="auto"/>
                      <w:kern w:val="2"/>
                      <w:sz w:val="21"/>
                      <w:szCs w:val="20"/>
                      <w:lang w:val="en-US" w:eastAsia="zh-CN" w:bidi="ar-SA"/>
                    </w:rPr>
                  </w:pPr>
                  <w:r>
                    <w:rPr>
                      <w:rFonts w:ascii="Times New Roman" w:hAnsi="Times New Roman" w:eastAsia="宋体" w:cs="Times New Roman"/>
                      <w:color w:val="auto"/>
                      <w:spacing w:val="11"/>
                      <w:position w:val="1"/>
                      <w:sz w:val="21"/>
                      <w:szCs w:val="20"/>
                    </w:rPr>
                    <w:t>G1</w:t>
                  </w:r>
                </w:p>
              </w:tc>
              <w:tc>
                <w:tcPr>
                  <w:tcW w:w="3658" w:type="dxa"/>
                  <w:tcBorders>
                    <w:top w:val="single" w:color="000000" w:sz="12" w:space="0"/>
                    <w:tl2br w:val="nil"/>
                    <w:tr2bl w:val="nil"/>
                  </w:tcBorders>
                  <w:shd w:val="clear" w:color="auto" w:fill="auto"/>
                  <w:vAlign w:val="center"/>
                </w:tcPr>
                <w:p w14:paraId="07EF54D9">
                  <w:pPr>
                    <w:pStyle w:val="115"/>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hint="default" w:ascii="Times New Roman" w:hAnsi="Times New Roman" w:eastAsia="宋体" w:cs="宋体"/>
                      <w:color w:val="auto"/>
                      <w:kern w:val="2"/>
                      <w:sz w:val="21"/>
                      <w:szCs w:val="24"/>
                      <w:lang w:val="en-US" w:eastAsia="zh-CN" w:bidi="ar-SA"/>
                    </w:rPr>
                  </w:pPr>
                  <w:r>
                    <w:rPr>
                      <w:rFonts w:hint="eastAsia" w:ascii="Times New Roman" w:hAnsi="Times New Roman" w:cs="宋体"/>
                      <w:color w:val="auto"/>
                      <w:kern w:val="2"/>
                      <w:sz w:val="21"/>
                      <w:szCs w:val="24"/>
                      <w:lang w:val="en-US" w:eastAsia="zh-CN" w:bidi="ar-SA"/>
                    </w:rPr>
                    <w:t>氨气、硫化氢、臭气浓度</w:t>
                  </w:r>
                </w:p>
              </w:tc>
            </w:tr>
            <w:tr w14:paraId="714BF2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528" w:hRule="atLeast"/>
                <w:tblHeader/>
              </w:trPr>
              <w:tc>
                <w:tcPr>
                  <w:tcW w:w="389" w:type="dxa"/>
                  <w:vMerge w:val="continue"/>
                  <w:tcBorders>
                    <w:tl2br w:val="nil"/>
                    <w:tr2bl w:val="nil"/>
                  </w:tcBorders>
                  <w:vAlign w:val="center"/>
                </w:tcPr>
                <w:p w14:paraId="625C2C07">
                  <w:pPr>
                    <w:keepNext w:val="0"/>
                    <w:keepLines w:val="0"/>
                    <w:pageBreakBefore w:val="0"/>
                    <w:widowControl w:val="0"/>
                    <w:tabs>
                      <w:tab w:val="left" w:pos="2604"/>
                    </w:tabs>
                    <w:kinsoku/>
                    <w:wordWrap/>
                    <w:overflowPunct/>
                    <w:topLinePunct w:val="0"/>
                    <w:autoSpaceDE/>
                    <w:autoSpaceDN/>
                    <w:bidi w:val="0"/>
                    <w:adjustRightInd w:val="0"/>
                    <w:snapToGrid w:val="0"/>
                    <w:spacing w:line="240" w:lineRule="auto"/>
                    <w:ind w:left="0" w:right="0" w:firstLine="0" w:firstLineChars="0"/>
                    <w:jc w:val="center"/>
                    <w:textAlignment w:val="auto"/>
                    <w:rPr>
                      <w:rFonts w:ascii="Times New Roman" w:hAnsi="Times New Roman" w:eastAsia="宋体"/>
                      <w:color w:val="auto"/>
                      <w:sz w:val="21"/>
                      <w:szCs w:val="21"/>
                      <w:highlight w:val="none"/>
                    </w:rPr>
                  </w:pPr>
                </w:p>
              </w:tc>
              <w:tc>
                <w:tcPr>
                  <w:tcW w:w="444" w:type="dxa"/>
                  <w:vMerge w:val="continue"/>
                  <w:tcBorders>
                    <w:tl2br w:val="nil"/>
                    <w:tr2bl w:val="nil"/>
                  </w:tcBorders>
                  <w:vAlign w:val="center"/>
                </w:tcPr>
                <w:p w14:paraId="6C541AC5">
                  <w:pPr>
                    <w:pStyle w:val="48"/>
                    <w:keepNext w:val="0"/>
                    <w:keepLines w:val="0"/>
                    <w:pageBreakBefore w:val="0"/>
                    <w:widowControl w:val="0"/>
                    <w:tabs>
                      <w:tab w:val="left" w:pos="0"/>
                    </w:tabs>
                    <w:kinsoku/>
                    <w:wordWrap/>
                    <w:overflowPunct/>
                    <w:topLinePunct w:val="0"/>
                    <w:autoSpaceDE/>
                    <w:autoSpaceDN/>
                    <w:bidi w:val="0"/>
                    <w:spacing w:line="240" w:lineRule="auto"/>
                    <w:ind w:left="0" w:right="0" w:firstLine="0" w:firstLineChars="0"/>
                    <w:jc w:val="center"/>
                    <w:textAlignment w:val="auto"/>
                    <w:rPr>
                      <w:rFonts w:ascii="Times New Roman" w:hAnsi="Times New Roman" w:eastAsia="宋体"/>
                      <w:color w:val="auto"/>
                      <w:sz w:val="21"/>
                      <w:szCs w:val="21"/>
                      <w:highlight w:val="none"/>
                    </w:rPr>
                  </w:pPr>
                </w:p>
              </w:tc>
              <w:tc>
                <w:tcPr>
                  <w:tcW w:w="2031" w:type="dxa"/>
                  <w:tcBorders>
                    <w:tl2br w:val="nil"/>
                    <w:tr2bl w:val="nil"/>
                  </w:tcBorders>
                  <w:shd w:val="clear" w:color="auto" w:fill="auto"/>
                  <w:vAlign w:val="center"/>
                </w:tcPr>
                <w:p w14:paraId="682AD69A">
                  <w:pPr>
                    <w:pStyle w:val="97"/>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hint="eastAsia" w:ascii="Times New Roman" w:hAnsi="Times New Roman" w:eastAsia="宋体" w:cs="宋体"/>
                      <w:color w:val="auto"/>
                      <w:spacing w:val="2"/>
                      <w:kern w:val="2"/>
                      <w:sz w:val="21"/>
                      <w:szCs w:val="24"/>
                      <w:lang w:val="en-US" w:eastAsia="zh-CN" w:bidi="ar-SA"/>
                    </w:rPr>
                  </w:pPr>
                  <w:r>
                    <w:rPr>
                      <w:rFonts w:hint="eastAsia" w:ascii="Times New Roman" w:hAnsi="Times New Roman" w:cs="宋体"/>
                      <w:color w:val="auto"/>
                      <w:spacing w:val="2"/>
                      <w:kern w:val="2"/>
                      <w:sz w:val="21"/>
                      <w:szCs w:val="24"/>
                      <w:lang w:val="en-US" w:eastAsia="zh-CN" w:bidi="ar-SA"/>
                    </w:rPr>
                    <w:t>医疗</w:t>
                  </w:r>
                </w:p>
              </w:tc>
              <w:tc>
                <w:tcPr>
                  <w:tcW w:w="1587" w:type="dxa"/>
                  <w:tcBorders>
                    <w:tl2br w:val="nil"/>
                    <w:tr2bl w:val="nil"/>
                  </w:tcBorders>
                  <w:shd w:val="clear" w:color="auto" w:fill="auto"/>
                  <w:vAlign w:val="center"/>
                </w:tcPr>
                <w:p w14:paraId="2CED347D">
                  <w:pPr>
                    <w:pStyle w:val="115"/>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ascii="Times New Roman" w:hAnsi="Times New Roman" w:eastAsia="宋体" w:cs="宋体"/>
                      <w:color w:val="auto"/>
                      <w:kern w:val="2"/>
                      <w:sz w:val="21"/>
                      <w:szCs w:val="24"/>
                      <w:lang w:val="en-US" w:eastAsia="en-US" w:bidi="ar-SA"/>
                    </w:rPr>
                  </w:pPr>
                  <w:r>
                    <w:rPr>
                      <w:rFonts w:hint="eastAsia" w:ascii="Times New Roman" w:hAnsi="Times New Roman" w:cs="宋体"/>
                      <w:color w:val="auto"/>
                      <w:kern w:val="2"/>
                      <w:sz w:val="21"/>
                      <w:szCs w:val="24"/>
                      <w:lang w:val="en-US" w:eastAsia="zh-CN" w:bidi="ar-SA"/>
                    </w:rPr>
                    <w:t>医疗区废气</w:t>
                  </w:r>
                </w:p>
              </w:tc>
              <w:tc>
                <w:tcPr>
                  <w:tcW w:w="530" w:type="dxa"/>
                  <w:tcBorders>
                    <w:tl2br w:val="nil"/>
                    <w:tr2bl w:val="nil"/>
                  </w:tcBorders>
                  <w:shd w:val="clear" w:color="auto" w:fill="auto"/>
                  <w:vAlign w:val="center"/>
                </w:tcPr>
                <w:p w14:paraId="06656136">
                  <w:pPr>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hint="eastAsia" w:ascii="Times New Roman" w:hAnsi="Times New Roman" w:eastAsia="宋体" w:cs="Times New Roman"/>
                      <w:color w:val="auto"/>
                      <w:kern w:val="2"/>
                      <w:sz w:val="21"/>
                      <w:szCs w:val="20"/>
                      <w:lang w:val="en-US" w:eastAsia="zh-CN" w:bidi="ar-SA"/>
                    </w:rPr>
                  </w:pPr>
                  <w:r>
                    <w:rPr>
                      <w:rFonts w:ascii="Times New Roman" w:hAnsi="Times New Roman" w:eastAsia="宋体" w:cs="Times New Roman"/>
                      <w:color w:val="auto"/>
                      <w:spacing w:val="1"/>
                      <w:position w:val="1"/>
                      <w:sz w:val="21"/>
                      <w:szCs w:val="20"/>
                    </w:rPr>
                    <w:t>G</w:t>
                  </w:r>
                  <w:r>
                    <w:rPr>
                      <w:rFonts w:hint="eastAsia" w:cs="Times New Roman"/>
                      <w:color w:val="auto"/>
                      <w:spacing w:val="1"/>
                      <w:position w:val="1"/>
                      <w:sz w:val="21"/>
                      <w:szCs w:val="20"/>
                      <w:lang w:val="en-US" w:eastAsia="zh-CN"/>
                    </w:rPr>
                    <w:t>2</w:t>
                  </w:r>
                </w:p>
              </w:tc>
              <w:tc>
                <w:tcPr>
                  <w:tcW w:w="3658" w:type="dxa"/>
                  <w:tcBorders>
                    <w:tl2br w:val="nil"/>
                    <w:tr2bl w:val="nil"/>
                  </w:tcBorders>
                  <w:shd w:val="clear" w:color="auto" w:fill="auto"/>
                  <w:vAlign w:val="center"/>
                </w:tcPr>
                <w:p w14:paraId="291BBD11">
                  <w:pPr>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hint="default" w:ascii="Times New Roman" w:hAnsi="Times New Roman" w:eastAsia="宋体" w:cs="Times New Roman"/>
                      <w:color w:val="auto"/>
                      <w:kern w:val="2"/>
                      <w:sz w:val="21"/>
                      <w:szCs w:val="20"/>
                      <w:lang w:val="en-US" w:eastAsia="zh-CN" w:bidi="ar-SA"/>
                    </w:rPr>
                  </w:pPr>
                  <w:r>
                    <w:rPr>
                      <w:rFonts w:hint="eastAsia" w:cs="Times New Roman"/>
                      <w:color w:val="auto"/>
                      <w:kern w:val="2"/>
                      <w:sz w:val="21"/>
                      <w:szCs w:val="20"/>
                      <w:lang w:val="en-US" w:eastAsia="zh-CN" w:bidi="ar-SA"/>
                    </w:rPr>
                    <w:t>细菌和病原菌等气溶胶废气</w:t>
                  </w:r>
                </w:p>
              </w:tc>
            </w:tr>
            <w:tr w14:paraId="6865FE4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528" w:hRule="atLeast"/>
                <w:tblHeader/>
              </w:trPr>
              <w:tc>
                <w:tcPr>
                  <w:tcW w:w="389" w:type="dxa"/>
                  <w:vMerge w:val="continue"/>
                  <w:tcBorders>
                    <w:tl2br w:val="nil"/>
                    <w:tr2bl w:val="nil"/>
                  </w:tcBorders>
                  <w:vAlign w:val="center"/>
                </w:tcPr>
                <w:p w14:paraId="01DE2250">
                  <w:pPr>
                    <w:keepNext w:val="0"/>
                    <w:keepLines w:val="0"/>
                    <w:pageBreakBefore w:val="0"/>
                    <w:widowControl w:val="0"/>
                    <w:tabs>
                      <w:tab w:val="left" w:pos="2604"/>
                    </w:tabs>
                    <w:kinsoku/>
                    <w:wordWrap/>
                    <w:overflowPunct/>
                    <w:topLinePunct w:val="0"/>
                    <w:autoSpaceDE/>
                    <w:autoSpaceDN/>
                    <w:bidi w:val="0"/>
                    <w:adjustRightInd w:val="0"/>
                    <w:snapToGrid w:val="0"/>
                    <w:spacing w:line="240" w:lineRule="auto"/>
                    <w:ind w:left="0" w:right="0" w:firstLine="0" w:firstLineChars="0"/>
                    <w:jc w:val="center"/>
                    <w:textAlignment w:val="auto"/>
                    <w:rPr>
                      <w:rFonts w:ascii="Times New Roman" w:hAnsi="Times New Roman" w:eastAsia="宋体"/>
                      <w:color w:val="auto"/>
                      <w:sz w:val="21"/>
                      <w:szCs w:val="21"/>
                      <w:highlight w:val="none"/>
                    </w:rPr>
                  </w:pPr>
                </w:p>
              </w:tc>
              <w:tc>
                <w:tcPr>
                  <w:tcW w:w="444" w:type="dxa"/>
                  <w:vMerge w:val="continue"/>
                  <w:tcBorders>
                    <w:tl2br w:val="nil"/>
                    <w:tr2bl w:val="nil"/>
                  </w:tcBorders>
                  <w:vAlign w:val="center"/>
                </w:tcPr>
                <w:p w14:paraId="1DFC6059">
                  <w:pPr>
                    <w:pStyle w:val="48"/>
                    <w:keepNext w:val="0"/>
                    <w:keepLines w:val="0"/>
                    <w:pageBreakBefore w:val="0"/>
                    <w:widowControl w:val="0"/>
                    <w:tabs>
                      <w:tab w:val="left" w:pos="0"/>
                    </w:tabs>
                    <w:kinsoku/>
                    <w:wordWrap/>
                    <w:overflowPunct/>
                    <w:topLinePunct w:val="0"/>
                    <w:autoSpaceDE/>
                    <w:autoSpaceDN/>
                    <w:bidi w:val="0"/>
                    <w:spacing w:line="240" w:lineRule="auto"/>
                    <w:ind w:left="0" w:right="0" w:firstLine="0" w:firstLineChars="0"/>
                    <w:jc w:val="center"/>
                    <w:textAlignment w:val="auto"/>
                    <w:rPr>
                      <w:rFonts w:ascii="Times New Roman" w:hAnsi="Times New Roman" w:eastAsia="宋体"/>
                      <w:color w:val="auto"/>
                      <w:sz w:val="21"/>
                      <w:szCs w:val="21"/>
                      <w:highlight w:val="none"/>
                    </w:rPr>
                  </w:pPr>
                </w:p>
              </w:tc>
              <w:tc>
                <w:tcPr>
                  <w:tcW w:w="2031" w:type="dxa"/>
                  <w:tcBorders>
                    <w:tl2br w:val="nil"/>
                    <w:tr2bl w:val="nil"/>
                  </w:tcBorders>
                  <w:vAlign w:val="center"/>
                </w:tcPr>
                <w:p w14:paraId="35BB0B0B">
                  <w:pPr>
                    <w:pStyle w:val="97"/>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hint="eastAsia" w:ascii="Times New Roman" w:hAnsi="Times New Roman" w:eastAsia="宋体" w:cs="宋体"/>
                      <w:color w:val="auto"/>
                      <w:spacing w:val="2"/>
                      <w:kern w:val="2"/>
                      <w:sz w:val="21"/>
                      <w:szCs w:val="24"/>
                      <w:highlight w:val="none"/>
                      <w:lang w:val="en-US" w:eastAsia="zh-CN" w:bidi="ar-SA"/>
                    </w:rPr>
                  </w:pPr>
                  <w:r>
                    <w:rPr>
                      <w:rFonts w:hint="eastAsia" w:ascii="Times New Roman" w:hAnsi="Times New Roman" w:cs="宋体"/>
                      <w:color w:val="auto"/>
                      <w:spacing w:val="2"/>
                      <w:kern w:val="2"/>
                      <w:sz w:val="21"/>
                      <w:szCs w:val="24"/>
                      <w:highlight w:val="none"/>
                      <w:lang w:val="en-US" w:eastAsia="zh-CN" w:bidi="ar-SA"/>
                    </w:rPr>
                    <w:t>化验</w:t>
                  </w:r>
                </w:p>
              </w:tc>
              <w:tc>
                <w:tcPr>
                  <w:tcW w:w="1587" w:type="dxa"/>
                  <w:tcBorders>
                    <w:tl2br w:val="nil"/>
                    <w:tr2bl w:val="nil"/>
                  </w:tcBorders>
                  <w:shd w:val="clear" w:color="auto" w:fill="auto"/>
                  <w:vAlign w:val="center"/>
                </w:tcPr>
                <w:p w14:paraId="5AABBBCF">
                  <w:pPr>
                    <w:pStyle w:val="115"/>
                    <w:keepNext w:val="0"/>
                    <w:keepLines w:val="0"/>
                    <w:pageBreakBefore w:val="0"/>
                    <w:widowControl w:val="0"/>
                    <w:kinsoku/>
                    <w:wordWrap/>
                    <w:overflowPunct/>
                    <w:topLinePunct w:val="0"/>
                    <w:autoSpaceDE/>
                    <w:autoSpaceDN/>
                    <w:bidi w:val="0"/>
                    <w:spacing w:line="240" w:lineRule="auto"/>
                    <w:ind w:left="0" w:right="0" w:firstLine="0" w:firstLineChars="0"/>
                    <w:jc w:val="center"/>
                    <w:textAlignment w:val="auto"/>
                    <w:rPr>
                      <w:rFonts w:hint="default" w:ascii="Times New Roman" w:hAnsi="Times New Roman" w:eastAsia="宋体" w:cs="宋体"/>
                      <w:color w:val="auto"/>
                      <w:kern w:val="2"/>
                      <w:sz w:val="21"/>
                      <w:szCs w:val="24"/>
                      <w:highlight w:val="none"/>
                      <w:lang w:val="en-US" w:eastAsia="zh-CN" w:bidi="ar-SA"/>
                    </w:rPr>
                  </w:pPr>
                  <w:r>
                    <w:rPr>
                      <w:rFonts w:hint="eastAsia" w:ascii="Times New Roman" w:hAnsi="Times New Roman" w:cs="宋体"/>
                      <w:color w:val="auto"/>
                      <w:kern w:val="2"/>
                      <w:sz w:val="21"/>
                      <w:szCs w:val="24"/>
                      <w:highlight w:val="none"/>
                      <w:lang w:val="en-US" w:eastAsia="zh-CN" w:bidi="ar-SA"/>
                    </w:rPr>
                    <w:t>化验室废气</w:t>
                  </w:r>
                </w:p>
              </w:tc>
              <w:tc>
                <w:tcPr>
                  <w:tcW w:w="530" w:type="dxa"/>
                  <w:tcBorders>
                    <w:tl2br w:val="nil"/>
                    <w:tr2bl w:val="nil"/>
                  </w:tcBorders>
                  <w:shd w:val="clear" w:color="auto" w:fill="auto"/>
                  <w:vAlign w:val="center"/>
                </w:tcPr>
                <w:p w14:paraId="2189E304">
                  <w:pPr>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hint="eastAsia" w:ascii="Times New Roman" w:hAnsi="Times New Roman" w:eastAsia="宋体" w:cs="Times New Roman"/>
                      <w:color w:val="auto"/>
                      <w:kern w:val="2"/>
                      <w:sz w:val="21"/>
                      <w:szCs w:val="20"/>
                      <w:highlight w:val="none"/>
                      <w:lang w:val="en-US" w:eastAsia="zh-CN" w:bidi="ar-SA"/>
                    </w:rPr>
                  </w:pPr>
                  <w:r>
                    <w:rPr>
                      <w:rFonts w:ascii="Times New Roman" w:hAnsi="Times New Roman" w:eastAsia="宋体" w:cs="Times New Roman"/>
                      <w:color w:val="auto"/>
                      <w:spacing w:val="1"/>
                      <w:position w:val="2"/>
                      <w:sz w:val="21"/>
                      <w:szCs w:val="20"/>
                      <w:highlight w:val="none"/>
                    </w:rPr>
                    <w:t>G</w:t>
                  </w:r>
                  <w:r>
                    <w:rPr>
                      <w:rFonts w:hint="eastAsia" w:cs="Times New Roman"/>
                      <w:color w:val="auto"/>
                      <w:spacing w:val="1"/>
                      <w:position w:val="2"/>
                      <w:sz w:val="21"/>
                      <w:szCs w:val="20"/>
                      <w:highlight w:val="none"/>
                      <w:lang w:val="en-US" w:eastAsia="zh-CN"/>
                    </w:rPr>
                    <w:t>3</w:t>
                  </w:r>
                </w:p>
              </w:tc>
              <w:tc>
                <w:tcPr>
                  <w:tcW w:w="3658" w:type="dxa"/>
                  <w:tcBorders>
                    <w:tl2br w:val="nil"/>
                    <w:tr2bl w:val="nil"/>
                  </w:tcBorders>
                  <w:shd w:val="clear" w:color="auto" w:fill="auto"/>
                  <w:vAlign w:val="center"/>
                </w:tcPr>
                <w:p w14:paraId="50B03193">
                  <w:pPr>
                    <w:pStyle w:val="115"/>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ascii="Times New Roman" w:hAnsi="Times New Roman" w:eastAsia="宋体" w:cs="宋体"/>
                      <w:color w:val="auto"/>
                      <w:kern w:val="2"/>
                      <w:sz w:val="21"/>
                      <w:szCs w:val="24"/>
                      <w:highlight w:val="none"/>
                      <w:lang w:val="en-US" w:eastAsia="en-US" w:bidi="ar-SA"/>
                    </w:rPr>
                  </w:pPr>
                  <w:r>
                    <w:rPr>
                      <w:rFonts w:hint="eastAsia" w:ascii="Times New Roman" w:hAnsi="Times New Roman" w:eastAsia="宋体" w:cs="宋体"/>
                      <w:color w:val="auto"/>
                      <w:kern w:val="2"/>
                      <w:sz w:val="21"/>
                      <w:szCs w:val="24"/>
                      <w:highlight w:val="none"/>
                      <w:lang w:val="en-US" w:eastAsia="en-US" w:bidi="ar-SA"/>
                    </w:rPr>
                    <w:t>挥发性有机废气等</w:t>
                  </w:r>
                  <w:r>
                    <w:rPr>
                      <w:rFonts w:hint="eastAsia" w:cs="Times New Roman"/>
                      <w:color w:val="auto"/>
                      <w:kern w:val="2"/>
                      <w:sz w:val="21"/>
                      <w:szCs w:val="20"/>
                      <w:lang w:val="en-US" w:eastAsia="zh-CN" w:bidi="ar-SA"/>
                    </w:rPr>
                    <w:t>废气</w:t>
                  </w:r>
                </w:p>
              </w:tc>
            </w:tr>
            <w:tr w14:paraId="1D5EC15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570" w:hRule="atLeast"/>
                <w:tblHeader/>
              </w:trPr>
              <w:tc>
                <w:tcPr>
                  <w:tcW w:w="389" w:type="dxa"/>
                  <w:vMerge w:val="restart"/>
                  <w:tcBorders>
                    <w:tl2br w:val="nil"/>
                    <w:tr2bl w:val="nil"/>
                  </w:tcBorders>
                  <w:vAlign w:val="center"/>
                </w:tcPr>
                <w:p w14:paraId="336D0EA9">
                  <w:pPr>
                    <w:keepNext w:val="0"/>
                    <w:keepLines w:val="0"/>
                    <w:pageBreakBefore w:val="0"/>
                    <w:widowControl w:val="0"/>
                    <w:kinsoku/>
                    <w:wordWrap/>
                    <w:overflowPunct/>
                    <w:topLinePunct w:val="0"/>
                    <w:autoSpaceDE/>
                    <w:autoSpaceDN/>
                    <w:bidi w:val="0"/>
                    <w:spacing w:line="240" w:lineRule="auto"/>
                    <w:ind w:left="0" w:right="0"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color w:val="auto"/>
                      <w:sz w:val="21"/>
                      <w:szCs w:val="21"/>
                      <w:highlight w:val="none"/>
                      <w:lang w:val="en-US" w:eastAsia="zh-CN"/>
                    </w:rPr>
                    <w:t>2</w:t>
                  </w:r>
                </w:p>
              </w:tc>
              <w:tc>
                <w:tcPr>
                  <w:tcW w:w="444" w:type="dxa"/>
                  <w:vMerge w:val="restart"/>
                  <w:tcBorders>
                    <w:tl2br w:val="nil"/>
                    <w:tr2bl w:val="nil"/>
                  </w:tcBorders>
                  <w:vAlign w:val="center"/>
                </w:tcPr>
                <w:p w14:paraId="70635476">
                  <w:pPr>
                    <w:keepNext w:val="0"/>
                    <w:keepLines w:val="0"/>
                    <w:pageBreakBefore w:val="0"/>
                    <w:widowControl w:val="0"/>
                    <w:kinsoku/>
                    <w:wordWrap/>
                    <w:overflowPunct/>
                    <w:topLinePunct w:val="0"/>
                    <w:autoSpaceDE/>
                    <w:autoSpaceDN/>
                    <w:bidi w:val="0"/>
                    <w:spacing w:line="240" w:lineRule="auto"/>
                    <w:ind w:left="0" w:right="0"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pacing w:val="-8"/>
                      <w:sz w:val="21"/>
                    </w:rPr>
                    <w:t>废</w:t>
                  </w:r>
                  <w:r>
                    <w:rPr>
                      <w:rFonts w:hint="eastAsia" w:ascii="Times New Roman" w:hAnsi="Times New Roman" w:eastAsia="宋体"/>
                      <w:color w:val="auto"/>
                      <w:spacing w:val="-8"/>
                      <w:sz w:val="21"/>
                      <w:lang w:val="en-US" w:eastAsia="zh-CN"/>
                    </w:rPr>
                    <w:t>水</w:t>
                  </w:r>
                </w:p>
              </w:tc>
              <w:tc>
                <w:tcPr>
                  <w:tcW w:w="2031" w:type="dxa"/>
                  <w:tcBorders>
                    <w:tl2br w:val="nil"/>
                    <w:tr2bl w:val="nil"/>
                  </w:tcBorders>
                  <w:shd w:val="clear" w:color="auto" w:fill="auto"/>
                  <w:vAlign w:val="center"/>
                </w:tcPr>
                <w:p w14:paraId="6C70628F">
                  <w:pPr>
                    <w:pStyle w:val="115"/>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hint="eastAsia" w:ascii="Times New Roman" w:hAnsi="Times New Roman" w:eastAsia="宋体" w:cs="宋体"/>
                      <w:color w:val="auto"/>
                      <w:kern w:val="2"/>
                      <w:sz w:val="21"/>
                      <w:szCs w:val="24"/>
                      <w:lang w:val="en-US" w:eastAsia="zh-CN" w:bidi="ar-SA"/>
                    </w:rPr>
                  </w:pPr>
                  <w:r>
                    <w:rPr>
                      <w:rFonts w:hint="eastAsia" w:ascii="Times New Roman" w:hAnsi="Times New Roman" w:eastAsia="宋体"/>
                      <w:color w:val="auto"/>
                      <w:spacing w:val="6"/>
                      <w:sz w:val="21"/>
                      <w:lang w:val="en-US" w:eastAsia="zh-CN"/>
                    </w:rPr>
                    <w:t>门诊</w:t>
                  </w:r>
                </w:p>
              </w:tc>
              <w:tc>
                <w:tcPr>
                  <w:tcW w:w="1587" w:type="dxa"/>
                  <w:tcBorders>
                    <w:tl2br w:val="nil"/>
                    <w:tr2bl w:val="nil"/>
                  </w:tcBorders>
                  <w:shd w:val="clear" w:color="auto" w:fill="auto"/>
                  <w:vAlign w:val="center"/>
                </w:tcPr>
                <w:p w14:paraId="08384525">
                  <w:pPr>
                    <w:pStyle w:val="115"/>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ascii="Times New Roman" w:hAnsi="Times New Roman" w:eastAsia="宋体"/>
                      <w:color w:val="auto"/>
                      <w:spacing w:val="6"/>
                      <w:sz w:val="21"/>
                      <w:lang w:val="en-US" w:eastAsia="en-US"/>
                    </w:rPr>
                  </w:pPr>
                  <w:r>
                    <w:rPr>
                      <w:rFonts w:hint="eastAsia" w:ascii="Times New Roman" w:hAnsi="Times New Roman" w:eastAsia="宋体"/>
                      <w:color w:val="auto"/>
                      <w:spacing w:val="6"/>
                      <w:sz w:val="21"/>
                      <w:lang w:val="en-US" w:eastAsia="zh-CN"/>
                    </w:rPr>
                    <w:t>门诊</w:t>
                  </w:r>
                  <w:r>
                    <w:rPr>
                      <w:rFonts w:hint="eastAsia" w:ascii="Times New Roman" w:hAnsi="Times New Roman" w:eastAsia="宋体"/>
                      <w:color w:val="auto"/>
                      <w:spacing w:val="6"/>
                      <w:sz w:val="21"/>
                    </w:rPr>
                    <w:t>废水</w:t>
                  </w:r>
                </w:p>
              </w:tc>
              <w:tc>
                <w:tcPr>
                  <w:tcW w:w="530" w:type="dxa"/>
                  <w:tcBorders>
                    <w:tl2br w:val="nil"/>
                    <w:tr2bl w:val="nil"/>
                  </w:tcBorders>
                  <w:shd w:val="clear" w:color="auto" w:fill="auto"/>
                  <w:vAlign w:val="center"/>
                </w:tcPr>
                <w:p w14:paraId="434803D4">
                  <w:pPr>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hint="eastAsia" w:ascii="Times New Roman" w:hAnsi="Times New Roman" w:eastAsia="宋体" w:cs="Times New Roman"/>
                      <w:color w:val="auto"/>
                      <w:kern w:val="2"/>
                      <w:sz w:val="21"/>
                      <w:szCs w:val="20"/>
                      <w:lang w:val="en-US" w:eastAsia="zh-CN" w:bidi="ar-SA"/>
                    </w:rPr>
                  </w:pPr>
                  <w:r>
                    <w:rPr>
                      <w:rFonts w:ascii="Times New Roman" w:hAnsi="Times New Roman" w:eastAsia="宋体" w:cs="Times New Roman"/>
                      <w:color w:val="auto"/>
                      <w:spacing w:val="4"/>
                      <w:sz w:val="21"/>
                      <w:szCs w:val="20"/>
                    </w:rPr>
                    <w:t>W</w:t>
                  </w:r>
                  <w:r>
                    <w:rPr>
                      <w:rFonts w:hint="eastAsia" w:cs="Times New Roman"/>
                      <w:color w:val="auto"/>
                      <w:spacing w:val="4"/>
                      <w:sz w:val="21"/>
                      <w:szCs w:val="20"/>
                      <w:lang w:val="en-US" w:eastAsia="zh-CN"/>
                    </w:rPr>
                    <w:t>1</w:t>
                  </w:r>
                </w:p>
              </w:tc>
              <w:tc>
                <w:tcPr>
                  <w:tcW w:w="3658" w:type="dxa"/>
                  <w:vMerge w:val="restart"/>
                  <w:tcBorders>
                    <w:tl2br w:val="nil"/>
                    <w:tr2bl w:val="nil"/>
                  </w:tcBorders>
                  <w:shd w:val="clear" w:color="auto" w:fill="auto"/>
                  <w:vAlign w:val="center"/>
                </w:tcPr>
                <w:p w14:paraId="6E26B199">
                  <w:pPr>
                    <w:pStyle w:val="115"/>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hint="eastAsia" w:ascii="Times New Roman" w:hAnsi="Times New Roman" w:eastAsia="宋体" w:cs="Times New Roman"/>
                      <w:color w:val="auto"/>
                      <w:kern w:val="2"/>
                      <w:sz w:val="21"/>
                      <w:szCs w:val="24"/>
                      <w:lang w:val="en-US" w:eastAsia="zh-CN" w:bidi="ar-SA"/>
                    </w:rPr>
                  </w:pPr>
                  <w:r>
                    <w:rPr>
                      <w:rFonts w:hint="eastAsia" w:ascii="Times New Roman" w:hAnsi="Times New Roman" w:eastAsia="宋体" w:cs="Times New Roman"/>
                      <w:color w:val="auto"/>
                      <w:sz w:val="21"/>
                    </w:rPr>
                    <w:t>pH、COD、BOD</w:t>
                  </w:r>
                  <w:r>
                    <w:rPr>
                      <w:rFonts w:hint="eastAsia" w:ascii="Times New Roman" w:hAnsi="Times New Roman" w:cs="Times New Roman"/>
                      <w:color w:val="auto"/>
                      <w:sz w:val="21"/>
                      <w:vertAlign w:val="subscript"/>
                      <w:lang w:val="en-US" w:eastAsia="zh-CN"/>
                    </w:rPr>
                    <w:t>5</w:t>
                  </w:r>
                  <w:r>
                    <w:rPr>
                      <w:rFonts w:hint="eastAsia" w:ascii="Times New Roman" w:hAnsi="Times New Roman" w:eastAsia="宋体" w:cs="Times New Roman"/>
                      <w:color w:val="auto"/>
                      <w:sz w:val="21"/>
                    </w:rPr>
                    <w:t>、SS、NH</w:t>
                  </w:r>
                  <w:r>
                    <w:rPr>
                      <w:rFonts w:hint="eastAsia" w:ascii="Times New Roman" w:hAnsi="Times New Roman" w:cs="Times New Roman"/>
                      <w:color w:val="auto"/>
                      <w:sz w:val="21"/>
                      <w:vertAlign w:val="subscript"/>
                      <w:lang w:val="en-US" w:eastAsia="zh-CN"/>
                    </w:rPr>
                    <w:t>3</w:t>
                  </w:r>
                  <w:r>
                    <w:rPr>
                      <w:rFonts w:hint="eastAsia" w:ascii="Times New Roman" w:hAnsi="Times New Roman" w:eastAsia="宋体" w:cs="Times New Roman"/>
                      <w:color w:val="auto"/>
                      <w:sz w:val="21"/>
                    </w:rPr>
                    <w:t>-N、LAS、粪大肠菌群数、总余氯</w:t>
                  </w:r>
                  <w:r>
                    <w:rPr>
                      <w:rFonts w:hint="eastAsia" w:ascii="Times New Roman" w:hAnsi="Times New Roman" w:cs="Times New Roman"/>
                      <w:color w:val="auto"/>
                      <w:sz w:val="21"/>
                      <w:lang w:eastAsia="zh-CN"/>
                    </w:rPr>
                    <w:t>、</w:t>
                  </w:r>
                  <w:r>
                    <w:rPr>
                      <w:rFonts w:hint="eastAsia" w:ascii="Times New Roman" w:hAnsi="Times New Roman" w:eastAsia="宋体" w:cs="Times New Roman"/>
                      <w:color w:val="auto"/>
                      <w:sz w:val="21"/>
                      <w:lang w:val="en-US" w:eastAsia="zh-CN"/>
                    </w:rPr>
                    <w:t>动植物油、石油类、挥发酚、总氰化合物</w:t>
                  </w:r>
                </w:p>
              </w:tc>
            </w:tr>
            <w:tr w14:paraId="6949FB5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570" w:hRule="atLeast"/>
                <w:tblHeader/>
              </w:trPr>
              <w:tc>
                <w:tcPr>
                  <w:tcW w:w="389" w:type="dxa"/>
                  <w:vMerge w:val="continue"/>
                  <w:tcBorders>
                    <w:tl2br w:val="nil"/>
                    <w:tr2bl w:val="nil"/>
                  </w:tcBorders>
                  <w:vAlign w:val="center"/>
                </w:tcPr>
                <w:p w14:paraId="519D62D5">
                  <w:pPr>
                    <w:keepNext w:val="0"/>
                    <w:keepLines w:val="0"/>
                    <w:pageBreakBefore w:val="0"/>
                    <w:widowControl w:val="0"/>
                    <w:kinsoku/>
                    <w:wordWrap/>
                    <w:overflowPunct/>
                    <w:topLinePunct w:val="0"/>
                    <w:autoSpaceDE/>
                    <w:autoSpaceDN/>
                    <w:bidi w:val="0"/>
                    <w:spacing w:line="240" w:lineRule="auto"/>
                    <w:ind w:left="0" w:right="0" w:firstLine="0" w:firstLineChars="0"/>
                    <w:jc w:val="center"/>
                    <w:textAlignment w:val="auto"/>
                    <w:rPr>
                      <w:rFonts w:ascii="Times New Roman" w:hAnsi="Times New Roman" w:eastAsia="宋体"/>
                      <w:color w:val="auto"/>
                      <w:sz w:val="21"/>
                      <w:szCs w:val="21"/>
                      <w:highlight w:val="none"/>
                    </w:rPr>
                  </w:pPr>
                </w:p>
              </w:tc>
              <w:tc>
                <w:tcPr>
                  <w:tcW w:w="444" w:type="dxa"/>
                  <w:vMerge w:val="continue"/>
                  <w:tcBorders>
                    <w:tl2br w:val="nil"/>
                    <w:tr2bl w:val="nil"/>
                  </w:tcBorders>
                  <w:vAlign w:val="center"/>
                </w:tcPr>
                <w:p w14:paraId="59E0028C">
                  <w:pPr>
                    <w:keepNext w:val="0"/>
                    <w:keepLines w:val="0"/>
                    <w:pageBreakBefore w:val="0"/>
                    <w:widowControl w:val="0"/>
                    <w:kinsoku/>
                    <w:wordWrap/>
                    <w:overflowPunct/>
                    <w:topLinePunct w:val="0"/>
                    <w:autoSpaceDE/>
                    <w:autoSpaceDN/>
                    <w:bidi w:val="0"/>
                    <w:spacing w:line="240" w:lineRule="auto"/>
                    <w:ind w:left="0" w:right="0" w:firstLine="0" w:firstLineChars="0"/>
                    <w:jc w:val="center"/>
                    <w:textAlignment w:val="auto"/>
                    <w:rPr>
                      <w:rFonts w:ascii="Times New Roman" w:hAnsi="Times New Roman" w:eastAsia="宋体"/>
                      <w:color w:val="auto"/>
                      <w:sz w:val="21"/>
                      <w:highlight w:val="none"/>
                    </w:rPr>
                  </w:pPr>
                </w:p>
              </w:tc>
              <w:tc>
                <w:tcPr>
                  <w:tcW w:w="2031" w:type="dxa"/>
                  <w:tcBorders>
                    <w:tl2br w:val="nil"/>
                    <w:tr2bl w:val="nil"/>
                  </w:tcBorders>
                  <w:shd w:val="clear" w:color="auto" w:fill="auto"/>
                  <w:vAlign w:val="center"/>
                </w:tcPr>
                <w:p w14:paraId="5D3D9F77">
                  <w:pPr>
                    <w:pStyle w:val="115"/>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hint="eastAsia" w:ascii="Times New Roman" w:hAnsi="Times New Roman" w:eastAsia="宋体" w:cs="宋体"/>
                      <w:color w:val="auto"/>
                      <w:kern w:val="2"/>
                      <w:sz w:val="21"/>
                      <w:szCs w:val="24"/>
                      <w:lang w:val="en-US" w:eastAsia="zh-CN" w:bidi="ar-SA"/>
                    </w:rPr>
                  </w:pPr>
                  <w:r>
                    <w:rPr>
                      <w:rFonts w:hint="eastAsia" w:ascii="Times New Roman" w:hAnsi="Times New Roman" w:eastAsia="宋体"/>
                      <w:color w:val="auto"/>
                      <w:spacing w:val="6"/>
                      <w:sz w:val="21"/>
                      <w:lang w:val="en-US" w:eastAsia="zh-CN"/>
                    </w:rPr>
                    <w:t>病房</w:t>
                  </w:r>
                </w:p>
              </w:tc>
              <w:tc>
                <w:tcPr>
                  <w:tcW w:w="1587" w:type="dxa"/>
                  <w:tcBorders>
                    <w:tl2br w:val="nil"/>
                    <w:tr2bl w:val="nil"/>
                  </w:tcBorders>
                  <w:shd w:val="clear" w:color="auto" w:fill="auto"/>
                  <w:vAlign w:val="center"/>
                </w:tcPr>
                <w:p w14:paraId="2C592E70">
                  <w:pPr>
                    <w:pStyle w:val="115"/>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ascii="Times New Roman" w:hAnsi="Times New Roman" w:eastAsia="宋体"/>
                      <w:color w:val="auto"/>
                      <w:spacing w:val="6"/>
                      <w:sz w:val="21"/>
                      <w:lang w:val="en-US" w:eastAsia="en-US"/>
                    </w:rPr>
                  </w:pPr>
                  <w:r>
                    <w:rPr>
                      <w:rFonts w:hint="eastAsia" w:ascii="Times New Roman" w:hAnsi="Times New Roman" w:eastAsia="宋体"/>
                      <w:color w:val="auto"/>
                      <w:spacing w:val="6"/>
                      <w:sz w:val="21"/>
                      <w:lang w:val="en-US" w:eastAsia="zh-CN"/>
                    </w:rPr>
                    <w:t>病房</w:t>
                  </w:r>
                  <w:r>
                    <w:rPr>
                      <w:rFonts w:hint="eastAsia" w:ascii="Times New Roman" w:hAnsi="Times New Roman" w:eastAsia="宋体"/>
                      <w:color w:val="auto"/>
                      <w:spacing w:val="6"/>
                      <w:sz w:val="21"/>
                    </w:rPr>
                    <w:t>废水</w:t>
                  </w:r>
                </w:p>
              </w:tc>
              <w:tc>
                <w:tcPr>
                  <w:tcW w:w="530" w:type="dxa"/>
                  <w:tcBorders>
                    <w:tl2br w:val="nil"/>
                    <w:tr2bl w:val="nil"/>
                  </w:tcBorders>
                  <w:shd w:val="clear" w:color="auto" w:fill="auto"/>
                  <w:vAlign w:val="center"/>
                </w:tcPr>
                <w:p w14:paraId="4B40F44B">
                  <w:pPr>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hint="eastAsia" w:ascii="Times New Roman" w:hAnsi="Times New Roman" w:eastAsia="宋体" w:cs="Times New Roman"/>
                      <w:color w:val="auto"/>
                      <w:kern w:val="2"/>
                      <w:sz w:val="21"/>
                      <w:szCs w:val="20"/>
                      <w:lang w:val="en-US" w:eastAsia="zh-CN" w:bidi="ar-SA"/>
                    </w:rPr>
                  </w:pPr>
                  <w:r>
                    <w:rPr>
                      <w:rFonts w:ascii="Times New Roman" w:hAnsi="Times New Roman" w:eastAsia="宋体" w:cs="Times New Roman"/>
                      <w:color w:val="auto"/>
                      <w:spacing w:val="4"/>
                      <w:position w:val="1"/>
                      <w:sz w:val="21"/>
                      <w:szCs w:val="20"/>
                    </w:rPr>
                    <w:t>W</w:t>
                  </w:r>
                  <w:r>
                    <w:rPr>
                      <w:rFonts w:hint="eastAsia" w:cs="Times New Roman"/>
                      <w:color w:val="auto"/>
                      <w:spacing w:val="4"/>
                      <w:position w:val="1"/>
                      <w:sz w:val="21"/>
                      <w:szCs w:val="20"/>
                      <w:lang w:val="en-US" w:eastAsia="zh-CN"/>
                    </w:rPr>
                    <w:t>2</w:t>
                  </w:r>
                </w:p>
              </w:tc>
              <w:tc>
                <w:tcPr>
                  <w:tcW w:w="3658" w:type="dxa"/>
                  <w:vMerge w:val="continue"/>
                  <w:tcBorders>
                    <w:tl2br w:val="nil"/>
                    <w:tr2bl w:val="nil"/>
                  </w:tcBorders>
                  <w:shd w:val="clear" w:color="auto" w:fill="auto"/>
                  <w:vAlign w:val="center"/>
                </w:tcPr>
                <w:p w14:paraId="23E44C82">
                  <w:pPr>
                    <w:pStyle w:val="115"/>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hint="eastAsia" w:ascii="Times New Roman" w:hAnsi="Times New Roman" w:eastAsia="宋体" w:cs="Times New Roman"/>
                      <w:color w:val="auto"/>
                      <w:kern w:val="2"/>
                      <w:sz w:val="21"/>
                      <w:szCs w:val="24"/>
                      <w:lang w:val="en-US" w:eastAsia="zh-CN" w:bidi="ar-SA"/>
                    </w:rPr>
                  </w:pPr>
                </w:p>
              </w:tc>
            </w:tr>
            <w:tr w14:paraId="7D4D03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570" w:hRule="atLeast"/>
                <w:tblHeader/>
              </w:trPr>
              <w:tc>
                <w:tcPr>
                  <w:tcW w:w="389" w:type="dxa"/>
                  <w:vMerge w:val="continue"/>
                  <w:tcBorders>
                    <w:tl2br w:val="nil"/>
                    <w:tr2bl w:val="nil"/>
                  </w:tcBorders>
                  <w:vAlign w:val="center"/>
                </w:tcPr>
                <w:p w14:paraId="1A64D33C">
                  <w:pPr>
                    <w:keepNext w:val="0"/>
                    <w:keepLines w:val="0"/>
                    <w:pageBreakBefore w:val="0"/>
                    <w:widowControl w:val="0"/>
                    <w:kinsoku/>
                    <w:wordWrap/>
                    <w:overflowPunct/>
                    <w:topLinePunct w:val="0"/>
                    <w:autoSpaceDE/>
                    <w:autoSpaceDN/>
                    <w:bidi w:val="0"/>
                    <w:spacing w:line="240" w:lineRule="auto"/>
                    <w:ind w:left="0" w:right="0" w:firstLine="0" w:firstLineChars="0"/>
                    <w:jc w:val="center"/>
                    <w:textAlignment w:val="auto"/>
                    <w:rPr>
                      <w:rFonts w:ascii="Times New Roman" w:hAnsi="Times New Roman" w:eastAsia="宋体"/>
                      <w:color w:val="auto"/>
                      <w:sz w:val="21"/>
                      <w:szCs w:val="21"/>
                      <w:highlight w:val="none"/>
                    </w:rPr>
                  </w:pPr>
                </w:p>
              </w:tc>
              <w:tc>
                <w:tcPr>
                  <w:tcW w:w="444" w:type="dxa"/>
                  <w:vMerge w:val="continue"/>
                  <w:tcBorders>
                    <w:tl2br w:val="nil"/>
                    <w:tr2bl w:val="nil"/>
                  </w:tcBorders>
                  <w:vAlign w:val="center"/>
                </w:tcPr>
                <w:p w14:paraId="146CC728">
                  <w:pPr>
                    <w:keepNext w:val="0"/>
                    <w:keepLines w:val="0"/>
                    <w:pageBreakBefore w:val="0"/>
                    <w:widowControl w:val="0"/>
                    <w:kinsoku/>
                    <w:wordWrap/>
                    <w:overflowPunct/>
                    <w:topLinePunct w:val="0"/>
                    <w:autoSpaceDE/>
                    <w:autoSpaceDN/>
                    <w:bidi w:val="0"/>
                    <w:spacing w:line="240" w:lineRule="auto"/>
                    <w:ind w:left="0" w:right="0" w:firstLine="0" w:firstLineChars="0"/>
                    <w:jc w:val="center"/>
                    <w:textAlignment w:val="auto"/>
                    <w:rPr>
                      <w:rFonts w:ascii="Times New Roman" w:hAnsi="Times New Roman" w:eastAsia="宋体"/>
                      <w:color w:val="auto"/>
                      <w:sz w:val="21"/>
                      <w:highlight w:val="none"/>
                    </w:rPr>
                  </w:pPr>
                </w:p>
              </w:tc>
              <w:tc>
                <w:tcPr>
                  <w:tcW w:w="2031" w:type="dxa"/>
                  <w:tcBorders>
                    <w:tl2br w:val="nil"/>
                    <w:tr2bl w:val="nil"/>
                  </w:tcBorders>
                  <w:shd w:val="clear" w:color="auto" w:fill="auto"/>
                  <w:vAlign w:val="center"/>
                </w:tcPr>
                <w:p w14:paraId="74B479D5">
                  <w:pPr>
                    <w:pStyle w:val="115"/>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ascii="Times New Roman" w:hAnsi="Times New Roman" w:eastAsia="宋体"/>
                      <w:color w:val="auto"/>
                      <w:spacing w:val="5"/>
                      <w:sz w:val="21"/>
                    </w:rPr>
                  </w:pPr>
                  <w:r>
                    <w:rPr>
                      <w:rFonts w:hint="eastAsia" w:ascii="Times New Roman" w:hAnsi="Times New Roman"/>
                      <w:color w:val="auto"/>
                      <w:spacing w:val="6"/>
                      <w:sz w:val="21"/>
                      <w:lang w:val="en-US" w:eastAsia="zh-CN"/>
                    </w:rPr>
                    <w:t>医疗人员</w:t>
                  </w:r>
                  <w:r>
                    <w:rPr>
                      <w:rFonts w:ascii="Times New Roman" w:hAnsi="Times New Roman" w:eastAsia="宋体"/>
                      <w:color w:val="auto"/>
                      <w:spacing w:val="6"/>
                      <w:sz w:val="21"/>
                    </w:rPr>
                    <w:t>生活</w:t>
                  </w:r>
                </w:p>
              </w:tc>
              <w:tc>
                <w:tcPr>
                  <w:tcW w:w="1587" w:type="dxa"/>
                  <w:tcBorders>
                    <w:tl2br w:val="nil"/>
                    <w:tr2bl w:val="nil"/>
                  </w:tcBorders>
                  <w:shd w:val="clear" w:color="auto" w:fill="auto"/>
                  <w:vAlign w:val="center"/>
                </w:tcPr>
                <w:p w14:paraId="72833910">
                  <w:pPr>
                    <w:pStyle w:val="115"/>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hint="default" w:ascii="Times New Roman" w:hAnsi="Times New Roman" w:eastAsia="宋体"/>
                      <w:color w:val="auto"/>
                      <w:spacing w:val="6"/>
                      <w:sz w:val="21"/>
                      <w:lang w:val="en-US" w:eastAsia="zh-CN"/>
                    </w:rPr>
                  </w:pPr>
                  <w:r>
                    <w:rPr>
                      <w:rFonts w:ascii="Times New Roman" w:hAnsi="Times New Roman" w:eastAsia="宋体"/>
                      <w:color w:val="auto"/>
                      <w:spacing w:val="6"/>
                      <w:sz w:val="21"/>
                    </w:rPr>
                    <w:t>生活污水</w:t>
                  </w:r>
                </w:p>
              </w:tc>
              <w:tc>
                <w:tcPr>
                  <w:tcW w:w="530" w:type="dxa"/>
                  <w:tcBorders>
                    <w:tl2br w:val="nil"/>
                    <w:tr2bl w:val="nil"/>
                  </w:tcBorders>
                  <w:shd w:val="clear" w:color="auto" w:fill="auto"/>
                  <w:vAlign w:val="center"/>
                </w:tcPr>
                <w:p w14:paraId="1D1F18F6">
                  <w:pPr>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hint="eastAsia" w:ascii="Times New Roman" w:hAnsi="Times New Roman" w:eastAsia="宋体" w:cs="Times New Roman"/>
                      <w:color w:val="auto"/>
                      <w:spacing w:val="4"/>
                      <w:position w:val="1"/>
                      <w:sz w:val="21"/>
                      <w:szCs w:val="20"/>
                      <w:lang w:eastAsia="zh-CN"/>
                    </w:rPr>
                  </w:pPr>
                  <w:r>
                    <w:rPr>
                      <w:rFonts w:ascii="Times New Roman" w:hAnsi="Times New Roman" w:eastAsia="宋体" w:cs="Times New Roman"/>
                      <w:color w:val="auto"/>
                      <w:spacing w:val="4"/>
                      <w:position w:val="1"/>
                      <w:sz w:val="21"/>
                      <w:szCs w:val="20"/>
                    </w:rPr>
                    <w:t>W</w:t>
                  </w:r>
                  <w:r>
                    <w:rPr>
                      <w:rFonts w:hint="eastAsia" w:cs="Times New Roman"/>
                      <w:color w:val="auto"/>
                      <w:spacing w:val="4"/>
                      <w:position w:val="1"/>
                      <w:sz w:val="21"/>
                      <w:szCs w:val="20"/>
                      <w:lang w:val="en-US" w:eastAsia="zh-CN"/>
                    </w:rPr>
                    <w:t>3</w:t>
                  </w:r>
                </w:p>
              </w:tc>
              <w:tc>
                <w:tcPr>
                  <w:tcW w:w="3658" w:type="dxa"/>
                  <w:tcBorders>
                    <w:tl2br w:val="nil"/>
                    <w:tr2bl w:val="nil"/>
                  </w:tcBorders>
                  <w:shd w:val="clear" w:color="auto" w:fill="auto"/>
                  <w:vAlign w:val="center"/>
                </w:tcPr>
                <w:p w14:paraId="68D40858">
                  <w:pPr>
                    <w:pStyle w:val="115"/>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ascii="Times New Roman" w:hAnsi="Times New Roman" w:eastAsia="宋体" w:cs="Times New Roman"/>
                      <w:color w:val="auto"/>
                      <w:spacing w:val="-1"/>
                      <w:sz w:val="21"/>
                    </w:rPr>
                  </w:pPr>
                  <w:r>
                    <w:rPr>
                      <w:rFonts w:hint="eastAsia" w:ascii="Times New Roman" w:hAnsi="Times New Roman" w:eastAsia="宋体" w:cs="Times New Roman"/>
                      <w:color w:val="auto"/>
                      <w:sz w:val="21"/>
                    </w:rPr>
                    <w:t>pH、COD、BOD</w:t>
                  </w:r>
                  <w:r>
                    <w:rPr>
                      <w:rFonts w:hint="eastAsia" w:ascii="Times New Roman" w:hAnsi="Times New Roman" w:cs="Times New Roman"/>
                      <w:color w:val="auto"/>
                      <w:sz w:val="21"/>
                      <w:vertAlign w:val="subscript"/>
                      <w:lang w:val="en-US" w:eastAsia="zh-CN"/>
                    </w:rPr>
                    <w:t>5</w:t>
                  </w:r>
                  <w:r>
                    <w:rPr>
                      <w:rFonts w:hint="eastAsia" w:ascii="Times New Roman" w:hAnsi="Times New Roman" w:eastAsia="宋体" w:cs="Times New Roman"/>
                      <w:color w:val="auto"/>
                      <w:sz w:val="21"/>
                    </w:rPr>
                    <w:t>、SS、NH</w:t>
                  </w:r>
                  <w:r>
                    <w:rPr>
                      <w:rFonts w:hint="eastAsia" w:ascii="Times New Roman" w:hAnsi="Times New Roman" w:cs="Times New Roman"/>
                      <w:color w:val="auto"/>
                      <w:sz w:val="21"/>
                      <w:vertAlign w:val="subscript"/>
                      <w:lang w:val="en-US" w:eastAsia="zh-CN"/>
                    </w:rPr>
                    <w:t>3</w:t>
                  </w:r>
                  <w:r>
                    <w:rPr>
                      <w:rFonts w:hint="eastAsia" w:ascii="Times New Roman" w:hAnsi="Times New Roman" w:eastAsia="宋体" w:cs="Times New Roman"/>
                      <w:color w:val="auto"/>
                      <w:sz w:val="21"/>
                    </w:rPr>
                    <w:t>-N</w:t>
                  </w:r>
                </w:p>
              </w:tc>
            </w:tr>
            <w:tr w14:paraId="6EA1FE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926" w:hRule="atLeast"/>
                <w:tblHeader/>
              </w:trPr>
              <w:tc>
                <w:tcPr>
                  <w:tcW w:w="389" w:type="dxa"/>
                  <w:vMerge w:val="restart"/>
                  <w:tcBorders>
                    <w:tl2br w:val="nil"/>
                    <w:tr2bl w:val="nil"/>
                  </w:tcBorders>
                  <w:vAlign w:val="center"/>
                </w:tcPr>
                <w:p w14:paraId="440C97CB">
                  <w:pPr>
                    <w:pStyle w:val="97"/>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ascii="Times New Roman" w:hAnsi="Times New Roman" w:eastAsia="宋体"/>
                      <w:color w:val="auto"/>
                      <w:sz w:val="21"/>
                      <w:szCs w:val="21"/>
                      <w:highlight w:val="none"/>
                    </w:rPr>
                  </w:pPr>
                  <w:r>
                    <w:rPr>
                      <w:rFonts w:ascii="Times New Roman" w:hAnsi="Times New Roman" w:eastAsia="宋体"/>
                      <w:color w:val="auto"/>
                      <w:spacing w:val="-10"/>
                      <w:sz w:val="21"/>
                    </w:rPr>
                    <w:t>3</w:t>
                  </w:r>
                </w:p>
              </w:tc>
              <w:tc>
                <w:tcPr>
                  <w:tcW w:w="444" w:type="dxa"/>
                  <w:vMerge w:val="restart"/>
                  <w:tcBorders>
                    <w:tl2br w:val="nil"/>
                    <w:tr2bl w:val="nil"/>
                  </w:tcBorders>
                  <w:vAlign w:val="center"/>
                </w:tcPr>
                <w:p w14:paraId="186925DB">
                  <w:pPr>
                    <w:pStyle w:val="97"/>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hint="default" w:ascii="Times New Roman" w:hAnsi="Times New Roman" w:eastAsia="宋体"/>
                      <w:color w:val="auto"/>
                      <w:sz w:val="21"/>
                      <w:highlight w:val="none"/>
                      <w:lang w:val="en-US" w:eastAsia="zh-CN"/>
                    </w:rPr>
                  </w:pPr>
                  <w:r>
                    <w:rPr>
                      <w:rFonts w:ascii="Times New Roman" w:hAnsi="Times New Roman" w:eastAsia="宋体"/>
                      <w:color w:val="auto"/>
                      <w:spacing w:val="-8"/>
                      <w:sz w:val="21"/>
                    </w:rPr>
                    <w:t>固废</w:t>
                  </w:r>
                </w:p>
              </w:tc>
              <w:tc>
                <w:tcPr>
                  <w:tcW w:w="2031" w:type="dxa"/>
                  <w:tcBorders>
                    <w:tl2br w:val="nil"/>
                    <w:tr2bl w:val="nil"/>
                  </w:tcBorders>
                  <w:shd w:val="clear" w:color="auto" w:fill="auto"/>
                  <w:vAlign w:val="center"/>
                </w:tcPr>
                <w:p w14:paraId="42EDAFBC">
                  <w:pPr>
                    <w:pStyle w:val="115"/>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hint="default" w:ascii="Times New Roman" w:hAnsi="Times New Roman" w:eastAsia="宋体" w:cs="宋体"/>
                      <w:color w:val="auto"/>
                      <w:kern w:val="2"/>
                      <w:sz w:val="21"/>
                      <w:szCs w:val="24"/>
                      <w:lang w:val="en-US" w:eastAsia="zh-CN" w:bidi="ar-SA"/>
                    </w:rPr>
                  </w:pPr>
                  <w:r>
                    <w:rPr>
                      <w:rFonts w:hint="eastAsia" w:ascii="Times New Roman" w:hAnsi="Times New Roman" w:cs="宋体"/>
                      <w:color w:val="auto"/>
                      <w:kern w:val="2"/>
                      <w:sz w:val="21"/>
                      <w:szCs w:val="24"/>
                      <w:lang w:val="en-US" w:eastAsia="zh-CN" w:bidi="ar-SA"/>
                    </w:rPr>
                    <w:t>污水处理设施</w:t>
                  </w:r>
                </w:p>
              </w:tc>
              <w:tc>
                <w:tcPr>
                  <w:tcW w:w="1587" w:type="dxa"/>
                  <w:tcBorders>
                    <w:tl2br w:val="nil"/>
                    <w:tr2bl w:val="nil"/>
                  </w:tcBorders>
                  <w:shd w:val="clear" w:color="auto" w:fill="auto"/>
                  <w:vAlign w:val="center"/>
                </w:tcPr>
                <w:p w14:paraId="696F6CFA">
                  <w:pPr>
                    <w:pStyle w:val="115"/>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hint="default" w:ascii="Times New Roman" w:hAnsi="Times New Roman" w:eastAsia="宋体" w:cs="宋体"/>
                      <w:color w:val="auto"/>
                      <w:kern w:val="2"/>
                      <w:sz w:val="21"/>
                      <w:szCs w:val="24"/>
                      <w:lang w:val="en-US" w:eastAsia="zh-CN" w:bidi="ar-SA"/>
                    </w:rPr>
                  </w:pPr>
                  <w:r>
                    <w:rPr>
                      <w:rFonts w:hint="eastAsia" w:ascii="Times New Roman" w:hAnsi="Times New Roman" w:cs="宋体"/>
                      <w:color w:val="auto"/>
                      <w:kern w:val="2"/>
                      <w:sz w:val="21"/>
                      <w:szCs w:val="24"/>
                      <w:lang w:val="en-US" w:eastAsia="zh-CN" w:bidi="ar-SA"/>
                    </w:rPr>
                    <w:t>污水处理设施污泥</w:t>
                  </w:r>
                </w:p>
              </w:tc>
              <w:tc>
                <w:tcPr>
                  <w:tcW w:w="530" w:type="dxa"/>
                  <w:tcBorders>
                    <w:tl2br w:val="nil"/>
                    <w:tr2bl w:val="nil"/>
                  </w:tcBorders>
                  <w:shd w:val="clear" w:color="auto" w:fill="auto"/>
                  <w:vAlign w:val="center"/>
                </w:tcPr>
                <w:p w14:paraId="3D49B074">
                  <w:pPr>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hint="default" w:ascii="Times New Roman" w:hAnsi="Times New Roman" w:eastAsia="宋体" w:cs="Times New Roman"/>
                      <w:color w:val="auto"/>
                      <w:kern w:val="2"/>
                      <w:sz w:val="21"/>
                      <w:szCs w:val="20"/>
                      <w:lang w:val="en-US" w:eastAsia="zh-CN" w:bidi="ar-SA"/>
                    </w:rPr>
                  </w:pPr>
                  <w:r>
                    <w:rPr>
                      <w:rFonts w:ascii="Times New Roman" w:hAnsi="Times New Roman" w:eastAsia="宋体" w:cs="Times New Roman"/>
                      <w:color w:val="auto"/>
                      <w:spacing w:val="7"/>
                      <w:position w:val="1"/>
                      <w:sz w:val="21"/>
                      <w:szCs w:val="20"/>
                    </w:rPr>
                    <w:t>S1</w:t>
                  </w:r>
                </w:p>
              </w:tc>
              <w:tc>
                <w:tcPr>
                  <w:tcW w:w="3658" w:type="dxa"/>
                  <w:tcBorders>
                    <w:tl2br w:val="nil"/>
                    <w:tr2bl w:val="nil"/>
                  </w:tcBorders>
                  <w:shd w:val="clear" w:color="auto" w:fill="auto"/>
                  <w:vAlign w:val="center"/>
                </w:tcPr>
                <w:p w14:paraId="1B5B9A2B">
                  <w:pPr>
                    <w:pStyle w:val="115"/>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hint="default" w:ascii="Times New Roman" w:hAnsi="Times New Roman" w:eastAsia="宋体" w:cs="宋体"/>
                      <w:color w:val="auto"/>
                      <w:kern w:val="2"/>
                      <w:sz w:val="21"/>
                      <w:szCs w:val="24"/>
                      <w:lang w:val="en-US" w:eastAsia="zh-CN" w:bidi="ar-SA"/>
                    </w:rPr>
                  </w:pPr>
                  <w:r>
                    <w:rPr>
                      <w:rFonts w:hint="eastAsia" w:ascii="Times New Roman" w:hAnsi="Times New Roman" w:cs="宋体"/>
                      <w:color w:val="auto"/>
                      <w:kern w:val="2"/>
                      <w:sz w:val="21"/>
                      <w:szCs w:val="24"/>
                      <w:lang w:val="en-US" w:eastAsia="zh-CN" w:bidi="ar-SA"/>
                    </w:rPr>
                    <w:t>栅渣、污泥</w:t>
                  </w:r>
                </w:p>
              </w:tc>
            </w:tr>
            <w:tr w14:paraId="7DC255B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340" w:hRule="atLeast"/>
                <w:tblHeader/>
              </w:trPr>
              <w:tc>
                <w:tcPr>
                  <w:tcW w:w="389" w:type="dxa"/>
                  <w:vMerge w:val="continue"/>
                  <w:tcBorders>
                    <w:tl2br w:val="nil"/>
                    <w:tr2bl w:val="nil"/>
                  </w:tcBorders>
                  <w:vAlign w:val="center"/>
                </w:tcPr>
                <w:p w14:paraId="22FAE8EE">
                  <w:pPr>
                    <w:keepNext w:val="0"/>
                    <w:keepLines w:val="0"/>
                    <w:pageBreakBefore w:val="0"/>
                    <w:widowControl w:val="0"/>
                    <w:kinsoku/>
                    <w:wordWrap/>
                    <w:overflowPunct/>
                    <w:topLinePunct w:val="0"/>
                    <w:autoSpaceDE/>
                    <w:autoSpaceDN/>
                    <w:bidi w:val="0"/>
                    <w:spacing w:line="240" w:lineRule="auto"/>
                    <w:ind w:left="0" w:right="0" w:firstLine="0" w:firstLineChars="0"/>
                    <w:jc w:val="center"/>
                    <w:textAlignment w:val="auto"/>
                    <w:rPr>
                      <w:rFonts w:ascii="Times New Roman" w:hAnsi="Times New Roman" w:eastAsia="宋体"/>
                      <w:color w:val="auto"/>
                      <w:sz w:val="21"/>
                      <w:szCs w:val="21"/>
                      <w:highlight w:val="none"/>
                    </w:rPr>
                  </w:pPr>
                </w:p>
              </w:tc>
              <w:tc>
                <w:tcPr>
                  <w:tcW w:w="444" w:type="dxa"/>
                  <w:vMerge w:val="continue"/>
                  <w:tcBorders>
                    <w:tl2br w:val="nil"/>
                    <w:tr2bl w:val="nil"/>
                  </w:tcBorders>
                  <w:vAlign w:val="center"/>
                </w:tcPr>
                <w:p w14:paraId="35943BD4">
                  <w:pPr>
                    <w:keepNext w:val="0"/>
                    <w:keepLines w:val="0"/>
                    <w:pageBreakBefore w:val="0"/>
                    <w:widowControl w:val="0"/>
                    <w:kinsoku/>
                    <w:wordWrap/>
                    <w:overflowPunct/>
                    <w:topLinePunct w:val="0"/>
                    <w:autoSpaceDE/>
                    <w:autoSpaceDN/>
                    <w:bidi w:val="0"/>
                    <w:spacing w:line="240" w:lineRule="auto"/>
                    <w:ind w:left="0" w:right="0" w:firstLine="0" w:firstLineChars="0"/>
                    <w:jc w:val="center"/>
                    <w:textAlignment w:val="auto"/>
                    <w:rPr>
                      <w:rFonts w:hint="default" w:ascii="Times New Roman" w:hAnsi="Times New Roman" w:eastAsia="宋体"/>
                      <w:color w:val="auto"/>
                      <w:sz w:val="21"/>
                      <w:highlight w:val="none"/>
                      <w:lang w:val="en-US" w:eastAsia="zh-CN"/>
                    </w:rPr>
                  </w:pPr>
                </w:p>
              </w:tc>
              <w:tc>
                <w:tcPr>
                  <w:tcW w:w="2031" w:type="dxa"/>
                  <w:vMerge w:val="restart"/>
                  <w:tcBorders>
                    <w:tl2br w:val="nil"/>
                    <w:tr2bl w:val="nil"/>
                  </w:tcBorders>
                  <w:shd w:val="clear" w:color="auto" w:fill="auto"/>
                  <w:vAlign w:val="center"/>
                </w:tcPr>
                <w:p w14:paraId="1DC73411">
                  <w:pPr>
                    <w:pStyle w:val="115"/>
                    <w:keepNext w:val="0"/>
                    <w:keepLines w:val="0"/>
                    <w:pageBreakBefore w:val="0"/>
                    <w:widowControl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宋体"/>
                      <w:color w:val="auto"/>
                      <w:kern w:val="2"/>
                      <w:sz w:val="21"/>
                      <w:szCs w:val="24"/>
                      <w:lang w:val="en-US" w:eastAsia="zh-CN" w:bidi="ar-SA"/>
                    </w:rPr>
                  </w:pPr>
                  <w:r>
                    <w:rPr>
                      <w:rFonts w:hint="eastAsia" w:ascii="Times New Roman" w:hAnsi="Times New Roman" w:cs="宋体"/>
                      <w:color w:val="auto"/>
                      <w:kern w:val="2"/>
                      <w:sz w:val="21"/>
                      <w:szCs w:val="24"/>
                      <w:lang w:val="en-US" w:eastAsia="zh-CN" w:bidi="ar-SA"/>
                    </w:rPr>
                    <w:t>医疗</w:t>
                  </w:r>
                </w:p>
              </w:tc>
              <w:tc>
                <w:tcPr>
                  <w:tcW w:w="1587" w:type="dxa"/>
                  <w:tcBorders>
                    <w:tl2br w:val="nil"/>
                    <w:tr2bl w:val="nil"/>
                  </w:tcBorders>
                  <w:shd w:val="clear" w:color="auto" w:fill="auto"/>
                  <w:vAlign w:val="center"/>
                </w:tcPr>
                <w:p w14:paraId="31C640DD">
                  <w:pPr>
                    <w:pStyle w:val="115"/>
                    <w:keepNext w:val="0"/>
                    <w:keepLines w:val="0"/>
                    <w:pageBreakBefore w:val="0"/>
                    <w:widowControl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宋体"/>
                      <w:color w:val="auto"/>
                      <w:kern w:val="2"/>
                      <w:sz w:val="21"/>
                      <w:szCs w:val="24"/>
                      <w:lang w:val="en-US" w:eastAsia="zh-CN" w:bidi="ar-SA"/>
                    </w:rPr>
                  </w:pPr>
                  <w:r>
                    <w:rPr>
                      <w:rFonts w:hint="eastAsia" w:ascii="Times New Roman" w:hAnsi="Times New Roman" w:cs="宋体"/>
                      <w:color w:val="auto"/>
                      <w:kern w:val="2"/>
                      <w:sz w:val="21"/>
                      <w:szCs w:val="24"/>
                      <w:lang w:val="en-US" w:eastAsia="zh-CN" w:bidi="ar-SA"/>
                    </w:rPr>
                    <w:t>医疗废物</w:t>
                  </w:r>
                </w:p>
              </w:tc>
              <w:tc>
                <w:tcPr>
                  <w:tcW w:w="530" w:type="dxa"/>
                  <w:vMerge w:val="restart"/>
                  <w:tcBorders>
                    <w:tl2br w:val="nil"/>
                    <w:tr2bl w:val="nil"/>
                  </w:tcBorders>
                  <w:shd w:val="clear" w:color="auto" w:fill="auto"/>
                  <w:vAlign w:val="center"/>
                </w:tcPr>
                <w:p w14:paraId="2E2FB4B0">
                  <w:pPr>
                    <w:keepNext w:val="0"/>
                    <w:keepLines w:val="0"/>
                    <w:pageBreakBefore w:val="0"/>
                    <w:widowControl w:val="0"/>
                    <w:kinsoku/>
                    <w:wordWrap/>
                    <w:overflowPunct/>
                    <w:topLinePunct w:val="0"/>
                    <w:autoSpaceDE/>
                    <w:autoSpaceDN/>
                    <w:bidi w:val="0"/>
                    <w:spacing w:line="240" w:lineRule="auto"/>
                    <w:ind w:left="0" w:leftChars="0" w:right="0" w:rightChars="0" w:firstLine="0" w:firstLineChars="0"/>
                    <w:jc w:val="center"/>
                    <w:textAlignment w:val="auto"/>
                    <w:rPr>
                      <w:rFonts w:ascii="Times New Roman" w:hAnsi="Times New Roman" w:eastAsia="宋体" w:cs="Times New Roman"/>
                      <w:color w:val="auto"/>
                      <w:kern w:val="2"/>
                      <w:sz w:val="21"/>
                      <w:szCs w:val="20"/>
                      <w:lang w:val="en-US" w:eastAsia="zh-CN" w:bidi="ar-SA"/>
                    </w:rPr>
                  </w:pPr>
                  <w:r>
                    <w:rPr>
                      <w:rFonts w:ascii="Times New Roman" w:hAnsi="Times New Roman" w:eastAsia="宋体" w:cs="Times New Roman"/>
                      <w:color w:val="auto"/>
                      <w:spacing w:val="-3"/>
                      <w:position w:val="2"/>
                      <w:sz w:val="21"/>
                      <w:szCs w:val="20"/>
                    </w:rPr>
                    <w:t>S2</w:t>
                  </w:r>
                </w:p>
              </w:tc>
              <w:tc>
                <w:tcPr>
                  <w:tcW w:w="3658" w:type="dxa"/>
                  <w:tcBorders>
                    <w:tl2br w:val="nil"/>
                    <w:tr2bl w:val="nil"/>
                  </w:tcBorders>
                  <w:shd w:val="clear" w:color="auto" w:fill="auto"/>
                  <w:vAlign w:val="center"/>
                </w:tcPr>
                <w:p w14:paraId="2EB3BFBE">
                  <w:pPr>
                    <w:pStyle w:val="115"/>
                    <w:keepNext w:val="0"/>
                    <w:keepLines w:val="0"/>
                    <w:pageBreakBefore w:val="0"/>
                    <w:widowControl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宋体"/>
                      <w:color w:val="auto"/>
                      <w:kern w:val="2"/>
                      <w:sz w:val="21"/>
                      <w:szCs w:val="24"/>
                      <w:lang w:val="en-US" w:eastAsia="zh-CN" w:bidi="ar-SA"/>
                    </w:rPr>
                  </w:pPr>
                  <w:r>
                    <w:rPr>
                      <w:rFonts w:hint="eastAsia" w:ascii="Times New Roman" w:hAnsi="Times New Roman" w:cs="宋体"/>
                      <w:color w:val="auto"/>
                      <w:kern w:val="2"/>
                      <w:sz w:val="21"/>
                      <w:szCs w:val="24"/>
                      <w:lang w:val="en-US" w:eastAsia="zh-CN" w:bidi="ar-SA"/>
                    </w:rPr>
                    <w:t>感染性、损伤性、病理性、药物性废物等</w:t>
                  </w:r>
                </w:p>
              </w:tc>
            </w:tr>
            <w:tr w14:paraId="492649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340" w:hRule="atLeast"/>
              </w:trPr>
              <w:tc>
                <w:tcPr>
                  <w:tcW w:w="389" w:type="dxa"/>
                  <w:vMerge w:val="continue"/>
                  <w:tcBorders>
                    <w:tl2br w:val="nil"/>
                    <w:tr2bl w:val="nil"/>
                  </w:tcBorders>
                  <w:vAlign w:val="center"/>
                </w:tcPr>
                <w:p w14:paraId="3482EEDF">
                  <w:pPr>
                    <w:keepNext w:val="0"/>
                    <w:keepLines w:val="0"/>
                    <w:pageBreakBefore w:val="0"/>
                    <w:widowControl w:val="0"/>
                    <w:kinsoku/>
                    <w:wordWrap/>
                    <w:overflowPunct/>
                    <w:topLinePunct w:val="0"/>
                    <w:autoSpaceDE/>
                    <w:autoSpaceDN/>
                    <w:bidi w:val="0"/>
                    <w:spacing w:line="240" w:lineRule="auto"/>
                    <w:ind w:left="0" w:right="0" w:firstLine="0" w:firstLineChars="0"/>
                    <w:jc w:val="center"/>
                    <w:textAlignment w:val="auto"/>
                    <w:rPr>
                      <w:rFonts w:ascii="Times New Roman" w:hAnsi="Times New Roman" w:eastAsia="宋体"/>
                      <w:color w:val="auto"/>
                      <w:sz w:val="21"/>
                      <w:szCs w:val="21"/>
                      <w:highlight w:val="none"/>
                    </w:rPr>
                  </w:pPr>
                </w:p>
              </w:tc>
              <w:tc>
                <w:tcPr>
                  <w:tcW w:w="444" w:type="dxa"/>
                  <w:vMerge w:val="continue"/>
                  <w:tcBorders>
                    <w:tl2br w:val="nil"/>
                    <w:tr2bl w:val="nil"/>
                  </w:tcBorders>
                  <w:vAlign w:val="center"/>
                </w:tcPr>
                <w:p w14:paraId="78C7373A">
                  <w:pPr>
                    <w:keepNext w:val="0"/>
                    <w:keepLines w:val="0"/>
                    <w:pageBreakBefore w:val="0"/>
                    <w:widowControl w:val="0"/>
                    <w:kinsoku/>
                    <w:wordWrap/>
                    <w:overflowPunct/>
                    <w:topLinePunct w:val="0"/>
                    <w:autoSpaceDE/>
                    <w:autoSpaceDN/>
                    <w:bidi w:val="0"/>
                    <w:spacing w:line="240" w:lineRule="auto"/>
                    <w:ind w:left="0" w:right="0" w:firstLine="0" w:firstLineChars="0"/>
                    <w:jc w:val="center"/>
                    <w:textAlignment w:val="auto"/>
                    <w:rPr>
                      <w:rFonts w:ascii="Times New Roman" w:hAnsi="Times New Roman" w:eastAsia="宋体"/>
                      <w:color w:val="auto"/>
                      <w:sz w:val="21"/>
                      <w:szCs w:val="21"/>
                      <w:highlight w:val="none"/>
                    </w:rPr>
                  </w:pPr>
                </w:p>
              </w:tc>
              <w:tc>
                <w:tcPr>
                  <w:tcW w:w="2031" w:type="dxa"/>
                  <w:vMerge w:val="continue"/>
                  <w:tcBorders>
                    <w:tl2br w:val="nil"/>
                    <w:tr2bl w:val="nil"/>
                  </w:tcBorders>
                  <w:shd w:val="clear" w:color="auto" w:fill="auto"/>
                  <w:vAlign w:val="center"/>
                </w:tcPr>
                <w:p w14:paraId="3FBA7575">
                  <w:pPr>
                    <w:pStyle w:val="115"/>
                    <w:keepNext w:val="0"/>
                    <w:keepLines w:val="0"/>
                    <w:pageBreakBefore w:val="0"/>
                    <w:widowControl w:val="0"/>
                    <w:kinsoku/>
                    <w:wordWrap/>
                    <w:overflowPunct/>
                    <w:topLinePunct w:val="0"/>
                    <w:autoSpaceDE/>
                    <w:autoSpaceDN/>
                    <w:bidi w:val="0"/>
                    <w:spacing w:line="240" w:lineRule="auto"/>
                    <w:ind w:left="0" w:leftChars="0" w:right="0" w:rightChars="0" w:firstLine="0" w:firstLineChars="0"/>
                    <w:jc w:val="center"/>
                    <w:textAlignment w:val="auto"/>
                    <w:rPr>
                      <w:rFonts w:ascii="Times New Roman" w:hAnsi="Times New Roman" w:eastAsia="宋体" w:cs="宋体"/>
                      <w:color w:val="auto"/>
                      <w:kern w:val="2"/>
                      <w:sz w:val="21"/>
                      <w:szCs w:val="24"/>
                      <w:lang w:val="en-US" w:eastAsia="en-US" w:bidi="ar-SA"/>
                    </w:rPr>
                  </w:pPr>
                </w:p>
              </w:tc>
              <w:tc>
                <w:tcPr>
                  <w:tcW w:w="1587" w:type="dxa"/>
                  <w:tcBorders>
                    <w:tl2br w:val="nil"/>
                    <w:tr2bl w:val="nil"/>
                  </w:tcBorders>
                  <w:shd w:val="clear" w:color="auto" w:fill="auto"/>
                  <w:vAlign w:val="center"/>
                </w:tcPr>
                <w:p w14:paraId="26AA978B">
                  <w:pPr>
                    <w:pStyle w:val="115"/>
                    <w:keepNext w:val="0"/>
                    <w:keepLines w:val="0"/>
                    <w:pageBreakBefore w:val="0"/>
                    <w:widowControl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宋体"/>
                      <w:color w:val="auto"/>
                      <w:kern w:val="2"/>
                      <w:sz w:val="21"/>
                      <w:szCs w:val="24"/>
                      <w:lang w:val="en-US" w:eastAsia="zh-CN" w:bidi="ar-SA"/>
                    </w:rPr>
                  </w:pPr>
                  <w:r>
                    <w:rPr>
                      <w:rFonts w:hint="eastAsia" w:ascii="Times New Roman" w:hAnsi="Times New Roman" w:cs="宋体"/>
                      <w:color w:val="auto"/>
                      <w:kern w:val="2"/>
                      <w:sz w:val="21"/>
                      <w:szCs w:val="24"/>
                      <w:lang w:val="en-US" w:eastAsia="zh-CN" w:bidi="ar-SA"/>
                    </w:rPr>
                    <w:t>废包装材料</w:t>
                  </w:r>
                </w:p>
              </w:tc>
              <w:tc>
                <w:tcPr>
                  <w:tcW w:w="530" w:type="dxa"/>
                  <w:vMerge w:val="continue"/>
                  <w:tcBorders>
                    <w:tl2br w:val="nil"/>
                    <w:tr2bl w:val="nil"/>
                  </w:tcBorders>
                  <w:shd w:val="clear" w:color="auto" w:fill="auto"/>
                  <w:vAlign w:val="center"/>
                </w:tcPr>
                <w:p w14:paraId="36FDFAEA">
                  <w:pPr>
                    <w:keepNext w:val="0"/>
                    <w:keepLines w:val="0"/>
                    <w:pageBreakBefore w:val="0"/>
                    <w:widowControl w:val="0"/>
                    <w:kinsoku/>
                    <w:wordWrap/>
                    <w:overflowPunct/>
                    <w:topLinePunct w:val="0"/>
                    <w:autoSpaceDE/>
                    <w:autoSpaceDN/>
                    <w:bidi w:val="0"/>
                    <w:spacing w:line="240" w:lineRule="auto"/>
                    <w:ind w:left="0" w:leftChars="0" w:right="0" w:rightChars="0" w:firstLine="0" w:firstLineChars="0"/>
                    <w:jc w:val="center"/>
                    <w:textAlignment w:val="auto"/>
                    <w:rPr>
                      <w:rFonts w:ascii="Times New Roman" w:hAnsi="Times New Roman" w:eastAsia="宋体" w:cs="Times New Roman"/>
                      <w:color w:val="auto"/>
                      <w:kern w:val="2"/>
                      <w:sz w:val="21"/>
                      <w:szCs w:val="20"/>
                      <w:lang w:val="en-US" w:eastAsia="zh-CN" w:bidi="ar-SA"/>
                    </w:rPr>
                  </w:pPr>
                </w:p>
              </w:tc>
              <w:tc>
                <w:tcPr>
                  <w:tcW w:w="3658" w:type="dxa"/>
                  <w:tcBorders>
                    <w:tl2br w:val="nil"/>
                    <w:tr2bl w:val="nil"/>
                  </w:tcBorders>
                  <w:shd w:val="clear" w:color="auto" w:fill="auto"/>
                  <w:vAlign w:val="center"/>
                </w:tcPr>
                <w:p w14:paraId="39B4C2D2">
                  <w:pPr>
                    <w:pStyle w:val="115"/>
                    <w:keepNext w:val="0"/>
                    <w:keepLines w:val="0"/>
                    <w:pageBreakBefore w:val="0"/>
                    <w:widowControl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宋体"/>
                      <w:color w:val="auto"/>
                      <w:kern w:val="2"/>
                      <w:sz w:val="21"/>
                      <w:szCs w:val="24"/>
                      <w:lang w:val="en-US" w:eastAsia="zh-CN" w:bidi="ar-SA"/>
                    </w:rPr>
                  </w:pPr>
                  <w:r>
                    <w:rPr>
                      <w:rFonts w:hint="eastAsia" w:ascii="Times New Roman" w:hAnsi="Times New Roman" w:cs="宋体"/>
                      <w:color w:val="auto"/>
                      <w:kern w:val="2"/>
                      <w:sz w:val="21"/>
                      <w:szCs w:val="24"/>
                      <w:lang w:val="en-US" w:eastAsia="zh-CN" w:bidi="ar-SA"/>
                    </w:rPr>
                    <w:t>未使用、无污染、不属于危险废物的一次性输液瓶、袋</w:t>
                  </w:r>
                </w:p>
              </w:tc>
            </w:tr>
            <w:tr w14:paraId="0113F3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340" w:hRule="atLeast"/>
              </w:trPr>
              <w:tc>
                <w:tcPr>
                  <w:tcW w:w="389" w:type="dxa"/>
                  <w:vMerge w:val="continue"/>
                  <w:tcBorders>
                    <w:tl2br w:val="nil"/>
                    <w:tr2bl w:val="nil"/>
                  </w:tcBorders>
                  <w:vAlign w:val="center"/>
                </w:tcPr>
                <w:p w14:paraId="3CAC4626">
                  <w:pPr>
                    <w:keepNext w:val="0"/>
                    <w:keepLines w:val="0"/>
                    <w:pageBreakBefore w:val="0"/>
                    <w:widowControl w:val="0"/>
                    <w:kinsoku/>
                    <w:wordWrap/>
                    <w:overflowPunct/>
                    <w:topLinePunct w:val="0"/>
                    <w:autoSpaceDE/>
                    <w:autoSpaceDN/>
                    <w:bidi w:val="0"/>
                    <w:spacing w:line="240" w:lineRule="auto"/>
                    <w:ind w:left="0" w:right="0" w:firstLine="0" w:firstLineChars="0"/>
                    <w:jc w:val="center"/>
                    <w:textAlignment w:val="auto"/>
                    <w:rPr>
                      <w:rFonts w:ascii="Times New Roman" w:hAnsi="Times New Roman" w:eastAsia="宋体"/>
                      <w:color w:val="auto"/>
                      <w:sz w:val="21"/>
                      <w:szCs w:val="21"/>
                      <w:highlight w:val="none"/>
                    </w:rPr>
                  </w:pPr>
                </w:p>
              </w:tc>
              <w:tc>
                <w:tcPr>
                  <w:tcW w:w="444" w:type="dxa"/>
                  <w:vMerge w:val="continue"/>
                  <w:tcBorders>
                    <w:tl2br w:val="nil"/>
                    <w:tr2bl w:val="nil"/>
                  </w:tcBorders>
                  <w:vAlign w:val="center"/>
                </w:tcPr>
                <w:p w14:paraId="5ED58EC6">
                  <w:pPr>
                    <w:keepNext w:val="0"/>
                    <w:keepLines w:val="0"/>
                    <w:pageBreakBefore w:val="0"/>
                    <w:widowControl w:val="0"/>
                    <w:kinsoku/>
                    <w:wordWrap/>
                    <w:overflowPunct/>
                    <w:topLinePunct w:val="0"/>
                    <w:autoSpaceDE/>
                    <w:autoSpaceDN/>
                    <w:bidi w:val="0"/>
                    <w:spacing w:line="240" w:lineRule="auto"/>
                    <w:ind w:left="0" w:right="0" w:firstLine="0" w:firstLineChars="0"/>
                    <w:jc w:val="center"/>
                    <w:textAlignment w:val="auto"/>
                    <w:rPr>
                      <w:rFonts w:hint="default" w:ascii="Times New Roman" w:hAnsi="Times New Roman" w:eastAsia="宋体"/>
                      <w:color w:val="auto"/>
                      <w:sz w:val="21"/>
                      <w:highlight w:val="none"/>
                      <w:lang w:val="en-US" w:eastAsia="zh-CN"/>
                    </w:rPr>
                  </w:pPr>
                </w:p>
              </w:tc>
              <w:tc>
                <w:tcPr>
                  <w:tcW w:w="2031" w:type="dxa"/>
                  <w:tcBorders>
                    <w:tl2br w:val="nil"/>
                    <w:tr2bl w:val="nil"/>
                  </w:tcBorders>
                  <w:shd w:val="clear" w:color="auto" w:fill="auto"/>
                  <w:vAlign w:val="center"/>
                </w:tcPr>
                <w:p w14:paraId="00404C21">
                  <w:pPr>
                    <w:pStyle w:val="115"/>
                    <w:keepNext w:val="0"/>
                    <w:keepLines w:val="0"/>
                    <w:pageBreakBefore w:val="0"/>
                    <w:widowControl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宋体"/>
                      <w:color w:val="auto"/>
                      <w:kern w:val="2"/>
                      <w:sz w:val="21"/>
                      <w:szCs w:val="24"/>
                      <w:lang w:val="en-US" w:eastAsia="zh-CN" w:bidi="ar-SA"/>
                    </w:rPr>
                  </w:pPr>
                  <w:r>
                    <w:rPr>
                      <w:rFonts w:hint="eastAsia" w:ascii="Times New Roman" w:hAnsi="Times New Roman" w:cs="宋体"/>
                      <w:color w:val="auto"/>
                      <w:kern w:val="2"/>
                      <w:sz w:val="21"/>
                      <w:szCs w:val="24"/>
                      <w:lang w:val="en-US" w:eastAsia="zh-CN" w:bidi="ar-SA"/>
                    </w:rPr>
                    <w:t>职工生活</w:t>
                  </w:r>
                </w:p>
              </w:tc>
              <w:tc>
                <w:tcPr>
                  <w:tcW w:w="1587" w:type="dxa"/>
                  <w:tcBorders>
                    <w:tl2br w:val="nil"/>
                    <w:tr2bl w:val="nil"/>
                  </w:tcBorders>
                  <w:shd w:val="clear" w:color="auto" w:fill="auto"/>
                  <w:vAlign w:val="center"/>
                </w:tcPr>
                <w:p w14:paraId="010872B1">
                  <w:pPr>
                    <w:pStyle w:val="115"/>
                    <w:keepNext w:val="0"/>
                    <w:keepLines w:val="0"/>
                    <w:pageBreakBefore w:val="0"/>
                    <w:widowControl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宋体"/>
                      <w:color w:val="auto"/>
                      <w:kern w:val="2"/>
                      <w:sz w:val="21"/>
                      <w:szCs w:val="24"/>
                      <w:lang w:val="en-US" w:eastAsia="zh-CN" w:bidi="ar-SA"/>
                    </w:rPr>
                  </w:pPr>
                  <w:r>
                    <w:rPr>
                      <w:rFonts w:hint="eastAsia" w:ascii="Times New Roman" w:hAnsi="Times New Roman" w:cs="宋体"/>
                      <w:color w:val="auto"/>
                      <w:kern w:val="2"/>
                      <w:sz w:val="21"/>
                      <w:szCs w:val="24"/>
                      <w:lang w:val="en-US" w:eastAsia="zh-CN" w:bidi="ar-SA"/>
                    </w:rPr>
                    <w:t>生活垃圾</w:t>
                  </w:r>
                </w:p>
              </w:tc>
              <w:tc>
                <w:tcPr>
                  <w:tcW w:w="530" w:type="dxa"/>
                  <w:tcBorders>
                    <w:tl2br w:val="nil"/>
                    <w:tr2bl w:val="nil"/>
                  </w:tcBorders>
                  <w:shd w:val="clear" w:color="auto" w:fill="auto"/>
                  <w:vAlign w:val="center"/>
                </w:tcPr>
                <w:p w14:paraId="18F5576A">
                  <w:pPr>
                    <w:keepNext w:val="0"/>
                    <w:keepLines w:val="0"/>
                    <w:pageBreakBefore w:val="0"/>
                    <w:widowControl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0"/>
                      <w:lang w:val="en-US" w:eastAsia="zh-CN" w:bidi="ar-SA"/>
                    </w:rPr>
                  </w:pPr>
                  <w:r>
                    <w:rPr>
                      <w:rFonts w:ascii="Times New Roman" w:hAnsi="Times New Roman" w:eastAsia="宋体" w:cs="Times New Roman"/>
                      <w:color w:val="auto"/>
                      <w:spacing w:val="-3"/>
                      <w:position w:val="2"/>
                      <w:sz w:val="21"/>
                      <w:szCs w:val="20"/>
                    </w:rPr>
                    <w:t>S3</w:t>
                  </w:r>
                </w:p>
              </w:tc>
              <w:tc>
                <w:tcPr>
                  <w:tcW w:w="3658" w:type="dxa"/>
                  <w:tcBorders>
                    <w:tl2br w:val="nil"/>
                    <w:tr2bl w:val="nil"/>
                  </w:tcBorders>
                  <w:shd w:val="clear" w:color="auto" w:fill="auto"/>
                  <w:vAlign w:val="center"/>
                </w:tcPr>
                <w:p w14:paraId="4505D673">
                  <w:pPr>
                    <w:pStyle w:val="115"/>
                    <w:keepNext w:val="0"/>
                    <w:keepLines w:val="0"/>
                    <w:pageBreakBefore w:val="0"/>
                    <w:widowControl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宋体"/>
                      <w:color w:val="auto"/>
                      <w:kern w:val="2"/>
                      <w:sz w:val="21"/>
                      <w:szCs w:val="24"/>
                      <w:lang w:val="en-US" w:eastAsia="zh-CN" w:bidi="ar-SA"/>
                    </w:rPr>
                  </w:pPr>
                  <w:r>
                    <w:rPr>
                      <w:rFonts w:hint="eastAsia" w:ascii="Times New Roman" w:hAnsi="Times New Roman" w:cs="宋体"/>
                      <w:color w:val="auto"/>
                      <w:kern w:val="2"/>
                      <w:sz w:val="21"/>
                      <w:szCs w:val="24"/>
                      <w:lang w:val="en-US" w:eastAsia="zh-CN" w:bidi="ar-SA"/>
                    </w:rPr>
                    <w:t>生活垃圾</w:t>
                  </w:r>
                </w:p>
              </w:tc>
            </w:tr>
            <w:tr w14:paraId="0951225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340" w:hRule="atLeast"/>
              </w:trPr>
              <w:tc>
                <w:tcPr>
                  <w:tcW w:w="389" w:type="dxa"/>
                  <w:vMerge w:val="continue"/>
                  <w:tcBorders>
                    <w:tl2br w:val="nil"/>
                    <w:tr2bl w:val="nil"/>
                  </w:tcBorders>
                  <w:vAlign w:val="center"/>
                </w:tcPr>
                <w:p w14:paraId="371AAAF1">
                  <w:pPr>
                    <w:keepNext w:val="0"/>
                    <w:keepLines w:val="0"/>
                    <w:pageBreakBefore w:val="0"/>
                    <w:widowControl w:val="0"/>
                    <w:kinsoku/>
                    <w:wordWrap/>
                    <w:overflowPunct/>
                    <w:topLinePunct w:val="0"/>
                    <w:autoSpaceDE/>
                    <w:autoSpaceDN/>
                    <w:bidi w:val="0"/>
                    <w:spacing w:line="240" w:lineRule="auto"/>
                    <w:ind w:left="0" w:right="0" w:firstLine="0" w:firstLineChars="0"/>
                    <w:jc w:val="center"/>
                    <w:textAlignment w:val="auto"/>
                    <w:rPr>
                      <w:rFonts w:ascii="Times New Roman" w:hAnsi="Times New Roman" w:eastAsia="宋体"/>
                      <w:color w:val="auto"/>
                      <w:sz w:val="21"/>
                      <w:szCs w:val="21"/>
                      <w:highlight w:val="none"/>
                    </w:rPr>
                  </w:pPr>
                </w:p>
              </w:tc>
              <w:tc>
                <w:tcPr>
                  <w:tcW w:w="444" w:type="dxa"/>
                  <w:vMerge w:val="continue"/>
                  <w:tcBorders>
                    <w:tl2br w:val="nil"/>
                    <w:tr2bl w:val="nil"/>
                  </w:tcBorders>
                  <w:vAlign w:val="center"/>
                </w:tcPr>
                <w:p w14:paraId="1FA00607">
                  <w:pPr>
                    <w:keepNext w:val="0"/>
                    <w:keepLines w:val="0"/>
                    <w:pageBreakBefore w:val="0"/>
                    <w:widowControl w:val="0"/>
                    <w:kinsoku/>
                    <w:wordWrap/>
                    <w:overflowPunct/>
                    <w:topLinePunct w:val="0"/>
                    <w:autoSpaceDE/>
                    <w:autoSpaceDN/>
                    <w:bidi w:val="0"/>
                    <w:spacing w:line="240" w:lineRule="auto"/>
                    <w:ind w:left="0" w:right="0" w:firstLine="0" w:firstLineChars="0"/>
                    <w:jc w:val="center"/>
                    <w:textAlignment w:val="auto"/>
                    <w:rPr>
                      <w:rFonts w:hint="eastAsia" w:ascii="Times New Roman" w:hAnsi="Times New Roman" w:eastAsia="宋体"/>
                      <w:color w:val="auto"/>
                      <w:sz w:val="21"/>
                      <w:highlight w:val="none"/>
                      <w:lang w:eastAsia="zh-CN"/>
                    </w:rPr>
                  </w:pPr>
                </w:p>
              </w:tc>
              <w:tc>
                <w:tcPr>
                  <w:tcW w:w="2031" w:type="dxa"/>
                  <w:tcBorders>
                    <w:tl2br w:val="nil"/>
                    <w:tr2bl w:val="nil"/>
                  </w:tcBorders>
                  <w:shd w:val="clear" w:color="auto" w:fill="auto"/>
                  <w:vAlign w:val="center"/>
                </w:tcPr>
                <w:p w14:paraId="1874C4CE">
                  <w:pPr>
                    <w:pStyle w:val="115"/>
                    <w:keepNext w:val="0"/>
                    <w:keepLines w:val="0"/>
                    <w:pageBreakBefore w:val="0"/>
                    <w:widowControl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宋体"/>
                      <w:color w:val="auto"/>
                      <w:kern w:val="2"/>
                      <w:sz w:val="21"/>
                      <w:szCs w:val="24"/>
                      <w:lang w:val="en-US" w:eastAsia="zh-CN" w:bidi="ar-SA"/>
                    </w:rPr>
                  </w:pPr>
                  <w:r>
                    <w:rPr>
                      <w:rFonts w:hint="eastAsia" w:ascii="Times New Roman" w:hAnsi="Times New Roman" w:cs="宋体"/>
                      <w:color w:val="auto"/>
                      <w:kern w:val="2"/>
                      <w:sz w:val="21"/>
                      <w:szCs w:val="24"/>
                      <w:lang w:val="en-US" w:eastAsia="zh-CN" w:bidi="ar-SA"/>
                    </w:rPr>
                    <w:t>废气处理设施</w:t>
                  </w:r>
                </w:p>
              </w:tc>
              <w:tc>
                <w:tcPr>
                  <w:tcW w:w="1587" w:type="dxa"/>
                  <w:tcBorders>
                    <w:tl2br w:val="nil"/>
                    <w:tr2bl w:val="nil"/>
                  </w:tcBorders>
                  <w:shd w:val="clear" w:color="auto" w:fill="auto"/>
                  <w:vAlign w:val="center"/>
                </w:tcPr>
                <w:p w14:paraId="6E8061DF">
                  <w:pPr>
                    <w:pStyle w:val="115"/>
                    <w:keepNext w:val="0"/>
                    <w:keepLines w:val="0"/>
                    <w:pageBreakBefore w:val="0"/>
                    <w:widowControl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宋体"/>
                      <w:color w:val="auto"/>
                      <w:kern w:val="2"/>
                      <w:sz w:val="21"/>
                      <w:szCs w:val="24"/>
                      <w:lang w:val="en-US" w:eastAsia="zh-CN" w:bidi="ar-SA"/>
                    </w:rPr>
                  </w:pPr>
                  <w:r>
                    <w:rPr>
                      <w:rFonts w:hint="eastAsia" w:ascii="Times New Roman" w:hAnsi="Times New Roman" w:cs="宋体"/>
                      <w:color w:val="auto"/>
                      <w:kern w:val="2"/>
                      <w:sz w:val="21"/>
                      <w:szCs w:val="24"/>
                      <w:lang w:val="en-US" w:eastAsia="zh-CN" w:bidi="ar-SA"/>
                    </w:rPr>
                    <w:t>废活性炭</w:t>
                  </w:r>
                </w:p>
              </w:tc>
              <w:tc>
                <w:tcPr>
                  <w:tcW w:w="530" w:type="dxa"/>
                  <w:tcBorders>
                    <w:tl2br w:val="nil"/>
                    <w:tr2bl w:val="nil"/>
                  </w:tcBorders>
                  <w:shd w:val="clear" w:color="auto" w:fill="auto"/>
                  <w:vAlign w:val="center"/>
                </w:tcPr>
                <w:p w14:paraId="56E23173">
                  <w:pPr>
                    <w:keepNext w:val="0"/>
                    <w:keepLines w:val="0"/>
                    <w:pageBreakBefore w:val="0"/>
                    <w:widowControl w:val="0"/>
                    <w:kinsoku/>
                    <w:wordWrap/>
                    <w:overflowPunct/>
                    <w:topLinePunct w:val="0"/>
                    <w:autoSpaceDE/>
                    <w:autoSpaceDN/>
                    <w:bidi w:val="0"/>
                    <w:spacing w:line="240" w:lineRule="auto"/>
                    <w:ind w:left="0" w:leftChars="0" w:right="0" w:rightChars="0" w:firstLine="0" w:firstLineChars="0"/>
                    <w:jc w:val="center"/>
                    <w:textAlignment w:val="auto"/>
                    <w:rPr>
                      <w:rFonts w:hint="eastAsia" w:ascii="Times New Roman" w:hAnsi="Times New Roman" w:eastAsia="宋体" w:cs="Times New Roman"/>
                      <w:color w:val="auto"/>
                      <w:kern w:val="2"/>
                      <w:sz w:val="21"/>
                      <w:szCs w:val="20"/>
                      <w:lang w:val="en-US" w:eastAsia="zh-CN" w:bidi="ar-SA"/>
                    </w:rPr>
                  </w:pPr>
                  <w:r>
                    <w:rPr>
                      <w:rFonts w:ascii="Times New Roman" w:hAnsi="Times New Roman" w:eastAsia="宋体" w:cs="Times New Roman"/>
                      <w:color w:val="auto"/>
                      <w:spacing w:val="-3"/>
                      <w:position w:val="1"/>
                      <w:sz w:val="21"/>
                      <w:szCs w:val="20"/>
                    </w:rPr>
                    <w:t>S4</w:t>
                  </w:r>
                </w:p>
              </w:tc>
              <w:tc>
                <w:tcPr>
                  <w:tcW w:w="3658" w:type="dxa"/>
                  <w:tcBorders>
                    <w:tl2br w:val="nil"/>
                    <w:tr2bl w:val="nil"/>
                  </w:tcBorders>
                  <w:shd w:val="clear" w:color="auto" w:fill="auto"/>
                  <w:vAlign w:val="center"/>
                </w:tcPr>
                <w:p w14:paraId="730B218A">
                  <w:pPr>
                    <w:pStyle w:val="115"/>
                    <w:keepNext w:val="0"/>
                    <w:keepLines w:val="0"/>
                    <w:pageBreakBefore w:val="0"/>
                    <w:widowControl w:val="0"/>
                    <w:kinsoku/>
                    <w:wordWrap/>
                    <w:overflowPunct/>
                    <w:topLinePunct w:val="0"/>
                    <w:autoSpaceDE/>
                    <w:autoSpaceDN/>
                    <w:bidi w:val="0"/>
                    <w:spacing w:line="240" w:lineRule="auto"/>
                    <w:ind w:left="0" w:leftChars="0" w:right="0" w:rightChars="0" w:firstLine="0" w:firstLineChars="0"/>
                    <w:jc w:val="center"/>
                    <w:textAlignment w:val="auto"/>
                    <w:rPr>
                      <w:rFonts w:hint="default" w:ascii="Times New Roman" w:hAnsi="Times New Roman" w:eastAsia="宋体" w:cs="宋体"/>
                      <w:color w:val="auto"/>
                      <w:kern w:val="2"/>
                      <w:sz w:val="21"/>
                      <w:szCs w:val="24"/>
                      <w:lang w:val="en-US" w:eastAsia="zh-CN" w:bidi="ar-SA"/>
                    </w:rPr>
                  </w:pPr>
                  <w:r>
                    <w:rPr>
                      <w:rFonts w:hint="eastAsia" w:ascii="Times New Roman" w:hAnsi="Times New Roman" w:cs="宋体"/>
                      <w:color w:val="auto"/>
                      <w:kern w:val="2"/>
                      <w:sz w:val="21"/>
                      <w:szCs w:val="24"/>
                      <w:lang w:val="en-US" w:eastAsia="zh-CN" w:bidi="ar-SA"/>
                    </w:rPr>
                    <w:t>废活性炭</w:t>
                  </w:r>
                </w:p>
              </w:tc>
            </w:tr>
            <w:tr w14:paraId="49221E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28" w:type="dxa"/>
                  <w:bottom w:w="0" w:type="dxa"/>
                  <w:right w:w="28" w:type="dxa"/>
                </w:tblCellMar>
              </w:tblPrEx>
              <w:trPr>
                <w:trHeight w:val="238" w:hRule="atLeast"/>
              </w:trPr>
              <w:tc>
                <w:tcPr>
                  <w:tcW w:w="0" w:type="auto"/>
                  <w:tcBorders>
                    <w:tl2br w:val="nil"/>
                    <w:tr2bl w:val="nil"/>
                  </w:tcBorders>
                  <w:vAlign w:val="center"/>
                </w:tcPr>
                <w:p w14:paraId="3B3A7565">
                  <w:pPr>
                    <w:pStyle w:val="97"/>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hint="eastAsia" w:ascii="Times New Roman" w:hAnsi="Times New Roman" w:eastAsia="宋体"/>
                      <w:color w:val="auto"/>
                      <w:sz w:val="21"/>
                      <w:szCs w:val="21"/>
                      <w:highlight w:val="none"/>
                      <w:lang w:val="en-US" w:eastAsia="zh-CN"/>
                    </w:rPr>
                  </w:pPr>
                  <w:r>
                    <w:rPr>
                      <w:rFonts w:hint="eastAsia" w:ascii="Times New Roman" w:hAnsi="Times New Roman" w:eastAsia="宋体"/>
                      <w:color w:val="auto"/>
                      <w:sz w:val="21"/>
                      <w:szCs w:val="21"/>
                      <w:highlight w:val="none"/>
                      <w:lang w:val="en-US" w:eastAsia="zh-CN"/>
                    </w:rPr>
                    <w:t>4</w:t>
                  </w:r>
                </w:p>
              </w:tc>
              <w:tc>
                <w:tcPr>
                  <w:tcW w:w="444" w:type="dxa"/>
                  <w:tcBorders>
                    <w:tl2br w:val="nil"/>
                    <w:tr2bl w:val="nil"/>
                  </w:tcBorders>
                  <w:vAlign w:val="center"/>
                </w:tcPr>
                <w:p w14:paraId="25769A7A">
                  <w:pPr>
                    <w:pStyle w:val="97"/>
                    <w:keepNext w:val="0"/>
                    <w:keepLines w:val="0"/>
                    <w:pageBreakBefore w:val="0"/>
                    <w:widowControl w:val="0"/>
                    <w:kinsoku/>
                    <w:wordWrap/>
                    <w:overflowPunct/>
                    <w:topLinePunct w:val="0"/>
                    <w:autoSpaceDE/>
                    <w:autoSpaceDN/>
                    <w:bidi w:val="0"/>
                    <w:spacing w:line="240" w:lineRule="auto"/>
                    <w:ind w:left="0" w:leftChars="0" w:right="0" w:firstLine="0" w:firstLineChars="0"/>
                    <w:jc w:val="center"/>
                    <w:textAlignment w:val="auto"/>
                    <w:rPr>
                      <w:rFonts w:hint="eastAsia" w:ascii="Times New Roman" w:hAnsi="Times New Roman" w:eastAsia="宋体"/>
                      <w:color w:val="auto"/>
                      <w:sz w:val="21"/>
                      <w:szCs w:val="21"/>
                      <w:highlight w:val="none"/>
                      <w:lang w:val="en-US" w:eastAsia="zh-CN"/>
                    </w:rPr>
                  </w:pPr>
                  <w:r>
                    <w:rPr>
                      <w:rFonts w:ascii="Times New Roman" w:hAnsi="Times New Roman" w:eastAsia="宋体"/>
                      <w:color w:val="auto"/>
                      <w:spacing w:val="-8"/>
                      <w:sz w:val="21"/>
                    </w:rPr>
                    <w:t>噪声</w:t>
                  </w:r>
                </w:p>
              </w:tc>
              <w:tc>
                <w:tcPr>
                  <w:tcW w:w="7806" w:type="dxa"/>
                  <w:gridSpan w:val="4"/>
                  <w:tcBorders>
                    <w:tl2br w:val="nil"/>
                    <w:tr2bl w:val="nil"/>
                  </w:tcBorders>
                  <w:shd w:val="clear" w:color="auto" w:fill="auto"/>
                  <w:vAlign w:val="center"/>
                </w:tcPr>
                <w:p w14:paraId="56711EA8">
                  <w:pPr>
                    <w:pStyle w:val="97"/>
                    <w:keepNext w:val="0"/>
                    <w:keepLines w:val="0"/>
                    <w:pageBreakBefore w:val="0"/>
                    <w:widowControl w:val="0"/>
                    <w:kinsoku/>
                    <w:wordWrap/>
                    <w:overflowPunct/>
                    <w:topLinePunct w:val="0"/>
                    <w:autoSpaceDE/>
                    <w:autoSpaceDN/>
                    <w:bidi w:val="0"/>
                    <w:spacing w:line="240" w:lineRule="auto"/>
                    <w:ind w:left="0" w:leftChars="0" w:right="0" w:rightChars="0" w:firstLine="0" w:firstLineChars="0"/>
                    <w:jc w:val="center"/>
                    <w:textAlignment w:val="auto"/>
                    <w:rPr>
                      <w:rFonts w:ascii="Times New Roman" w:hAnsi="Times New Roman" w:eastAsia="宋体" w:cs="Times New Roman"/>
                      <w:color w:val="auto"/>
                      <w:sz w:val="21"/>
                      <w:szCs w:val="21"/>
                      <w:highlight w:val="none"/>
                    </w:rPr>
                  </w:pPr>
                  <w:r>
                    <w:rPr>
                      <w:rFonts w:ascii="Times New Roman" w:hAnsi="Times New Roman" w:eastAsia="宋体"/>
                      <w:color w:val="auto"/>
                      <w:spacing w:val="9"/>
                      <w:sz w:val="21"/>
                    </w:rPr>
                    <w:t>本项目新增噪声源主要是</w:t>
                  </w:r>
                  <w:r>
                    <w:rPr>
                      <w:rFonts w:hint="eastAsia" w:ascii="Times New Roman" w:hAnsi="Times New Roman"/>
                      <w:color w:val="auto"/>
                      <w:spacing w:val="9"/>
                      <w:sz w:val="21"/>
                      <w:lang w:val="en-US" w:eastAsia="zh-CN"/>
                    </w:rPr>
                    <w:t>水泵</w:t>
                  </w:r>
                  <w:r>
                    <w:rPr>
                      <w:rFonts w:ascii="Times New Roman" w:hAnsi="Times New Roman" w:eastAsia="宋体"/>
                      <w:color w:val="auto"/>
                      <w:spacing w:val="8"/>
                      <w:sz w:val="21"/>
                    </w:rPr>
                    <w:t>等设备运行产生的噪声。</w:t>
                  </w:r>
                </w:p>
              </w:tc>
            </w:tr>
          </w:tbl>
          <w:p w14:paraId="213B5ADC">
            <w:pPr>
              <w:pStyle w:val="25"/>
              <w:rPr>
                <w:rFonts w:hint="eastAsia" w:eastAsia="宋体"/>
                <w:lang w:eastAsia="zh-CN"/>
              </w:rPr>
            </w:pPr>
          </w:p>
        </w:tc>
      </w:tr>
      <w:tr w14:paraId="25AC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trPr>
        <w:tc>
          <w:tcPr>
            <w:tcW w:w="429" w:type="dxa"/>
            <w:vAlign w:val="center"/>
          </w:tcPr>
          <w:p w14:paraId="3BB74F38">
            <w:pPr>
              <w:keepNext w:val="0"/>
              <w:keepLines w:val="0"/>
              <w:pageBreakBefore w:val="0"/>
              <w:widowControl w:val="0"/>
              <w:kinsoku/>
              <w:wordWrap/>
              <w:overflowPunct/>
              <w:topLinePunct w:val="0"/>
              <w:autoSpaceDE/>
              <w:autoSpaceDN/>
              <w:bidi w:val="0"/>
              <w:adjustRightInd/>
              <w:snapToGrid/>
              <w:jc w:val="center"/>
              <w:textAlignment w:val="auto"/>
              <w:rPr>
                <w:rFonts w:hint="eastAsia" w:cs="宋体"/>
                <w:color w:val="auto"/>
                <w:sz w:val="21"/>
                <w:szCs w:val="21"/>
                <w:highlight w:val="none"/>
              </w:rPr>
            </w:pPr>
            <w:r>
              <w:rPr>
                <w:rFonts w:ascii="Times New Roman" w:hAnsi="Times New Roman"/>
                <w:bCs/>
                <w:kern w:val="2"/>
                <w:sz w:val="21"/>
                <w:szCs w:val="21"/>
              </w:rPr>
              <w:t>与项目有关的原有环境污染问题</w:t>
            </w:r>
          </w:p>
        </w:tc>
        <w:tc>
          <w:tcPr>
            <w:tcW w:w="8949" w:type="dxa"/>
            <w:vAlign w:val="center"/>
          </w:tcPr>
          <w:p w14:paraId="20F864F9">
            <w:pPr>
              <w:keepNext/>
              <w:keepLines/>
              <w:pageBreakBefore w:val="0"/>
              <w:widowControl w:val="0"/>
              <w:numPr>
                <w:ilvl w:val="1"/>
                <w:numId w:val="1"/>
              </w:numPr>
              <w:kinsoku/>
              <w:wordWrap/>
              <w:overflowPunct/>
              <w:topLinePunct w:val="0"/>
              <w:autoSpaceDE/>
              <w:autoSpaceDN/>
              <w:bidi w:val="0"/>
              <w:adjustRightInd/>
              <w:snapToGrid/>
              <w:spacing w:before="120" w:after="0" w:line="360" w:lineRule="auto"/>
              <w:ind w:left="0" w:leftChars="0" w:firstLine="0" w:firstLineChars="0"/>
              <w:jc w:val="left"/>
              <w:textAlignment w:val="auto"/>
              <w:outlineLvl w:val="1"/>
              <w:rPr>
                <w:rFonts w:hint="default" w:ascii="Times New Roman" w:hAnsi="Times New Roman" w:eastAsia="宋体" w:cs="Times New Roman"/>
                <w:b/>
                <w:bCs/>
                <w:color w:val="000000" w:themeColor="text1"/>
                <w:kern w:val="44"/>
                <w:sz w:val="28"/>
                <w:szCs w:val="32"/>
                <w:highlight w:val="none"/>
                <w:lang w:val="en-US" w:eastAsia="zh-CN" w:bidi="ar-SA"/>
                <w14:textFill>
                  <w14:solidFill>
                    <w14:schemeClr w14:val="tx1"/>
                  </w14:solidFill>
                </w14:textFill>
              </w:rPr>
            </w:pPr>
            <w:bookmarkStart w:id="17" w:name="_Toc17557"/>
            <w:bookmarkStart w:id="18" w:name="_Toc29494"/>
            <w:bookmarkStart w:id="19" w:name="_Toc25651"/>
            <w:r>
              <w:rPr>
                <w:rFonts w:hint="default" w:ascii="Times New Roman" w:hAnsi="Times New Roman" w:eastAsia="宋体" w:cs="Times New Roman"/>
                <w:b/>
                <w:bCs/>
                <w:color w:val="000000" w:themeColor="text1"/>
                <w:kern w:val="44"/>
                <w:sz w:val="28"/>
                <w:szCs w:val="32"/>
                <w:highlight w:val="none"/>
                <w:lang w:val="en-US" w:eastAsia="zh-CN" w:bidi="ar-SA"/>
                <w14:textFill>
                  <w14:solidFill>
                    <w14:schemeClr w14:val="tx1"/>
                  </w14:solidFill>
                </w14:textFill>
              </w:rPr>
              <w:t>现有</w:t>
            </w:r>
            <w:bookmarkEnd w:id="17"/>
            <w:bookmarkEnd w:id="18"/>
            <w:bookmarkEnd w:id="19"/>
            <w:r>
              <w:rPr>
                <w:rFonts w:hint="default" w:ascii="Times New Roman" w:hAnsi="Times New Roman" w:eastAsia="宋体" w:cs="Times New Roman"/>
                <w:b/>
                <w:bCs/>
                <w:color w:val="000000" w:themeColor="text1"/>
                <w:kern w:val="44"/>
                <w:sz w:val="28"/>
                <w:szCs w:val="32"/>
                <w:highlight w:val="none"/>
                <w:lang w:val="en-US" w:eastAsia="zh-CN" w:bidi="ar-SA"/>
                <w14:textFill>
                  <w14:solidFill>
                    <w14:schemeClr w14:val="tx1"/>
                  </w14:solidFill>
                </w14:textFill>
              </w:rPr>
              <w:t>项目概况和污染源分析</w:t>
            </w:r>
          </w:p>
          <w:p w14:paraId="7274FE81">
            <w:pPr>
              <w:pStyle w:val="4"/>
              <w:bidi w:val="0"/>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现有工程规模</w:t>
            </w:r>
          </w:p>
          <w:p w14:paraId="693F48F5">
            <w:pPr>
              <w:spacing w:line="360" w:lineRule="auto"/>
              <w:ind w:firstLine="480"/>
              <w:rPr>
                <w:rFonts w:hint="default" w:ascii="Times New Roman" w:hAnsi="Times New Roman" w:cs="Times New Roman"/>
                <w:color w:val="auto"/>
                <w:sz w:val="24"/>
                <w:highlight w:val="none"/>
              </w:rPr>
            </w:pPr>
            <w:r>
              <w:rPr>
                <w:rFonts w:hint="eastAsia" w:cs="Times New Roman"/>
                <w:color w:val="auto"/>
                <w:sz w:val="24"/>
                <w:szCs w:val="24"/>
                <w:highlight w:val="none"/>
                <w:lang w:val="en-US" w:eastAsia="zh-CN"/>
              </w:rPr>
              <w:t>罗源县中医院</w:t>
            </w:r>
            <w:r>
              <w:rPr>
                <w:rFonts w:hint="default" w:ascii="Times New Roman" w:hAnsi="Times New Roman" w:eastAsia="宋体" w:cs="Times New Roman"/>
                <w:color w:val="auto"/>
                <w:sz w:val="24"/>
                <w:szCs w:val="24"/>
                <w:highlight w:val="none"/>
                <w:lang w:val="en-US" w:eastAsia="zh-CN"/>
              </w:rPr>
              <w:t>现占地</w:t>
            </w:r>
            <w:r>
              <w:rPr>
                <w:rFonts w:hint="eastAsia" w:ascii="Times New Roman" w:hAnsi="Times New Roman" w:eastAsia="宋体" w:cs="Times New Roman"/>
                <w:color w:val="auto"/>
                <w:sz w:val="24"/>
                <w:szCs w:val="24"/>
                <w:highlight w:val="none"/>
                <w:lang w:val="en-US" w:eastAsia="zh-CN"/>
              </w:rPr>
              <w:t>约2亩</w:t>
            </w:r>
            <w:r>
              <w:rPr>
                <w:rFonts w:hint="default" w:ascii="Times New Roman" w:hAnsi="Times New Roman" w:eastAsia="宋体" w:cs="Times New Roman"/>
                <w:color w:val="auto"/>
                <w:sz w:val="24"/>
                <w:szCs w:val="24"/>
                <w:highlight w:val="none"/>
                <w:lang w:val="en-US" w:eastAsia="zh-CN"/>
              </w:rPr>
              <w:t>，建筑面积3820平方米，现有床位</w:t>
            </w:r>
            <w:r>
              <w:rPr>
                <w:rFonts w:hint="eastAsia" w:cs="Times New Roman"/>
                <w:color w:val="auto"/>
                <w:sz w:val="24"/>
                <w:szCs w:val="24"/>
                <w:highlight w:val="none"/>
                <w:lang w:val="en-US" w:eastAsia="zh-CN"/>
              </w:rPr>
              <w:t>70</w:t>
            </w:r>
            <w:r>
              <w:rPr>
                <w:rFonts w:hint="default" w:ascii="Times New Roman" w:hAnsi="Times New Roman" w:eastAsia="宋体" w:cs="Times New Roman"/>
                <w:color w:val="auto"/>
                <w:sz w:val="24"/>
                <w:szCs w:val="24"/>
                <w:highlight w:val="none"/>
                <w:lang w:val="en-US" w:eastAsia="zh-CN"/>
              </w:rPr>
              <w:t>张，年门诊量</w:t>
            </w:r>
            <w:r>
              <w:rPr>
                <w:rFonts w:hint="eastAsia" w:ascii="Times New Roman" w:hAnsi="Times New Roman" w:eastAsia="宋体" w:cs="Times New Roman"/>
                <w:color w:val="auto"/>
                <w:sz w:val="24"/>
                <w:szCs w:val="24"/>
                <w:highlight w:val="none"/>
                <w:lang w:val="en-US" w:eastAsia="zh-CN"/>
              </w:rPr>
              <w:t>12.29</w:t>
            </w:r>
            <w:r>
              <w:rPr>
                <w:rFonts w:hint="default" w:ascii="Times New Roman" w:hAnsi="Times New Roman" w:eastAsia="宋体" w:cs="Times New Roman"/>
                <w:color w:val="auto"/>
                <w:sz w:val="24"/>
                <w:szCs w:val="24"/>
                <w:highlight w:val="none"/>
                <w:lang w:val="en-US" w:eastAsia="zh-CN"/>
              </w:rPr>
              <w:t>万人次，年住院量</w:t>
            </w:r>
            <w:r>
              <w:rPr>
                <w:rFonts w:hint="eastAsia" w:ascii="Times New Roman" w:hAnsi="Times New Roman" w:eastAsia="宋体" w:cs="Times New Roman"/>
                <w:color w:val="auto"/>
                <w:sz w:val="24"/>
                <w:szCs w:val="24"/>
                <w:highlight w:val="none"/>
                <w:lang w:val="en-US" w:eastAsia="zh-CN"/>
              </w:rPr>
              <w:t>2696</w:t>
            </w:r>
            <w:r>
              <w:rPr>
                <w:rFonts w:hint="default" w:ascii="Times New Roman" w:hAnsi="Times New Roman" w:eastAsia="宋体" w:cs="Times New Roman"/>
                <w:color w:val="auto"/>
                <w:sz w:val="24"/>
                <w:szCs w:val="24"/>
                <w:highlight w:val="none"/>
                <w:lang w:val="en-US" w:eastAsia="zh-CN"/>
              </w:rPr>
              <w:t>人次以上。</w:t>
            </w:r>
            <w:r>
              <w:rPr>
                <w:rFonts w:hint="default" w:ascii="Times New Roman" w:hAnsi="Times New Roman" w:cs="Times New Roman"/>
                <w:color w:val="auto"/>
                <w:sz w:val="24"/>
                <w:highlight w:val="none"/>
                <w:lang w:eastAsia="zh-CN"/>
              </w:rPr>
              <w:t>现有工程</w:t>
            </w:r>
            <w:r>
              <w:rPr>
                <w:rFonts w:hint="default" w:ascii="Times New Roman" w:hAnsi="Times New Roman" w:cs="Times New Roman"/>
                <w:color w:val="auto"/>
                <w:sz w:val="24"/>
                <w:highlight w:val="none"/>
              </w:rPr>
              <w:t>环保手续情况详见表2.</w:t>
            </w:r>
            <w:r>
              <w:rPr>
                <w:rFonts w:hint="eastAsia" w:ascii="Times New Roman" w:hAnsi="Times New Roman" w:cs="Times New Roman"/>
                <w:color w:val="auto"/>
                <w:sz w:val="24"/>
                <w:highlight w:val="none"/>
                <w:lang w:val="en-US" w:eastAsia="zh-CN"/>
              </w:rPr>
              <w:t>8</w:t>
            </w:r>
            <w:r>
              <w:rPr>
                <w:rFonts w:hint="default" w:ascii="Times New Roman" w:hAnsi="Times New Roman" w:cs="Times New Roman"/>
                <w:color w:val="auto"/>
                <w:sz w:val="24"/>
                <w:highlight w:val="none"/>
              </w:rPr>
              <w:t>-1。</w:t>
            </w:r>
          </w:p>
          <w:p w14:paraId="114A5C87">
            <w:pPr>
              <w:pStyle w:val="44"/>
              <w:keepNext/>
              <w:keepLines/>
              <w:pageBreakBefore w:val="0"/>
              <w:widowControl w:val="0"/>
              <w:numPr>
                <w:ilvl w:val="7"/>
                <w:numId w:val="10"/>
              </w:numPr>
              <w:tabs>
                <w:tab w:val="left" w:pos="0"/>
              </w:tabs>
              <w:kinsoku/>
              <w:wordWrap/>
              <w:overflowPunct/>
              <w:topLinePunct w:val="0"/>
              <w:autoSpaceDE/>
              <w:autoSpaceDN/>
              <w:bidi w:val="0"/>
              <w:adjustRightInd/>
              <w:snapToGrid/>
              <w:spacing w:before="0" w:after="0"/>
              <w:ind w:left="630" w:leftChars="0" w:firstLineChars="0"/>
              <w:textAlignment w:val="auto"/>
              <w:rPr>
                <w:rFonts w:hint="eastAsia" w:ascii="Times New Roman" w:hAnsi="Times New Roman" w:eastAsia="宋体"/>
                <w:color w:val="auto"/>
                <w:highlight w:val="none"/>
              </w:rPr>
            </w:pPr>
            <w:r>
              <w:rPr>
                <w:rFonts w:hint="default" w:ascii="Times New Roman" w:hAnsi="Times New Roman" w:cs="Times New Roman"/>
                <w:color w:val="auto"/>
                <w:sz w:val="24"/>
                <w:highlight w:val="none"/>
                <w:lang w:eastAsia="zh-CN"/>
              </w:rPr>
              <w:t>现有工程</w:t>
            </w:r>
            <w:r>
              <w:rPr>
                <w:rFonts w:hint="default" w:ascii="Times New Roman" w:hAnsi="Times New Roman" w:cs="Times New Roman"/>
                <w:color w:val="auto"/>
                <w:sz w:val="24"/>
                <w:highlight w:val="none"/>
              </w:rPr>
              <w:t>环保手续情况表</w:t>
            </w:r>
          </w:p>
          <w:tbl>
            <w:tblPr>
              <w:tblStyle w:val="34"/>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65"/>
              <w:gridCol w:w="1472"/>
              <w:gridCol w:w="1460"/>
              <w:gridCol w:w="1720"/>
              <w:gridCol w:w="2667"/>
            </w:tblGrid>
            <w:tr w14:paraId="1F980A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1465" w:type="dxa"/>
                  <w:noWrap w:val="0"/>
                  <w:vAlign w:val="center"/>
                </w:tcPr>
                <w:p w14:paraId="680E1645">
                  <w:pPr>
                    <w:spacing w:line="340" w:lineRule="exact"/>
                    <w:jc w:val="center"/>
                    <w:rPr>
                      <w:rFonts w:hint="default" w:ascii="Times New Roman" w:hAnsi="Times New Roman" w:cs="Times New Roman"/>
                      <w:snapToGrid w:val="0"/>
                      <w:color w:val="auto"/>
                      <w:kern w:val="18"/>
                      <w:sz w:val="21"/>
                      <w:szCs w:val="21"/>
                      <w:highlight w:val="none"/>
                    </w:rPr>
                  </w:pPr>
                  <w:r>
                    <w:rPr>
                      <w:rFonts w:hint="default" w:ascii="Times New Roman" w:hAnsi="Times New Roman" w:cs="Times New Roman"/>
                      <w:snapToGrid w:val="0"/>
                      <w:color w:val="auto"/>
                      <w:kern w:val="18"/>
                      <w:sz w:val="21"/>
                      <w:szCs w:val="21"/>
                      <w:highlight w:val="none"/>
                    </w:rPr>
                    <w:t>项目名称</w:t>
                  </w:r>
                </w:p>
              </w:tc>
              <w:tc>
                <w:tcPr>
                  <w:tcW w:w="1472" w:type="dxa"/>
                  <w:noWrap w:val="0"/>
                  <w:vAlign w:val="center"/>
                </w:tcPr>
                <w:p w14:paraId="54544F77">
                  <w:pPr>
                    <w:spacing w:line="340" w:lineRule="exact"/>
                    <w:jc w:val="center"/>
                    <w:rPr>
                      <w:rFonts w:hint="default" w:ascii="Times New Roman" w:hAnsi="Times New Roman" w:cs="Times New Roman"/>
                      <w:snapToGrid w:val="0"/>
                      <w:color w:val="auto"/>
                      <w:kern w:val="18"/>
                      <w:sz w:val="21"/>
                      <w:szCs w:val="21"/>
                      <w:highlight w:val="none"/>
                    </w:rPr>
                  </w:pPr>
                  <w:r>
                    <w:rPr>
                      <w:rFonts w:hint="default" w:ascii="Times New Roman" w:hAnsi="Times New Roman" w:cs="Times New Roman"/>
                      <w:snapToGrid w:val="0"/>
                      <w:color w:val="auto"/>
                      <w:kern w:val="18"/>
                      <w:sz w:val="21"/>
                      <w:szCs w:val="21"/>
                      <w:highlight w:val="none"/>
                    </w:rPr>
                    <w:t>建设内容</w:t>
                  </w:r>
                </w:p>
              </w:tc>
              <w:tc>
                <w:tcPr>
                  <w:tcW w:w="1460" w:type="dxa"/>
                  <w:noWrap w:val="0"/>
                  <w:vAlign w:val="center"/>
                </w:tcPr>
                <w:p w14:paraId="2617B5AD">
                  <w:pPr>
                    <w:spacing w:line="340" w:lineRule="exact"/>
                    <w:jc w:val="center"/>
                    <w:rPr>
                      <w:rFonts w:hint="default" w:ascii="Times New Roman" w:hAnsi="Times New Roman" w:cs="Times New Roman"/>
                      <w:snapToGrid w:val="0"/>
                      <w:color w:val="auto"/>
                      <w:kern w:val="18"/>
                      <w:sz w:val="21"/>
                      <w:szCs w:val="21"/>
                      <w:highlight w:val="none"/>
                    </w:rPr>
                  </w:pPr>
                  <w:r>
                    <w:rPr>
                      <w:rFonts w:hint="default" w:ascii="Times New Roman" w:hAnsi="Times New Roman" w:cs="Times New Roman"/>
                      <w:snapToGrid w:val="0"/>
                      <w:color w:val="auto"/>
                      <w:kern w:val="18"/>
                      <w:sz w:val="21"/>
                      <w:szCs w:val="21"/>
                      <w:highlight w:val="none"/>
                    </w:rPr>
                    <w:t>环评批复</w:t>
                  </w:r>
                </w:p>
              </w:tc>
              <w:tc>
                <w:tcPr>
                  <w:tcW w:w="1720" w:type="dxa"/>
                  <w:noWrap w:val="0"/>
                  <w:vAlign w:val="center"/>
                </w:tcPr>
                <w:p w14:paraId="65E5F3A3">
                  <w:pPr>
                    <w:spacing w:line="340" w:lineRule="exact"/>
                    <w:jc w:val="center"/>
                    <w:rPr>
                      <w:rFonts w:hint="default" w:ascii="Times New Roman" w:hAnsi="Times New Roman" w:cs="Times New Roman"/>
                      <w:snapToGrid w:val="0"/>
                      <w:color w:val="auto"/>
                      <w:kern w:val="18"/>
                      <w:sz w:val="21"/>
                      <w:szCs w:val="21"/>
                      <w:highlight w:val="none"/>
                    </w:rPr>
                  </w:pPr>
                  <w:r>
                    <w:rPr>
                      <w:rFonts w:hint="default" w:ascii="Times New Roman" w:hAnsi="Times New Roman" w:cs="Times New Roman"/>
                      <w:snapToGrid w:val="0"/>
                      <w:color w:val="auto"/>
                      <w:kern w:val="18"/>
                      <w:sz w:val="21"/>
                      <w:szCs w:val="21"/>
                      <w:highlight w:val="none"/>
                    </w:rPr>
                    <w:t>环保验收情况</w:t>
                  </w:r>
                </w:p>
              </w:tc>
              <w:tc>
                <w:tcPr>
                  <w:tcW w:w="2667" w:type="dxa"/>
                  <w:noWrap w:val="0"/>
                  <w:vAlign w:val="center"/>
                </w:tcPr>
                <w:p w14:paraId="6A5876F9">
                  <w:pPr>
                    <w:spacing w:line="340" w:lineRule="exact"/>
                    <w:jc w:val="center"/>
                    <w:rPr>
                      <w:rFonts w:hint="default" w:ascii="Times New Roman" w:hAnsi="Times New Roman" w:cs="Times New Roman"/>
                      <w:snapToGrid w:val="0"/>
                      <w:color w:val="auto"/>
                      <w:kern w:val="18"/>
                      <w:sz w:val="21"/>
                      <w:szCs w:val="21"/>
                      <w:highlight w:val="none"/>
                    </w:rPr>
                  </w:pPr>
                  <w:r>
                    <w:rPr>
                      <w:rFonts w:hint="default" w:ascii="Times New Roman" w:hAnsi="Times New Roman" w:cs="Times New Roman"/>
                      <w:color w:val="auto"/>
                      <w:sz w:val="21"/>
                      <w:szCs w:val="21"/>
                      <w:highlight w:val="none"/>
                    </w:rPr>
                    <w:t>排污许可手续</w:t>
                  </w:r>
                </w:p>
              </w:tc>
            </w:tr>
            <w:tr w14:paraId="22B057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5" w:type="dxa"/>
                  <w:noWrap w:val="0"/>
                  <w:vAlign w:val="center"/>
                </w:tcPr>
                <w:p w14:paraId="1A694672">
                  <w:pPr>
                    <w:spacing w:line="340" w:lineRule="exact"/>
                    <w:jc w:val="both"/>
                    <w:rPr>
                      <w:rFonts w:hint="default" w:ascii="Times New Roman" w:hAnsi="Times New Roman" w:eastAsia="宋体" w:cs="Times New Roman"/>
                      <w:snapToGrid w:val="0"/>
                      <w:color w:val="auto"/>
                      <w:kern w:val="18"/>
                      <w:sz w:val="21"/>
                      <w:szCs w:val="21"/>
                      <w:highlight w:val="none"/>
                      <w:lang w:val="en-US" w:eastAsia="zh-CN"/>
                    </w:rPr>
                  </w:pPr>
                  <w:r>
                    <w:rPr>
                      <w:rFonts w:hint="default" w:ascii="Times New Roman" w:hAnsi="Times New Roman" w:eastAsia="宋体" w:cs="Times New Roman"/>
                      <w:snapToGrid w:val="0"/>
                      <w:color w:val="auto"/>
                      <w:kern w:val="18"/>
                      <w:sz w:val="21"/>
                      <w:szCs w:val="21"/>
                      <w:highlight w:val="none"/>
                    </w:rPr>
                    <w:t>《</w:t>
                  </w:r>
                  <w:r>
                    <w:rPr>
                      <w:rFonts w:hint="eastAsia" w:ascii="Times New Roman" w:hAnsi="Times New Roman" w:eastAsia="宋体" w:cs="Times New Roman"/>
                      <w:snapToGrid w:val="0"/>
                      <w:color w:val="auto"/>
                      <w:kern w:val="18"/>
                      <w:sz w:val="21"/>
                      <w:szCs w:val="21"/>
                      <w:highlight w:val="none"/>
                      <w:lang w:val="en-US" w:eastAsia="zh-CN"/>
                    </w:rPr>
                    <w:t>罗源县中医院污水处理</w:t>
                  </w:r>
                  <w:r>
                    <w:rPr>
                      <w:rFonts w:hint="eastAsia" w:cs="Times New Roman"/>
                      <w:snapToGrid w:val="0"/>
                      <w:color w:val="auto"/>
                      <w:kern w:val="18"/>
                      <w:sz w:val="21"/>
                      <w:szCs w:val="21"/>
                      <w:highlight w:val="none"/>
                      <w:lang w:val="en-US" w:eastAsia="zh-CN"/>
                    </w:rPr>
                    <w:t>站</w:t>
                  </w:r>
                  <w:r>
                    <w:rPr>
                      <w:rFonts w:hint="default" w:ascii="Times New Roman" w:hAnsi="Times New Roman" w:eastAsia="宋体" w:cs="Times New Roman"/>
                      <w:snapToGrid w:val="0"/>
                      <w:color w:val="auto"/>
                      <w:kern w:val="18"/>
                      <w:sz w:val="21"/>
                      <w:szCs w:val="21"/>
                      <w:highlight w:val="none"/>
                    </w:rPr>
                    <w:t>》</w:t>
                  </w:r>
                </w:p>
              </w:tc>
              <w:tc>
                <w:tcPr>
                  <w:tcW w:w="1472" w:type="dxa"/>
                  <w:noWrap w:val="0"/>
                  <w:vAlign w:val="center"/>
                </w:tcPr>
                <w:p w14:paraId="39211F0A">
                  <w:pPr>
                    <w:spacing w:line="340" w:lineRule="exact"/>
                    <w:jc w:val="center"/>
                    <w:rPr>
                      <w:rFonts w:hint="default" w:ascii="Times New Roman" w:hAnsi="Times New Roman" w:eastAsia="宋体" w:cs="Times New Roman"/>
                      <w:snapToGrid w:val="0"/>
                      <w:color w:val="auto"/>
                      <w:kern w:val="18"/>
                      <w:sz w:val="21"/>
                      <w:szCs w:val="21"/>
                      <w:highlight w:val="none"/>
                      <w:lang w:val="en-US" w:eastAsia="zh-CN"/>
                    </w:rPr>
                  </w:pPr>
                  <w:r>
                    <w:rPr>
                      <w:rFonts w:hint="eastAsia" w:ascii="Times New Roman" w:hAnsi="Times New Roman" w:eastAsia="宋体" w:cs="Times New Roman"/>
                      <w:snapToGrid w:val="0"/>
                      <w:color w:val="auto"/>
                      <w:kern w:val="18"/>
                      <w:sz w:val="21"/>
                      <w:szCs w:val="21"/>
                      <w:highlight w:val="none"/>
                      <w:lang w:val="en-US" w:eastAsia="zh-CN"/>
                    </w:rPr>
                    <w:t>设计建设1座日处理80t的污水处理设施</w:t>
                  </w:r>
                </w:p>
              </w:tc>
              <w:tc>
                <w:tcPr>
                  <w:tcW w:w="1460" w:type="dxa"/>
                  <w:noWrap w:val="0"/>
                  <w:vAlign w:val="center"/>
                </w:tcPr>
                <w:p w14:paraId="2A97ABA3">
                  <w:pPr>
                    <w:spacing w:line="340" w:lineRule="exact"/>
                    <w:jc w:val="center"/>
                    <w:rPr>
                      <w:rFonts w:hint="default" w:ascii="Times New Roman" w:hAnsi="Times New Roman" w:eastAsia="宋体" w:cs="Times New Roman"/>
                      <w:snapToGrid w:val="0"/>
                      <w:color w:val="auto"/>
                      <w:kern w:val="18"/>
                      <w:sz w:val="21"/>
                      <w:szCs w:val="21"/>
                      <w:highlight w:val="none"/>
                      <w:lang w:val="en-US" w:eastAsia="zh-CN"/>
                    </w:rPr>
                  </w:pPr>
                  <w:r>
                    <w:rPr>
                      <w:rFonts w:hint="eastAsia" w:cs="Times New Roman"/>
                      <w:snapToGrid w:val="0"/>
                      <w:color w:val="auto"/>
                      <w:kern w:val="18"/>
                      <w:sz w:val="21"/>
                      <w:szCs w:val="21"/>
                      <w:highlight w:val="none"/>
                      <w:lang w:val="en-US" w:eastAsia="zh-CN"/>
                    </w:rPr>
                    <w:t>/</w:t>
                  </w:r>
                </w:p>
              </w:tc>
              <w:tc>
                <w:tcPr>
                  <w:tcW w:w="1720" w:type="dxa"/>
                  <w:noWrap w:val="0"/>
                  <w:vAlign w:val="center"/>
                </w:tcPr>
                <w:p w14:paraId="4796E600">
                  <w:pPr>
                    <w:spacing w:line="340" w:lineRule="exact"/>
                    <w:jc w:val="center"/>
                    <w:rPr>
                      <w:rFonts w:hint="default" w:ascii="Times New Roman" w:hAnsi="Times New Roman" w:eastAsia="宋体" w:cs="Times New Roman"/>
                      <w:snapToGrid w:val="0"/>
                      <w:color w:val="auto"/>
                      <w:kern w:val="18"/>
                      <w:sz w:val="21"/>
                      <w:szCs w:val="21"/>
                      <w:highlight w:val="none"/>
                    </w:rPr>
                  </w:pPr>
                  <w:r>
                    <w:rPr>
                      <w:rFonts w:hint="eastAsia" w:cs="Times New Roman"/>
                      <w:snapToGrid w:val="0"/>
                      <w:color w:val="auto"/>
                      <w:kern w:val="18"/>
                      <w:sz w:val="21"/>
                      <w:szCs w:val="21"/>
                      <w:highlight w:val="none"/>
                      <w:lang w:val="en-US" w:eastAsia="zh-CN"/>
                    </w:rPr>
                    <w:t>2004</w:t>
                  </w:r>
                  <w:r>
                    <w:rPr>
                      <w:rFonts w:hint="default" w:ascii="Times New Roman" w:hAnsi="Times New Roman" w:eastAsia="宋体" w:cs="Times New Roman"/>
                      <w:snapToGrid w:val="0"/>
                      <w:color w:val="auto"/>
                      <w:kern w:val="18"/>
                      <w:sz w:val="21"/>
                      <w:szCs w:val="21"/>
                      <w:highlight w:val="none"/>
                      <w:lang w:val="en-US" w:eastAsia="zh-CN"/>
                    </w:rPr>
                    <w:t>年</w:t>
                  </w:r>
                  <w:r>
                    <w:rPr>
                      <w:rFonts w:hint="eastAsia" w:cs="Times New Roman"/>
                      <w:snapToGrid w:val="0"/>
                      <w:color w:val="auto"/>
                      <w:kern w:val="18"/>
                      <w:sz w:val="21"/>
                      <w:szCs w:val="21"/>
                      <w:highlight w:val="none"/>
                      <w:lang w:val="en-US" w:eastAsia="zh-CN"/>
                    </w:rPr>
                    <w:t>1</w:t>
                  </w:r>
                  <w:r>
                    <w:rPr>
                      <w:rFonts w:hint="default" w:ascii="Times New Roman" w:hAnsi="Times New Roman" w:eastAsia="宋体" w:cs="Times New Roman"/>
                      <w:snapToGrid w:val="0"/>
                      <w:color w:val="auto"/>
                      <w:kern w:val="18"/>
                      <w:sz w:val="21"/>
                      <w:szCs w:val="21"/>
                      <w:highlight w:val="none"/>
                      <w:lang w:val="en-US" w:eastAsia="zh-CN"/>
                    </w:rPr>
                    <w:t>月</w:t>
                  </w:r>
                  <w:r>
                    <w:rPr>
                      <w:rFonts w:hint="eastAsia" w:ascii="Times New Roman" w:hAnsi="Times New Roman" w:eastAsia="宋体" w:cs="Times New Roman"/>
                      <w:snapToGrid w:val="0"/>
                      <w:color w:val="auto"/>
                      <w:kern w:val="18"/>
                      <w:sz w:val="21"/>
                      <w:szCs w:val="21"/>
                      <w:highlight w:val="none"/>
                      <w:lang w:val="en-US" w:eastAsia="zh-CN"/>
                    </w:rPr>
                    <w:t>1</w:t>
                  </w:r>
                  <w:r>
                    <w:rPr>
                      <w:rFonts w:hint="eastAsia" w:cs="Times New Roman"/>
                      <w:snapToGrid w:val="0"/>
                      <w:color w:val="auto"/>
                      <w:kern w:val="18"/>
                      <w:sz w:val="21"/>
                      <w:szCs w:val="21"/>
                      <w:highlight w:val="none"/>
                      <w:lang w:val="en-US" w:eastAsia="zh-CN"/>
                    </w:rPr>
                    <w:t>2</w:t>
                  </w:r>
                  <w:r>
                    <w:rPr>
                      <w:rFonts w:hint="default" w:ascii="Times New Roman" w:hAnsi="Times New Roman" w:eastAsia="宋体" w:cs="Times New Roman"/>
                      <w:snapToGrid w:val="0"/>
                      <w:color w:val="auto"/>
                      <w:kern w:val="18"/>
                      <w:sz w:val="21"/>
                      <w:szCs w:val="21"/>
                      <w:highlight w:val="none"/>
                      <w:lang w:val="en-US" w:eastAsia="zh-CN"/>
                    </w:rPr>
                    <w:t>日</w:t>
                  </w:r>
                  <w:r>
                    <w:rPr>
                      <w:rFonts w:hint="eastAsia" w:ascii="Times New Roman" w:hAnsi="Times New Roman" w:eastAsia="宋体" w:cs="Times New Roman"/>
                      <w:snapToGrid w:val="0"/>
                      <w:color w:val="auto"/>
                      <w:kern w:val="18"/>
                      <w:sz w:val="21"/>
                      <w:szCs w:val="21"/>
                      <w:highlight w:val="none"/>
                      <w:lang w:val="en-US" w:eastAsia="zh-CN"/>
                    </w:rPr>
                    <w:t>原福州市环保局</w:t>
                  </w:r>
                  <w:r>
                    <w:rPr>
                      <w:rFonts w:hint="default" w:ascii="Times New Roman" w:hAnsi="Times New Roman" w:eastAsia="宋体" w:cs="Times New Roman"/>
                      <w:snapToGrid w:val="0"/>
                      <w:color w:val="auto"/>
                      <w:kern w:val="18"/>
                      <w:sz w:val="21"/>
                      <w:szCs w:val="21"/>
                      <w:highlight w:val="none"/>
                      <w:lang w:val="en-US" w:eastAsia="zh-CN"/>
                    </w:rPr>
                    <w:t>出具了该项目的竣工验收</w:t>
                  </w:r>
                  <w:r>
                    <w:rPr>
                      <w:rFonts w:hint="eastAsia" w:ascii="Times New Roman" w:hAnsi="Times New Roman" w:eastAsia="宋体" w:cs="Times New Roman"/>
                      <w:snapToGrid w:val="0"/>
                      <w:color w:val="auto"/>
                      <w:kern w:val="18"/>
                      <w:sz w:val="21"/>
                      <w:szCs w:val="21"/>
                      <w:highlight w:val="none"/>
                      <w:lang w:val="en-US" w:eastAsia="zh-CN"/>
                    </w:rPr>
                    <w:t>意见（见附件1</w:t>
                  </w:r>
                  <w:r>
                    <w:rPr>
                      <w:rFonts w:hint="eastAsia" w:cs="Times New Roman"/>
                      <w:snapToGrid w:val="0"/>
                      <w:color w:val="auto"/>
                      <w:kern w:val="18"/>
                      <w:sz w:val="21"/>
                      <w:szCs w:val="21"/>
                      <w:highlight w:val="none"/>
                      <w:lang w:val="en-US" w:eastAsia="zh-CN"/>
                    </w:rPr>
                    <w:t>0</w:t>
                  </w:r>
                  <w:r>
                    <w:rPr>
                      <w:rFonts w:hint="eastAsia" w:ascii="Times New Roman" w:hAnsi="Times New Roman" w:eastAsia="宋体" w:cs="Times New Roman"/>
                      <w:snapToGrid w:val="0"/>
                      <w:color w:val="auto"/>
                      <w:kern w:val="18"/>
                      <w:sz w:val="21"/>
                      <w:szCs w:val="21"/>
                      <w:highlight w:val="none"/>
                      <w:lang w:val="en-US" w:eastAsia="zh-CN"/>
                    </w:rPr>
                    <w:t>）</w:t>
                  </w:r>
                </w:p>
              </w:tc>
              <w:tc>
                <w:tcPr>
                  <w:tcW w:w="2667" w:type="dxa"/>
                  <w:vMerge w:val="restart"/>
                  <w:noWrap w:val="0"/>
                  <w:vAlign w:val="center"/>
                </w:tcPr>
                <w:p w14:paraId="47D89764">
                  <w:pPr>
                    <w:spacing w:line="34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snapToGrid w:val="0"/>
                      <w:color w:val="auto"/>
                      <w:kern w:val="18"/>
                      <w:sz w:val="21"/>
                      <w:szCs w:val="21"/>
                      <w:highlight w:val="none"/>
                      <w:lang w:val="en-US" w:eastAsia="zh-CN"/>
                    </w:rPr>
                    <w:t>20</w:t>
                  </w:r>
                  <w:r>
                    <w:rPr>
                      <w:rFonts w:hint="eastAsia" w:cs="Times New Roman"/>
                      <w:snapToGrid w:val="0"/>
                      <w:color w:val="auto"/>
                      <w:kern w:val="18"/>
                      <w:sz w:val="21"/>
                      <w:szCs w:val="21"/>
                      <w:highlight w:val="none"/>
                      <w:lang w:val="en-US" w:eastAsia="zh-CN"/>
                    </w:rPr>
                    <w:t>26</w:t>
                  </w:r>
                  <w:r>
                    <w:rPr>
                      <w:rFonts w:hint="default" w:ascii="Times New Roman" w:hAnsi="Times New Roman" w:eastAsia="宋体" w:cs="Times New Roman"/>
                      <w:snapToGrid w:val="0"/>
                      <w:color w:val="auto"/>
                      <w:kern w:val="18"/>
                      <w:sz w:val="21"/>
                      <w:szCs w:val="21"/>
                      <w:highlight w:val="none"/>
                      <w:lang w:val="en-US" w:eastAsia="zh-CN"/>
                    </w:rPr>
                    <w:t>年</w:t>
                  </w:r>
                  <w:r>
                    <w:rPr>
                      <w:rFonts w:hint="eastAsia" w:cs="Times New Roman"/>
                      <w:snapToGrid w:val="0"/>
                      <w:color w:val="auto"/>
                      <w:kern w:val="18"/>
                      <w:sz w:val="21"/>
                      <w:szCs w:val="21"/>
                      <w:highlight w:val="none"/>
                      <w:lang w:val="en-US" w:eastAsia="zh-CN"/>
                    </w:rPr>
                    <w:t>4</w:t>
                  </w:r>
                  <w:r>
                    <w:rPr>
                      <w:rFonts w:hint="default" w:ascii="Times New Roman" w:hAnsi="Times New Roman" w:eastAsia="宋体" w:cs="Times New Roman"/>
                      <w:snapToGrid w:val="0"/>
                      <w:color w:val="auto"/>
                      <w:kern w:val="18"/>
                      <w:sz w:val="21"/>
                      <w:szCs w:val="21"/>
                      <w:highlight w:val="none"/>
                      <w:lang w:val="en-US" w:eastAsia="zh-CN"/>
                    </w:rPr>
                    <w:t>月</w:t>
                  </w:r>
                  <w:r>
                    <w:rPr>
                      <w:rFonts w:hint="eastAsia" w:cs="Times New Roman"/>
                      <w:snapToGrid w:val="0"/>
                      <w:color w:val="auto"/>
                      <w:kern w:val="18"/>
                      <w:sz w:val="21"/>
                      <w:szCs w:val="21"/>
                      <w:highlight w:val="none"/>
                      <w:lang w:val="en-US" w:eastAsia="zh-CN"/>
                    </w:rPr>
                    <w:t>2</w:t>
                  </w:r>
                  <w:r>
                    <w:rPr>
                      <w:rFonts w:hint="default" w:ascii="Times New Roman" w:hAnsi="Times New Roman" w:eastAsia="宋体" w:cs="Times New Roman"/>
                      <w:snapToGrid w:val="0"/>
                      <w:color w:val="auto"/>
                      <w:kern w:val="18"/>
                      <w:sz w:val="21"/>
                      <w:szCs w:val="21"/>
                      <w:highlight w:val="none"/>
                      <w:lang w:val="en-US" w:eastAsia="zh-CN"/>
                    </w:rPr>
                    <w:t>日</w:t>
                  </w:r>
                  <w:r>
                    <w:rPr>
                      <w:rFonts w:hint="eastAsia" w:cs="Times New Roman"/>
                      <w:snapToGrid w:val="0"/>
                      <w:color w:val="auto"/>
                      <w:kern w:val="18"/>
                      <w:sz w:val="21"/>
                      <w:szCs w:val="21"/>
                      <w:highlight w:val="none"/>
                      <w:lang w:val="en-US" w:eastAsia="zh-CN"/>
                    </w:rPr>
                    <w:t>申请了排污登记变更并</w:t>
                  </w:r>
                  <w:r>
                    <w:rPr>
                      <w:rFonts w:hint="default" w:ascii="Times New Roman" w:hAnsi="Times New Roman" w:eastAsia="宋体" w:cs="Times New Roman"/>
                      <w:snapToGrid w:val="0"/>
                      <w:color w:val="auto"/>
                      <w:kern w:val="18"/>
                      <w:sz w:val="21"/>
                      <w:szCs w:val="21"/>
                      <w:highlight w:val="none"/>
                      <w:lang w:val="en-US" w:eastAsia="zh-CN"/>
                    </w:rPr>
                    <w:t>取得了</w:t>
                  </w:r>
                  <w:r>
                    <w:rPr>
                      <w:rFonts w:hint="eastAsia" w:ascii="Times New Roman" w:hAnsi="Times New Roman" w:eastAsia="宋体" w:cs="Times New Roman"/>
                      <w:snapToGrid w:val="0"/>
                      <w:color w:val="auto"/>
                      <w:kern w:val="18"/>
                      <w:sz w:val="21"/>
                      <w:szCs w:val="21"/>
                      <w:highlight w:val="none"/>
                      <w:lang w:val="en-US" w:eastAsia="zh-CN"/>
                    </w:rPr>
                    <w:t>固定污染源排污登记回执，登记编号</w:t>
                  </w:r>
                  <w:r>
                    <w:rPr>
                      <w:rFonts w:hint="default" w:ascii="Times New Roman" w:hAnsi="Times New Roman" w:eastAsia="宋体" w:cs="Times New Roman"/>
                      <w:snapToGrid w:val="0"/>
                      <w:color w:val="auto"/>
                      <w:kern w:val="18"/>
                      <w:sz w:val="21"/>
                      <w:szCs w:val="21"/>
                      <w:highlight w:val="none"/>
                      <w:lang w:val="en-US" w:eastAsia="zh-CN"/>
                    </w:rPr>
                    <w:t>：12350123488379500U001W</w:t>
                  </w:r>
                  <w:r>
                    <w:rPr>
                      <w:rFonts w:hint="eastAsia" w:cs="Times New Roman"/>
                      <w:snapToGrid w:val="0"/>
                      <w:color w:val="auto"/>
                      <w:kern w:val="18"/>
                      <w:sz w:val="21"/>
                      <w:szCs w:val="21"/>
                      <w:highlight w:val="none"/>
                      <w:lang w:val="en-US" w:eastAsia="zh-CN"/>
                    </w:rPr>
                    <w:t>（</w:t>
                  </w:r>
                  <w:r>
                    <w:rPr>
                      <w:rFonts w:hint="eastAsia" w:ascii="Times New Roman" w:hAnsi="Times New Roman" w:eastAsia="宋体" w:cs="Times New Roman"/>
                      <w:snapToGrid w:val="0"/>
                      <w:color w:val="auto"/>
                      <w:kern w:val="18"/>
                      <w:sz w:val="21"/>
                      <w:szCs w:val="21"/>
                      <w:highlight w:val="none"/>
                      <w:lang w:val="en-US" w:eastAsia="zh-CN"/>
                    </w:rPr>
                    <w:t>见附件</w:t>
                  </w:r>
                  <w:r>
                    <w:rPr>
                      <w:rFonts w:hint="eastAsia" w:cs="Times New Roman"/>
                      <w:snapToGrid w:val="0"/>
                      <w:color w:val="auto"/>
                      <w:kern w:val="18"/>
                      <w:sz w:val="21"/>
                      <w:szCs w:val="21"/>
                      <w:highlight w:val="none"/>
                      <w:lang w:val="en-US" w:eastAsia="zh-CN"/>
                    </w:rPr>
                    <w:t>9）</w:t>
                  </w:r>
                </w:p>
              </w:tc>
            </w:tr>
            <w:tr w14:paraId="794917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65" w:type="dxa"/>
                  <w:shd w:val="clear" w:color="auto" w:fill="auto"/>
                  <w:noWrap w:val="0"/>
                  <w:vAlign w:val="center"/>
                </w:tcPr>
                <w:p w14:paraId="1B0AA274">
                  <w:pPr>
                    <w:spacing w:line="340" w:lineRule="exact"/>
                    <w:jc w:val="center"/>
                    <w:rPr>
                      <w:rFonts w:hint="default" w:ascii="Times New Roman" w:hAnsi="Times New Roman" w:eastAsia="宋体" w:cs="Times New Roman"/>
                      <w:snapToGrid w:val="0"/>
                      <w:color w:val="auto"/>
                      <w:kern w:val="18"/>
                      <w:sz w:val="21"/>
                      <w:szCs w:val="21"/>
                      <w:highlight w:val="none"/>
                      <w:lang w:val="en-US" w:eastAsia="zh-CN" w:bidi="ar-SA"/>
                    </w:rPr>
                  </w:pPr>
                  <w:r>
                    <w:rPr>
                      <w:rFonts w:hint="default" w:ascii="Times New Roman" w:hAnsi="Times New Roman" w:eastAsia="宋体" w:cs="Times New Roman"/>
                      <w:snapToGrid w:val="0"/>
                      <w:color w:val="auto"/>
                      <w:kern w:val="18"/>
                      <w:sz w:val="21"/>
                      <w:szCs w:val="21"/>
                      <w:highlight w:val="none"/>
                    </w:rPr>
                    <w:t>《罗源县中医院改建</w:t>
                  </w:r>
                  <w:r>
                    <w:rPr>
                      <w:rFonts w:hint="eastAsia" w:ascii="Times New Roman" w:hAnsi="Times New Roman" w:eastAsia="宋体" w:cs="Times New Roman"/>
                      <w:snapToGrid w:val="0"/>
                      <w:color w:val="auto"/>
                      <w:kern w:val="18"/>
                      <w:sz w:val="21"/>
                      <w:szCs w:val="21"/>
                      <w:highlight w:val="none"/>
                      <w:lang w:val="en-US" w:eastAsia="zh-CN"/>
                    </w:rPr>
                    <w:t>工</w:t>
                  </w:r>
                  <w:r>
                    <w:rPr>
                      <w:rFonts w:hint="default" w:ascii="Times New Roman" w:hAnsi="Times New Roman" w:eastAsia="宋体" w:cs="Times New Roman"/>
                      <w:snapToGrid w:val="0"/>
                      <w:color w:val="auto"/>
                      <w:kern w:val="18"/>
                      <w:sz w:val="21"/>
                      <w:szCs w:val="21"/>
                      <w:highlight w:val="none"/>
                    </w:rPr>
                    <w:t>程环境影响</w:t>
                  </w:r>
                  <w:r>
                    <w:rPr>
                      <w:rFonts w:hint="eastAsia" w:ascii="Times New Roman" w:hAnsi="Times New Roman" w:eastAsia="宋体" w:cs="Times New Roman"/>
                      <w:snapToGrid w:val="0"/>
                      <w:color w:val="auto"/>
                      <w:kern w:val="18"/>
                      <w:sz w:val="21"/>
                      <w:szCs w:val="21"/>
                      <w:highlight w:val="none"/>
                      <w:lang w:val="en-US" w:eastAsia="zh-CN"/>
                    </w:rPr>
                    <w:t>登记表</w:t>
                  </w:r>
                  <w:r>
                    <w:rPr>
                      <w:rFonts w:hint="default" w:ascii="Times New Roman" w:hAnsi="Times New Roman" w:eastAsia="宋体" w:cs="Times New Roman"/>
                      <w:snapToGrid w:val="0"/>
                      <w:color w:val="auto"/>
                      <w:kern w:val="18"/>
                      <w:sz w:val="21"/>
                      <w:szCs w:val="21"/>
                      <w:highlight w:val="none"/>
                    </w:rPr>
                    <w:t>》</w:t>
                  </w:r>
                </w:p>
              </w:tc>
              <w:tc>
                <w:tcPr>
                  <w:tcW w:w="1472" w:type="dxa"/>
                  <w:shd w:val="clear" w:color="auto" w:fill="auto"/>
                  <w:noWrap w:val="0"/>
                  <w:vAlign w:val="center"/>
                </w:tcPr>
                <w:p w14:paraId="00F67E96">
                  <w:pPr>
                    <w:spacing w:line="340" w:lineRule="exact"/>
                    <w:jc w:val="center"/>
                    <w:rPr>
                      <w:rFonts w:hint="default" w:ascii="Times New Roman" w:hAnsi="Times New Roman" w:eastAsia="宋体" w:cs="Times New Roman"/>
                      <w:snapToGrid w:val="0"/>
                      <w:color w:val="auto"/>
                      <w:kern w:val="18"/>
                      <w:sz w:val="21"/>
                      <w:szCs w:val="21"/>
                      <w:highlight w:val="none"/>
                      <w:lang w:val="en-US" w:eastAsia="zh-CN" w:bidi="ar-SA"/>
                    </w:rPr>
                  </w:pPr>
                  <w:r>
                    <w:rPr>
                      <w:rFonts w:hint="eastAsia" w:ascii="Times New Roman" w:hAnsi="Times New Roman" w:eastAsia="宋体" w:cs="Times New Roman"/>
                      <w:snapToGrid w:val="0"/>
                      <w:color w:val="auto"/>
                      <w:kern w:val="18"/>
                      <w:sz w:val="21"/>
                      <w:szCs w:val="21"/>
                      <w:highlight w:val="none"/>
                      <w:lang w:val="en-US" w:eastAsia="zh-CN"/>
                    </w:rPr>
                    <w:t>在罗源县中医院内修缮本部两栋大楼及附属楼、医院大门、医院信息网络和水电管网等设施，面积共3969平方米。</w:t>
                  </w:r>
                </w:p>
              </w:tc>
              <w:tc>
                <w:tcPr>
                  <w:tcW w:w="1460" w:type="dxa"/>
                  <w:shd w:val="clear" w:color="auto" w:fill="auto"/>
                  <w:noWrap w:val="0"/>
                  <w:vAlign w:val="center"/>
                </w:tcPr>
                <w:p w14:paraId="41CB13B9">
                  <w:pPr>
                    <w:spacing w:line="340" w:lineRule="exact"/>
                    <w:jc w:val="center"/>
                    <w:rPr>
                      <w:rFonts w:hint="default" w:ascii="Times New Roman" w:hAnsi="Times New Roman" w:eastAsia="宋体" w:cs="Times New Roman"/>
                      <w:snapToGrid w:val="0"/>
                      <w:color w:val="auto"/>
                      <w:kern w:val="18"/>
                      <w:sz w:val="21"/>
                      <w:szCs w:val="21"/>
                      <w:highlight w:val="none"/>
                      <w:lang w:val="en-US" w:eastAsia="zh-CN" w:bidi="ar-SA"/>
                    </w:rPr>
                  </w:pPr>
                  <w:r>
                    <w:rPr>
                      <w:rFonts w:hint="eastAsia" w:ascii="Times New Roman" w:hAnsi="Times New Roman" w:eastAsia="宋体" w:cs="Times New Roman"/>
                      <w:snapToGrid w:val="0"/>
                      <w:color w:val="auto"/>
                      <w:kern w:val="18"/>
                      <w:sz w:val="21"/>
                      <w:szCs w:val="21"/>
                      <w:highlight w:val="none"/>
                      <w:lang w:val="en-US" w:eastAsia="zh-CN"/>
                    </w:rPr>
                    <w:t>2012年7月20日通过了原罗源县环境保护局审批（见附件1</w:t>
                  </w:r>
                  <w:r>
                    <w:rPr>
                      <w:rFonts w:hint="eastAsia" w:cs="Times New Roman"/>
                      <w:snapToGrid w:val="0"/>
                      <w:color w:val="auto"/>
                      <w:kern w:val="18"/>
                      <w:sz w:val="21"/>
                      <w:szCs w:val="21"/>
                      <w:highlight w:val="none"/>
                      <w:lang w:val="en-US" w:eastAsia="zh-CN"/>
                    </w:rPr>
                    <w:t>1</w:t>
                  </w:r>
                  <w:r>
                    <w:rPr>
                      <w:rFonts w:hint="eastAsia" w:ascii="Times New Roman" w:hAnsi="Times New Roman" w:eastAsia="宋体" w:cs="Times New Roman"/>
                      <w:snapToGrid w:val="0"/>
                      <w:color w:val="auto"/>
                      <w:kern w:val="18"/>
                      <w:sz w:val="21"/>
                      <w:szCs w:val="21"/>
                      <w:highlight w:val="none"/>
                      <w:lang w:val="en-US" w:eastAsia="zh-CN"/>
                    </w:rPr>
                    <w:t>）</w:t>
                  </w:r>
                </w:p>
              </w:tc>
              <w:tc>
                <w:tcPr>
                  <w:tcW w:w="1720" w:type="dxa"/>
                  <w:shd w:val="clear" w:color="auto" w:fill="auto"/>
                  <w:noWrap w:val="0"/>
                  <w:vAlign w:val="center"/>
                </w:tcPr>
                <w:p w14:paraId="11007F34">
                  <w:pPr>
                    <w:spacing w:line="340" w:lineRule="exact"/>
                    <w:jc w:val="center"/>
                    <w:rPr>
                      <w:rFonts w:hint="default" w:ascii="Times New Roman" w:hAnsi="Times New Roman" w:eastAsia="宋体" w:cs="Times New Roman"/>
                      <w:snapToGrid w:val="0"/>
                      <w:color w:val="auto"/>
                      <w:kern w:val="18"/>
                      <w:sz w:val="21"/>
                      <w:szCs w:val="21"/>
                      <w:highlight w:val="none"/>
                      <w:lang w:val="en-US" w:eastAsia="zh-CN" w:bidi="ar-SA"/>
                    </w:rPr>
                  </w:pPr>
                  <w:r>
                    <w:rPr>
                      <w:rFonts w:hint="eastAsia" w:cs="Times New Roman"/>
                      <w:snapToGrid w:val="0"/>
                      <w:color w:val="auto"/>
                      <w:kern w:val="18"/>
                      <w:sz w:val="21"/>
                      <w:szCs w:val="21"/>
                      <w:highlight w:val="none"/>
                      <w:lang w:val="en-US" w:eastAsia="zh-CN"/>
                    </w:rPr>
                    <w:t>/</w:t>
                  </w:r>
                </w:p>
              </w:tc>
              <w:tc>
                <w:tcPr>
                  <w:tcW w:w="2667" w:type="dxa"/>
                  <w:vMerge w:val="continue"/>
                  <w:noWrap w:val="0"/>
                  <w:vAlign w:val="center"/>
                </w:tcPr>
                <w:p w14:paraId="5AD850F8">
                  <w:pPr>
                    <w:spacing w:line="340" w:lineRule="exact"/>
                    <w:jc w:val="center"/>
                    <w:rPr>
                      <w:rFonts w:hint="default" w:ascii="Times New Roman" w:hAnsi="Times New Roman" w:eastAsia="宋体" w:cs="Times New Roman"/>
                      <w:snapToGrid w:val="0"/>
                      <w:color w:val="auto"/>
                      <w:kern w:val="18"/>
                      <w:sz w:val="21"/>
                      <w:szCs w:val="21"/>
                      <w:highlight w:val="none"/>
                      <w:lang w:val="en-US" w:eastAsia="zh-CN"/>
                    </w:rPr>
                  </w:pPr>
                </w:p>
              </w:tc>
            </w:tr>
          </w:tbl>
          <w:p w14:paraId="2BECA373">
            <w:pPr>
              <w:spacing w:line="360" w:lineRule="auto"/>
              <w:ind w:firstLine="480"/>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现有工程组成</w:t>
            </w:r>
          </w:p>
          <w:p w14:paraId="22D818BE">
            <w:pPr>
              <w:spacing w:line="360" w:lineRule="auto"/>
              <w:ind w:firstLine="48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旧院区住院楼：一楼药房、收费、急诊，二楼医技、门诊，三楼：内科，四楼康复中心</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住院</w:t>
            </w:r>
            <w:r>
              <w:rPr>
                <w:rFonts w:hint="eastAsia" w:ascii="Times New Roman" w:hAnsi="Times New Roman" w:eastAsia="宋体" w:cs="Times New Roman"/>
                <w:color w:val="auto"/>
                <w:sz w:val="24"/>
                <w:szCs w:val="24"/>
                <w:highlight w:val="none"/>
                <w:lang w:val="en-US" w:eastAsia="zh-CN"/>
              </w:rPr>
              <w:t>部</w:t>
            </w:r>
            <w:r>
              <w:rPr>
                <w:rFonts w:hint="default" w:ascii="Times New Roman" w:hAnsi="Times New Roman" w:eastAsia="宋体" w:cs="Times New Roman"/>
                <w:color w:val="auto"/>
                <w:sz w:val="24"/>
                <w:szCs w:val="24"/>
                <w:highlight w:val="none"/>
                <w:lang w:val="en-US" w:eastAsia="zh-CN"/>
              </w:rPr>
              <w:t>，五楼</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外科</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六</w:t>
            </w:r>
            <w:r>
              <w:rPr>
                <w:rFonts w:hint="default" w:ascii="Times New Roman" w:hAnsi="Times New Roman" w:eastAsia="宋体" w:cs="Times New Roman"/>
                <w:color w:val="auto"/>
                <w:sz w:val="24"/>
                <w:szCs w:val="24"/>
                <w:highlight w:val="none"/>
                <w:lang w:val="en-US" w:eastAsia="zh-CN"/>
              </w:rPr>
              <w:t>楼</w:t>
            </w:r>
            <w:r>
              <w:rPr>
                <w:rFonts w:hint="eastAsia" w:cs="Times New Roman"/>
                <w:color w:val="auto"/>
                <w:sz w:val="24"/>
                <w:szCs w:val="24"/>
                <w:highlight w:val="none"/>
                <w:lang w:val="en-US" w:eastAsia="zh-CN"/>
              </w:rPr>
              <w:t>：手术室</w:t>
            </w:r>
          </w:p>
          <w:p w14:paraId="2BACB95B">
            <w:pPr>
              <w:spacing w:line="360" w:lineRule="auto"/>
              <w:ind w:firstLine="48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旧院区康复楼：一楼放射科，二楼体检科（治未病），三楼康复科，四楼康复科，五楼行政、会议室。</w:t>
            </w:r>
          </w:p>
          <w:p w14:paraId="09F2E1FB">
            <w:pPr>
              <w:spacing w:line="360" w:lineRule="auto"/>
              <w:ind w:firstLine="48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现有工程组成及主要科室分布如下</w:t>
            </w:r>
            <w:r>
              <w:rPr>
                <w:rFonts w:hint="eastAsia" w:cs="Times New Roman"/>
                <w:color w:val="auto"/>
                <w:sz w:val="24"/>
                <w:szCs w:val="24"/>
                <w:highlight w:val="none"/>
                <w:lang w:val="en-US" w:eastAsia="zh-CN"/>
              </w:rPr>
              <w:t>：</w:t>
            </w:r>
          </w:p>
          <w:p w14:paraId="58574417">
            <w:pPr>
              <w:pStyle w:val="44"/>
              <w:keepNext/>
              <w:keepLines/>
              <w:pageBreakBefore w:val="0"/>
              <w:widowControl w:val="0"/>
              <w:numPr>
                <w:ilvl w:val="7"/>
                <w:numId w:val="10"/>
              </w:numPr>
              <w:tabs>
                <w:tab w:val="left" w:pos="0"/>
              </w:tabs>
              <w:kinsoku/>
              <w:wordWrap/>
              <w:overflowPunct/>
              <w:topLinePunct w:val="0"/>
              <w:autoSpaceDE/>
              <w:autoSpaceDN/>
              <w:bidi w:val="0"/>
              <w:adjustRightInd/>
              <w:snapToGrid/>
              <w:spacing w:before="0" w:after="0"/>
              <w:ind w:left="630" w:leftChars="0" w:firstLineChars="0"/>
              <w:textAlignment w:val="auto"/>
              <w:rPr>
                <w:rFonts w:hint="eastAsia" w:ascii="Times New Roman" w:hAnsi="Times New Roman" w:eastAsia="宋体"/>
                <w:color w:val="auto"/>
                <w:highlight w:val="none"/>
              </w:rPr>
            </w:pPr>
            <w:r>
              <w:rPr>
                <w:rFonts w:hint="eastAsia" w:ascii="Times New Roman" w:hAnsi="Times New Roman" w:eastAsia="宋体"/>
                <w:color w:val="auto"/>
                <w:highlight w:val="none"/>
              </w:rPr>
              <w:t>现有工程组成及科室分布情况</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
              <w:gridCol w:w="2730"/>
              <w:gridCol w:w="5166"/>
            </w:tblGrid>
            <w:tr w14:paraId="4F2E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tcBorders>
                    <w:top w:val="single" w:color="000000" w:sz="12" w:space="0"/>
                    <w:left w:val="nil"/>
                  </w:tcBorders>
                  <w:vAlign w:val="center"/>
                </w:tcPr>
                <w:p w14:paraId="58A519C9">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val="en-US" w:eastAsia="zh-CN"/>
                    </w:rPr>
                  </w:pPr>
                  <w:r>
                    <w:rPr>
                      <w:rFonts w:hint="eastAsia" w:ascii="Times New Roman" w:hAnsi="Times New Roman" w:eastAsia="宋体" w:cs="宋体"/>
                      <w:sz w:val="21"/>
                      <w:vertAlign w:val="baseline"/>
                      <w:lang w:val="en-US" w:eastAsia="zh-CN"/>
                    </w:rPr>
                    <w:t>序号</w:t>
                  </w:r>
                </w:p>
              </w:tc>
              <w:tc>
                <w:tcPr>
                  <w:tcW w:w="2730" w:type="dxa"/>
                  <w:tcBorders>
                    <w:top w:val="single" w:color="000000" w:sz="12" w:space="0"/>
                  </w:tcBorders>
                  <w:vAlign w:val="center"/>
                </w:tcPr>
                <w:p w14:paraId="0A976277">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eastAsia="zh-CN"/>
                    </w:rPr>
                  </w:pPr>
                  <w:r>
                    <w:rPr>
                      <w:rFonts w:hint="eastAsia" w:ascii="Times New Roman" w:hAnsi="Times New Roman" w:eastAsia="宋体" w:cs="宋体"/>
                      <w:sz w:val="21"/>
                      <w:vertAlign w:val="baseline"/>
                      <w:lang w:val="en-US" w:eastAsia="zh-CN"/>
                    </w:rPr>
                    <w:t>组成部分</w:t>
                  </w:r>
                </w:p>
              </w:tc>
              <w:tc>
                <w:tcPr>
                  <w:tcW w:w="5166" w:type="dxa"/>
                  <w:tcBorders>
                    <w:top w:val="single" w:color="000000" w:sz="12" w:space="0"/>
                    <w:right w:val="nil"/>
                  </w:tcBorders>
                  <w:vAlign w:val="center"/>
                </w:tcPr>
                <w:p w14:paraId="0CF17FB0">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eastAsia="zh-CN"/>
                    </w:rPr>
                  </w:pPr>
                  <w:r>
                    <w:rPr>
                      <w:rFonts w:hint="eastAsia" w:ascii="Times New Roman" w:hAnsi="Times New Roman" w:eastAsia="宋体" w:cs="宋体"/>
                      <w:sz w:val="21"/>
                      <w:vertAlign w:val="baseline"/>
                      <w:lang w:val="en-US" w:eastAsia="zh-CN"/>
                    </w:rPr>
                    <w:t>主要功能</w:t>
                  </w:r>
                </w:p>
              </w:tc>
            </w:tr>
            <w:tr w14:paraId="4E75C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restart"/>
                  <w:tcBorders>
                    <w:top w:val="single" w:color="000000" w:sz="12" w:space="0"/>
                    <w:left w:val="nil"/>
                  </w:tcBorders>
                  <w:vAlign w:val="center"/>
                </w:tcPr>
                <w:p w14:paraId="6A44ED5B">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val="en-US" w:eastAsia="zh-CN"/>
                    </w:rPr>
                  </w:pPr>
                  <w:r>
                    <w:rPr>
                      <w:rFonts w:hint="eastAsia" w:ascii="Times New Roman" w:hAnsi="Times New Roman" w:eastAsia="宋体" w:cs="宋体"/>
                      <w:sz w:val="21"/>
                      <w:vertAlign w:val="baseline"/>
                      <w:lang w:val="en-US" w:eastAsia="zh-CN"/>
                    </w:rPr>
                    <w:t>1</w:t>
                  </w:r>
                </w:p>
              </w:tc>
              <w:tc>
                <w:tcPr>
                  <w:tcW w:w="2730" w:type="dxa"/>
                  <w:vMerge w:val="restart"/>
                  <w:tcBorders>
                    <w:top w:val="single" w:color="000000" w:sz="12" w:space="0"/>
                  </w:tcBorders>
                  <w:vAlign w:val="center"/>
                </w:tcPr>
                <w:p w14:paraId="558BFDF3">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eastAsia="zh-CN"/>
                    </w:rPr>
                  </w:pPr>
                  <w:r>
                    <w:rPr>
                      <w:rFonts w:hint="eastAsia" w:ascii="Times New Roman" w:hAnsi="Times New Roman" w:eastAsia="宋体" w:cs="宋体"/>
                      <w:color w:val="auto"/>
                      <w:sz w:val="21"/>
                      <w:szCs w:val="24"/>
                      <w:highlight w:val="none"/>
                      <w:lang w:val="en-US" w:eastAsia="zh-CN"/>
                    </w:rPr>
                    <w:t>旧院区住院楼</w:t>
                  </w:r>
                </w:p>
              </w:tc>
              <w:tc>
                <w:tcPr>
                  <w:tcW w:w="5166" w:type="dxa"/>
                  <w:tcBorders>
                    <w:top w:val="single" w:color="000000" w:sz="12" w:space="0"/>
                    <w:right w:val="nil"/>
                  </w:tcBorders>
                  <w:vAlign w:val="center"/>
                </w:tcPr>
                <w:p w14:paraId="77133F00">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eastAsia="zh-CN"/>
                    </w:rPr>
                  </w:pPr>
                  <w:r>
                    <w:rPr>
                      <w:rFonts w:hint="eastAsia" w:ascii="Times New Roman" w:hAnsi="Times New Roman" w:eastAsia="宋体" w:cs="宋体"/>
                      <w:color w:val="auto"/>
                      <w:sz w:val="21"/>
                      <w:szCs w:val="24"/>
                      <w:highlight w:val="none"/>
                      <w:lang w:val="en-US" w:eastAsia="zh-CN"/>
                    </w:rPr>
                    <w:t>一楼药房、收费、急诊</w:t>
                  </w:r>
                </w:p>
              </w:tc>
            </w:tr>
            <w:tr w14:paraId="2A7E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continue"/>
                  <w:tcBorders>
                    <w:left w:val="nil"/>
                  </w:tcBorders>
                  <w:vAlign w:val="center"/>
                </w:tcPr>
                <w:p w14:paraId="1B39B459">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val="en-US" w:eastAsia="zh-CN"/>
                    </w:rPr>
                  </w:pPr>
                </w:p>
              </w:tc>
              <w:tc>
                <w:tcPr>
                  <w:tcW w:w="2730" w:type="dxa"/>
                  <w:vMerge w:val="continue"/>
                  <w:vAlign w:val="center"/>
                </w:tcPr>
                <w:p w14:paraId="0895380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eastAsia="zh-CN"/>
                    </w:rPr>
                  </w:pPr>
                </w:p>
              </w:tc>
              <w:tc>
                <w:tcPr>
                  <w:tcW w:w="5166" w:type="dxa"/>
                  <w:tcBorders>
                    <w:right w:val="nil"/>
                  </w:tcBorders>
                  <w:vAlign w:val="center"/>
                </w:tcPr>
                <w:p w14:paraId="436C14F0">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eastAsia="zh-CN"/>
                    </w:rPr>
                  </w:pPr>
                  <w:r>
                    <w:rPr>
                      <w:rFonts w:hint="eastAsia" w:ascii="Times New Roman" w:hAnsi="Times New Roman" w:eastAsia="宋体" w:cs="宋体"/>
                      <w:color w:val="auto"/>
                      <w:sz w:val="21"/>
                      <w:szCs w:val="24"/>
                      <w:highlight w:val="none"/>
                      <w:lang w:val="en-US" w:eastAsia="zh-CN"/>
                    </w:rPr>
                    <w:t>二楼医技、门诊</w:t>
                  </w:r>
                </w:p>
              </w:tc>
            </w:tr>
            <w:tr w14:paraId="29B85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continue"/>
                  <w:tcBorders>
                    <w:left w:val="nil"/>
                  </w:tcBorders>
                  <w:vAlign w:val="center"/>
                </w:tcPr>
                <w:p w14:paraId="721E9A03">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val="en-US" w:eastAsia="zh-CN"/>
                    </w:rPr>
                  </w:pPr>
                </w:p>
              </w:tc>
              <w:tc>
                <w:tcPr>
                  <w:tcW w:w="2730" w:type="dxa"/>
                  <w:vMerge w:val="continue"/>
                  <w:vAlign w:val="center"/>
                </w:tcPr>
                <w:p w14:paraId="3813310B">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eastAsia="zh-CN"/>
                    </w:rPr>
                  </w:pPr>
                </w:p>
              </w:tc>
              <w:tc>
                <w:tcPr>
                  <w:tcW w:w="5166" w:type="dxa"/>
                  <w:tcBorders>
                    <w:right w:val="nil"/>
                  </w:tcBorders>
                  <w:vAlign w:val="center"/>
                </w:tcPr>
                <w:p w14:paraId="3B225C0F">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eastAsia="zh-CN"/>
                    </w:rPr>
                  </w:pPr>
                  <w:r>
                    <w:rPr>
                      <w:rFonts w:hint="eastAsia" w:ascii="Times New Roman" w:hAnsi="Times New Roman" w:eastAsia="宋体" w:cs="宋体"/>
                      <w:color w:val="auto"/>
                      <w:sz w:val="21"/>
                      <w:szCs w:val="24"/>
                      <w:highlight w:val="none"/>
                      <w:lang w:val="en-US" w:eastAsia="zh-CN"/>
                    </w:rPr>
                    <w:t>三楼：内科</w:t>
                  </w:r>
                </w:p>
              </w:tc>
            </w:tr>
            <w:tr w14:paraId="367C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continue"/>
                  <w:tcBorders>
                    <w:left w:val="nil"/>
                  </w:tcBorders>
                  <w:vAlign w:val="center"/>
                </w:tcPr>
                <w:p w14:paraId="3D38C67E">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val="en-US" w:eastAsia="zh-CN"/>
                    </w:rPr>
                  </w:pPr>
                </w:p>
              </w:tc>
              <w:tc>
                <w:tcPr>
                  <w:tcW w:w="2730" w:type="dxa"/>
                  <w:vMerge w:val="continue"/>
                  <w:vAlign w:val="center"/>
                </w:tcPr>
                <w:p w14:paraId="618BDCC2">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eastAsia="zh-CN"/>
                    </w:rPr>
                  </w:pPr>
                </w:p>
              </w:tc>
              <w:tc>
                <w:tcPr>
                  <w:tcW w:w="5166" w:type="dxa"/>
                  <w:tcBorders>
                    <w:right w:val="nil"/>
                  </w:tcBorders>
                  <w:vAlign w:val="center"/>
                </w:tcPr>
                <w:p w14:paraId="33DF111F">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val="en-US" w:eastAsia="zh-CN"/>
                    </w:rPr>
                  </w:pPr>
                  <w:r>
                    <w:rPr>
                      <w:rFonts w:hint="eastAsia" w:ascii="Times New Roman" w:hAnsi="Times New Roman" w:eastAsia="宋体" w:cs="宋体"/>
                      <w:color w:val="auto"/>
                      <w:sz w:val="21"/>
                      <w:szCs w:val="24"/>
                      <w:highlight w:val="none"/>
                      <w:lang w:val="en-US" w:eastAsia="zh-CN"/>
                    </w:rPr>
                    <w:t>四楼康复中心、住院部</w:t>
                  </w:r>
                </w:p>
              </w:tc>
            </w:tr>
            <w:tr w14:paraId="0385D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continue"/>
                  <w:tcBorders>
                    <w:left w:val="nil"/>
                  </w:tcBorders>
                  <w:vAlign w:val="center"/>
                </w:tcPr>
                <w:p w14:paraId="303A8A92">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val="en-US" w:eastAsia="zh-CN"/>
                    </w:rPr>
                  </w:pPr>
                </w:p>
              </w:tc>
              <w:tc>
                <w:tcPr>
                  <w:tcW w:w="2730" w:type="dxa"/>
                  <w:vMerge w:val="continue"/>
                  <w:vAlign w:val="center"/>
                </w:tcPr>
                <w:p w14:paraId="03CC31D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eastAsia="zh-CN"/>
                    </w:rPr>
                  </w:pPr>
                </w:p>
              </w:tc>
              <w:tc>
                <w:tcPr>
                  <w:tcW w:w="5166" w:type="dxa"/>
                  <w:tcBorders>
                    <w:right w:val="nil"/>
                  </w:tcBorders>
                  <w:vAlign w:val="center"/>
                </w:tcPr>
                <w:p w14:paraId="1F7E17CA">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eastAsia="zh-CN"/>
                    </w:rPr>
                  </w:pPr>
                  <w:r>
                    <w:rPr>
                      <w:rFonts w:hint="eastAsia" w:ascii="Times New Roman" w:hAnsi="Times New Roman" w:eastAsia="宋体" w:cs="宋体"/>
                      <w:color w:val="auto"/>
                      <w:sz w:val="21"/>
                      <w:szCs w:val="24"/>
                      <w:highlight w:val="none"/>
                      <w:lang w:val="en-US" w:eastAsia="zh-CN"/>
                    </w:rPr>
                    <w:t>五楼</w:t>
                  </w:r>
                  <w:r>
                    <w:rPr>
                      <w:rFonts w:hint="eastAsia" w:cs="宋体"/>
                      <w:color w:val="auto"/>
                      <w:sz w:val="21"/>
                      <w:szCs w:val="24"/>
                      <w:highlight w:val="none"/>
                      <w:lang w:val="en-US" w:eastAsia="zh-CN"/>
                    </w:rPr>
                    <w:t>：</w:t>
                  </w:r>
                  <w:r>
                    <w:rPr>
                      <w:rFonts w:hint="eastAsia" w:ascii="Times New Roman" w:hAnsi="Times New Roman" w:eastAsia="宋体" w:cs="宋体"/>
                      <w:color w:val="auto"/>
                      <w:sz w:val="21"/>
                      <w:szCs w:val="24"/>
                      <w:highlight w:val="none"/>
                      <w:lang w:val="en-US" w:eastAsia="zh-CN"/>
                    </w:rPr>
                    <w:t>外科</w:t>
                  </w:r>
                </w:p>
              </w:tc>
            </w:tr>
            <w:tr w14:paraId="187C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continue"/>
                  <w:tcBorders>
                    <w:left w:val="nil"/>
                  </w:tcBorders>
                  <w:vAlign w:val="center"/>
                </w:tcPr>
                <w:p w14:paraId="42944AEF">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val="en-US" w:eastAsia="zh-CN"/>
                    </w:rPr>
                  </w:pPr>
                </w:p>
              </w:tc>
              <w:tc>
                <w:tcPr>
                  <w:tcW w:w="2730" w:type="dxa"/>
                  <w:vMerge w:val="continue"/>
                  <w:vAlign w:val="center"/>
                </w:tcPr>
                <w:p w14:paraId="74AA60A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eastAsia="zh-CN"/>
                    </w:rPr>
                  </w:pPr>
                </w:p>
              </w:tc>
              <w:tc>
                <w:tcPr>
                  <w:tcW w:w="5166" w:type="dxa"/>
                  <w:tcBorders>
                    <w:right w:val="nil"/>
                  </w:tcBorders>
                  <w:vAlign w:val="center"/>
                </w:tcPr>
                <w:p w14:paraId="3F42ECBC">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eastAsia="zh-CN"/>
                    </w:rPr>
                  </w:pPr>
                  <w:r>
                    <w:rPr>
                      <w:rFonts w:hint="eastAsia" w:ascii="Times New Roman" w:hAnsi="Times New Roman" w:eastAsia="宋体" w:cs="宋体"/>
                      <w:color w:val="auto"/>
                      <w:sz w:val="21"/>
                      <w:szCs w:val="24"/>
                      <w:highlight w:val="none"/>
                      <w:lang w:val="en-US" w:eastAsia="zh-CN"/>
                    </w:rPr>
                    <w:t>六楼手术室</w:t>
                  </w:r>
                </w:p>
              </w:tc>
            </w:tr>
            <w:tr w14:paraId="7B703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restart"/>
                  <w:tcBorders>
                    <w:left w:val="nil"/>
                  </w:tcBorders>
                  <w:vAlign w:val="center"/>
                </w:tcPr>
                <w:p w14:paraId="250E7211">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val="en-US" w:eastAsia="zh-CN"/>
                    </w:rPr>
                  </w:pPr>
                  <w:r>
                    <w:rPr>
                      <w:rFonts w:hint="eastAsia" w:ascii="Times New Roman" w:hAnsi="Times New Roman" w:eastAsia="宋体" w:cs="宋体"/>
                      <w:sz w:val="21"/>
                      <w:vertAlign w:val="baseline"/>
                      <w:lang w:val="en-US" w:eastAsia="zh-CN"/>
                    </w:rPr>
                    <w:t>2</w:t>
                  </w:r>
                </w:p>
              </w:tc>
              <w:tc>
                <w:tcPr>
                  <w:tcW w:w="2730" w:type="dxa"/>
                  <w:vMerge w:val="restart"/>
                  <w:vAlign w:val="center"/>
                </w:tcPr>
                <w:p w14:paraId="792D4F88">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eastAsia="zh-CN"/>
                    </w:rPr>
                  </w:pPr>
                  <w:r>
                    <w:rPr>
                      <w:rFonts w:hint="eastAsia" w:ascii="Times New Roman" w:hAnsi="Times New Roman" w:eastAsia="宋体" w:cs="宋体"/>
                      <w:color w:val="auto"/>
                      <w:sz w:val="21"/>
                      <w:szCs w:val="24"/>
                      <w:highlight w:val="none"/>
                      <w:lang w:val="en-US" w:eastAsia="zh-CN"/>
                    </w:rPr>
                    <w:t>旧院区康复楼</w:t>
                  </w:r>
                </w:p>
              </w:tc>
              <w:tc>
                <w:tcPr>
                  <w:tcW w:w="5166" w:type="dxa"/>
                  <w:tcBorders>
                    <w:right w:val="nil"/>
                  </w:tcBorders>
                  <w:vAlign w:val="center"/>
                </w:tcPr>
                <w:p w14:paraId="2FB64740">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eastAsia="zh-CN"/>
                    </w:rPr>
                  </w:pPr>
                  <w:r>
                    <w:rPr>
                      <w:rFonts w:hint="eastAsia" w:ascii="Times New Roman" w:hAnsi="Times New Roman" w:eastAsia="宋体" w:cs="宋体"/>
                      <w:color w:val="auto"/>
                      <w:sz w:val="21"/>
                      <w:szCs w:val="24"/>
                      <w:highlight w:val="none"/>
                      <w:lang w:val="en-US" w:eastAsia="zh-CN"/>
                    </w:rPr>
                    <w:t>一楼放射科</w:t>
                  </w:r>
                </w:p>
              </w:tc>
            </w:tr>
            <w:tr w14:paraId="3F943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continue"/>
                  <w:tcBorders>
                    <w:left w:val="nil"/>
                  </w:tcBorders>
                  <w:vAlign w:val="center"/>
                </w:tcPr>
                <w:p w14:paraId="2E27FBAC">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val="en-US" w:eastAsia="zh-CN"/>
                    </w:rPr>
                  </w:pPr>
                </w:p>
              </w:tc>
              <w:tc>
                <w:tcPr>
                  <w:tcW w:w="2730" w:type="dxa"/>
                  <w:vMerge w:val="continue"/>
                  <w:vAlign w:val="center"/>
                </w:tcPr>
                <w:p w14:paraId="7F985FCA">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color w:val="auto"/>
                      <w:sz w:val="21"/>
                      <w:szCs w:val="24"/>
                      <w:highlight w:val="none"/>
                      <w:lang w:val="en-US" w:eastAsia="zh-CN"/>
                    </w:rPr>
                  </w:pPr>
                </w:p>
              </w:tc>
              <w:tc>
                <w:tcPr>
                  <w:tcW w:w="5166" w:type="dxa"/>
                  <w:tcBorders>
                    <w:right w:val="nil"/>
                  </w:tcBorders>
                  <w:vAlign w:val="center"/>
                </w:tcPr>
                <w:p w14:paraId="5F229B0F">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eastAsia="zh-CN"/>
                    </w:rPr>
                  </w:pPr>
                  <w:r>
                    <w:rPr>
                      <w:rFonts w:hint="eastAsia" w:ascii="Times New Roman" w:hAnsi="Times New Roman" w:eastAsia="宋体" w:cs="宋体"/>
                      <w:color w:val="auto"/>
                      <w:sz w:val="21"/>
                      <w:szCs w:val="24"/>
                      <w:highlight w:val="none"/>
                      <w:lang w:val="en-US" w:eastAsia="zh-CN"/>
                    </w:rPr>
                    <w:t>二楼体检科</w:t>
                  </w:r>
                </w:p>
              </w:tc>
            </w:tr>
            <w:tr w14:paraId="182ED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continue"/>
                  <w:tcBorders>
                    <w:left w:val="nil"/>
                  </w:tcBorders>
                  <w:vAlign w:val="center"/>
                </w:tcPr>
                <w:p w14:paraId="04F7660E">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val="en-US" w:eastAsia="zh-CN"/>
                    </w:rPr>
                  </w:pPr>
                </w:p>
              </w:tc>
              <w:tc>
                <w:tcPr>
                  <w:tcW w:w="2730" w:type="dxa"/>
                  <w:vMerge w:val="continue"/>
                  <w:vAlign w:val="center"/>
                </w:tcPr>
                <w:p w14:paraId="7F9C28E7">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color w:val="auto"/>
                      <w:sz w:val="21"/>
                      <w:szCs w:val="24"/>
                      <w:highlight w:val="none"/>
                      <w:lang w:val="en-US" w:eastAsia="zh-CN"/>
                    </w:rPr>
                  </w:pPr>
                </w:p>
              </w:tc>
              <w:tc>
                <w:tcPr>
                  <w:tcW w:w="5166" w:type="dxa"/>
                  <w:tcBorders>
                    <w:right w:val="nil"/>
                  </w:tcBorders>
                  <w:vAlign w:val="center"/>
                </w:tcPr>
                <w:p w14:paraId="2BC833C2">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eastAsia="zh-CN"/>
                    </w:rPr>
                  </w:pPr>
                  <w:r>
                    <w:rPr>
                      <w:rFonts w:hint="eastAsia" w:ascii="Times New Roman" w:hAnsi="Times New Roman" w:eastAsia="宋体" w:cs="宋体"/>
                      <w:color w:val="auto"/>
                      <w:sz w:val="21"/>
                      <w:szCs w:val="24"/>
                      <w:highlight w:val="none"/>
                      <w:lang w:val="en-US" w:eastAsia="zh-CN"/>
                    </w:rPr>
                    <w:t>三楼康复科</w:t>
                  </w:r>
                </w:p>
              </w:tc>
            </w:tr>
            <w:tr w14:paraId="2BA87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continue"/>
                  <w:tcBorders>
                    <w:left w:val="nil"/>
                  </w:tcBorders>
                  <w:vAlign w:val="center"/>
                </w:tcPr>
                <w:p w14:paraId="123C93FB">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val="en-US" w:eastAsia="zh-CN"/>
                    </w:rPr>
                  </w:pPr>
                </w:p>
              </w:tc>
              <w:tc>
                <w:tcPr>
                  <w:tcW w:w="2730" w:type="dxa"/>
                  <w:vMerge w:val="continue"/>
                  <w:vAlign w:val="center"/>
                </w:tcPr>
                <w:p w14:paraId="180593BF">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color w:val="auto"/>
                      <w:sz w:val="21"/>
                      <w:szCs w:val="24"/>
                      <w:highlight w:val="none"/>
                      <w:lang w:val="en-US" w:eastAsia="zh-CN"/>
                    </w:rPr>
                  </w:pPr>
                </w:p>
              </w:tc>
              <w:tc>
                <w:tcPr>
                  <w:tcW w:w="5166" w:type="dxa"/>
                  <w:tcBorders>
                    <w:right w:val="nil"/>
                  </w:tcBorders>
                  <w:vAlign w:val="center"/>
                </w:tcPr>
                <w:p w14:paraId="27A34A0B">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eastAsia="zh-CN"/>
                    </w:rPr>
                  </w:pPr>
                  <w:r>
                    <w:rPr>
                      <w:rFonts w:hint="eastAsia" w:ascii="Times New Roman" w:hAnsi="Times New Roman" w:eastAsia="宋体" w:cs="宋体"/>
                      <w:color w:val="auto"/>
                      <w:sz w:val="21"/>
                      <w:szCs w:val="24"/>
                      <w:highlight w:val="none"/>
                      <w:lang w:val="en-US" w:eastAsia="zh-CN"/>
                    </w:rPr>
                    <w:t>四楼康复科</w:t>
                  </w:r>
                </w:p>
              </w:tc>
            </w:tr>
            <w:tr w14:paraId="4FCAF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continue"/>
                  <w:tcBorders>
                    <w:left w:val="nil"/>
                  </w:tcBorders>
                  <w:vAlign w:val="center"/>
                </w:tcPr>
                <w:p w14:paraId="3BEE074A">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val="en-US" w:eastAsia="zh-CN"/>
                    </w:rPr>
                  </w:pPr>
                </w:p>
              </w:tc>
              <w:tc>
                <w:tcPr>
                  <w:tcW w:w="2730" w:type="dxa"/>
                  <w:vMerge w:val="continue"/>
                  <w:vAlign w:val="center"/>
                </w:tcPr>
                <w:p w14:paraId="6637194A">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color w:val="auto"/>
                      <w:sz w:val="21"/>
                      <w:szCs w:val="24"/>
                      <w:highlight w:val="none"/>
                      <w:lang w:val="en-US" w:eastAsia="zh-CN"/>
                    </w:rPr>
                  </w:pPr>
                </w:p>
              </w:tc>
              <w:tc>
                <w:tcPr>
                  <w:tcW w:w="5166" w:type="dxa"/>
                  <w:tcBorders>
                    <w:right w:val="nil"/>
                  </w:tcBorders>
                  <w:vAlign w:val="center"/>
                </w:tcPr>
                <w:p w14:paraId="30A820EB">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eastAsia="zh-CN"/>
                    </w:rPr>
                  </w:pPr>
                  <w:r>
                    <w:rPr>
                      <w:rFonts w:hint="eastAsia" w:ascii="Times New Roman" w:hAnsi="Times New Roman" w:eastAsia="宋体" w:cs="宋体"/>
                      <w:color w:val="auto"/>
                      <w:sz w:val="21"/>
                      <w:szCs w:val="24"/>
                      <w:highlight w:val="none"/>
                      <w:lang w:val="en-US" w:eastAsia="zh-CN"/>
                    </w:rPr>
                    <w:t>五楼行政、会议室</w:t>
                  </w:r>
                </w:p>
              </w:tc>
            </w:tr>
            <w:tr w14:paraId="60119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restart"/>
                  <w:tcBorders>
                    <w:left w:val="nil"/>
                  </w:tcBorders>
                  <w:vAlign w:val="center"/>
                </w:tcPr>
                <w:p w14:paraId="1A3577FA">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val="en-US" w:eastAsia="zh-CN"/>
                    </w:rPr>
                  </w:pPr>
                  <w:r>
                    <w:rPr>
                      <w:rFonts w:hint="eastAsia" w:ascii="Times New Roman" w:hAnsi="Times New Roman" w:eastAsia="宋体" w:cs="宋体"/>
                      <w:sz w:val="21"/>
                      <w:vertAlign w:val="baseline"/>
                      <w:lang w:val="en-US" w:eastAsia="zh-CN"/>
                    </w:rPr>
                    <w:t>3</w:t>
                  </w:r>
                </w:p>
              </w:tc>
              <w:tc>
                <w:tcPr>
                  <w:tcW w:w="7896" w:type="dxa"/>
                  <w:gridSpan w:val="2"/>
                  <w:tcBorders>
                    <w:right w:val="nil"/>
                  </w:tcBorders>
                  <w:vAlign w:val="center"/>
                </w:tcPr>
                <w:p w14:paraId="21AFEBFB">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color w:val="auto"/>
                      <w:sz w:val="21"/>
                      <w:szCs w:val="24"/>
                      <w:highlight w:val="none"/>
                      <w:lang w:val="en-US" w:eastAsia="zh-CN"/>
                    </w:rPr>
                  </w:pPr>
                  <w:r>
                    <w:rPr>
                      <w:rFonts w:hint="eastAsia" w:ascii="Times New Roman" w:hAnsi="Times New Roman" w:eastAsia="宋体" w:cs="宋体"/>
                      <w:color w:val="auto"/>
                      <w:sz w:val="21"/>
                      <w:szCs w:val="24"/>
                      <w:highlight w:val="none"/>
                      <w:lang w:val="en-US" w:eastAsia="zh-CN"/>
                    </w:rPr>
                    <w:t>公用工程</w:t>
                  </w:r>
                </w:p>
              </w:tc>
            </w:tr>
            <w:tr w14:paraId="715DF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continue"/>
                  <w:tcBorders>
                    <w:left w:val="nil"/>
                  </w:tcBorders>
                  <w:vAlign w:val="center"/>
                </w:tcPr>
                <w:p w14:paraId="64AE9BD6">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val="en-US" w:eastAsia="zh-CN"/>
                    </w:rPr>
                  </w:pPr>
                </w:p>
              </w:tc>
              <w:tc>
                <w:tcPr>
                  <w:tcW w:w="2730" w:type="dxa"/>
                  <w:vAlign w:val="center"/>
                </w:tcPr>
                <w:p w14:paraId="2B25CE94">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color w:val="auto"/>
                      <w:sz w:val="21"/>
                      <w:szCs w:val="24"/>
                      <w:highlight w:val="none"/>
                      <w:lang w:val="en-US" w:eastAsia="zh-CN"/>
                    </w:rPr>
                  </w:pPr>
                  <w:r>
                    <w:rPr>
                      <w:rFonts w:hint="eastAsia" w:ascii="Times New Roman" w:hAnsi="Times New Roman" w:eastAsia="宋体" w:cs="宋体"/>
                      <w:color w:val="auto"/>
                      <w:sz w:val="21"/>
                      <w:szCs w:val="24"/>
                      <w:highlight w:val="none"/>
                      <w:lang w:val="en-US" w:eastAsia="zh-CN"/>
                    </w:rPr>
                    <w:t>供水</w:t>
                  </w:r>
                </w:p>
              </w:tc>
              <w:tc>
                <w:tcPr>
                  <w:tcW w:w="5166" w:type="dxa"/>
                  <w:tcBorders>
                    <w:right w:val="nil"/>
                  </w:tcBorders>
                  <w:vAlign w:val="center"/>
                </w:tcPr>
                <w:p w14:paraId="4B47B5F0">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宋体"/>
                      <w:color w:val="auto"/>
                      <w:sz w:val="21"/>
                      <w:szCs w:val="24"/>
                      <w:highlight w:val="none"/>
                      <w:lang w:val="en-US" w:eastAsia="zh-CN"/>
                    </w:rPr>
                  </w:pPr>
                  <w:r>
                    <w:rPr>
                      <w:rFonts w:hint="eastAsia" w:ascii="Times New Roman" w:hAnsi="Times New Roman" w:eastAsia="宋体" w:cs="宋体"/>
                      <w:color w:val="auto"/>
                      <w:sz w:val="21"/>
                      <w:szCs w:val="24"/>
                      <w:highlight w:val="none"/>
                      <w:lang w:val="en-US" w:eastAsia="zh-CN"/>
                    </w:rPr>
                    <w:t>市政给水管网</w:t>
                  </w:r>
                </w:p>
              </w:tc>
            </w:tr>
            <w:tr w14:paraId="60ADA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continue"/>
                  <w:tcBorders>
                    <w:left w:val="nil"/>
                  </w:tcBorders>
                  <w:vAlign w:val="center"/>
                </w:tcPr>
                <w:p w14:paraId="0118483B">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val="en-US" w:eastAsia="zh-CN"/>
                    </w:rPr>
                  </w:pPr>
                </w:p>
              </w:tc>
              <w:tc>
                <w:tcPr>
                  <w:tcW w:w="2730" w:type="dxa"/>
                  <w:vAlign w:val="center"/>
                </w:tcPr>
                <w:p w14:paraId="460FD6E8">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color w:val="auto"/>
                      <w:sz w:val="21"/>
                      <w:szCs w:val="24"/>
                      <w:highlight w:val="none"/>
                      <w:lang w:val="en-US" w:eastAsia="zh-CN"/>
                    </w:rPr>
                  </w:pPr>
                  <w:r>
                    <w:rPr>
                      <w:rFonts w:hint="eastAsia" w:ascii="Times New Roman" w:hAnsi="Times New Roman" w:eastAsia="宋体" w:cs="宋体"/>
                      <w:color w:val="auto"/>
                      <w:sz w:val="21"/>
                      <w:szCs w:val="24"/>
                      <w:highlight w:val="none"/>
                      <w:lang w:val="en-US" w:eastAsia="zh-CN"/>
                    </w:rPr>
                    <w:t>供电</w:t>
                  </w:r>
                </w:p>
              </w:tc>
              <w:tc>
                <w:tcPr>
                  <w:tcW w:w="5166" w:type="dxa"/>
                  <w:tcBorders>
                    <w:right w:val="nil"/>
                  </w:tcBorders>
                  <w:vAlign w:val="center"/>
                </w:tcPr>
                <w:p w14:paraId="455885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color w:val="auto"/>
                      <w:sz w:val="21"/>
                      <w:szCs w:val="24"/>
                      <w:highlight w:val="none"/>
                      <w:lang w:val="en-US" w:eastAsia="zh-CN"/>
                    </w:rPr>
                  </w:pPr>
                  <w:r>
                    <w:rPr>
                      <w:rFonts w:hint="eastAsia" w:ascii="Times New Roman" w:hAnsi="Times New Roman" w:eastAsia="宋体" w:cs="宋体"/>
                      <w:color w:val="auto"/>
                      <w:sz w:val="21"/>
                      <w:szCs w:val="24"/>
                      <w:highlight w:val="none"/>
                      <w:lang w:val="en-US" w:eastAsia="zh-CN"/>
                    </w:rPr>
                    <w:t>罗源县市政供电系统</w:t>
                  </w:r>
                </w:p>
              </w:tc>
            </w:tr>
            <w:tr w14:paraId="15A5D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restart"/>
                  <w:tcBorders>
                    <w:left w:val="nil"/>
                  </w:tcBorders>
                  <w:vAlign w:val="center"/>
                </w:tcPr>
                <w:p w14:paraId="3CDAEFB1">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val="en-US" w:eastAsia="zh-CN"/>
                    </w:rPr>
                  </w:pPr>
                  <w:r>
                    <w:rPr>
                      <w:rFonts w:hint="eastAsia" w:ascii="Times New Roman" w:hAnsi="Times New Roman" w:eastAsia="宋体" w:cs="宋体"/>
                      <w:sz w:val="21"/>
                      <w:vertAlign w:val="baseline"/>
                      <w:lang w:val="en-US" w:eastAsia="zh-CN"/>
                    </w:rPr>
                    <w:t>4</w:t>
                  </w:r>
                </w:p>
              </w:tc>
              <w:tc>
                <w:tcPr>
                  <w:tcW w:w="7896" w:type="dxa"/>
                  <w:gridSpan w:val="2"/>
                  <w:tcBorders>
                    <w:right w:val="nil"/>
                  </w:tcBorders>
                  <w:vAlign w:val="center"/>
                </w:tcPr>
                <w:p w14:paraId="2DAC4935">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color w:val="auto"/>
                      <w:sz w:val="21"/>
                      <w:szCs w:val="24"/>
                      <w:highlight w:val="none"/>
                      <w:lang w:val="en-US" w:eastAsia="zh-CN"/>
                    </w:rPr>
                  </w:pPr>
                  <w:r>
                    <w:rPr>
                      <w:rFonts w:hint="eastAsia" w:ascii="Times New Roman" w:hAnsi="Times New Roman" w:eastAsia="宋体" w:cs="宋体"/>
                      <w:color w:val="auto"/>
                      <w:sz w:val="21"/>
                      <w:szCs w:val="24"/>
                      <w:highlight w:val="none"/>
                      <w:lang w:val="en-US" w:eastAsia="zh-CN"/>
                    </w:rPr>
                    <w:t>环保工程</w:t>
                  </w:r>
                </w:p>
              </w:tc>
            </w:tr>
            <w:tr w14:paraId="190E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continue"/>
                  <w:tcBorders>
                    <w:left w:val="nil"/>
                  </w:tcBorders>
                  <w:vAlign w:val="center"/>
                </w:tcPr>
                <w:p w14:paraId="45BAE04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val="en-US" w:eastAsia="zh-CN"/>
                    </w:rPr>
                  </w:pPr>
                </w:p>
              </w:tc>
              <w:tc>
                <w:tcPr>
                  <w:tcW w:w="2730" w:type="dxa"/>
                  <w:vAlign w:val="center"/>
                </w:tcPr>
                <w:p w14:paraId="3C99C42B">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color w:val="auto"/>
                      <w:sz w:val="21"/>
                      <w:szCs w:val="24"/>
                      <w:highlight w:val="none"/>
                      <w:lang w:val="en-US" w:eastAsia="zh-CN"/>
                    </w:rPr>
                  </w:pPr>
                  <w:r>
                    <w:rPr>
                      <w:rFonts w:hint="eastAsia" w:ascii="Times New Roman" w:hAnsi="Times New Roman" w:eastAsia="宋体" w:cs="宋体"/>
                      <w:color w:val="auto"/>
                      <w:sz w:val="21"/>
                      <w:szCs w:val="24"/>
                      <w:highlight w:val="none"/>
                      <w:lang w:val="en-US" w:eastAsia="zh-CN"/>
                    </w:rPr>
                    <w:t>污水处理设施</w:t>
                  </w:r>
                </w:p>
              </w:tc>
              <w:tc>
                <w:tcPr>
                  <w:tcW w:w="5166" w:type="dxa"/>
                  <w:tcBorders>
                    <w:right w:val="nil"/>
                  </w:tcBorders>
                  <w:vAlign w:val="center"/>
                </w:tcPr>
                <w:p w14:paraId="1A17F7E3">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color w:val="auto"/>
                      <w:sz w:val="21"/>
                      <w:szCs w:val="24"/>
                      <w:highlight w:val="none"/>
                      <w:lang w:val="en-US" w:eastAsia="zh-CN"/>
                    </w:rPr>
                  </w:pPr>
                  <w:r>
                    <w:rPr>
                      <w:rFonts w:hint="eastAsia" w:ascii="Times New Roman" w:hAnsi="Times New Roman" w:eastAsia="宋体" w:cs="宋体"/>
                      <w:color w:val="auto"/>
                      <w:sz w:val="21"/>
                      <w:szCs w:val="24"/>
                      <w:highlight w:val="none"/>
                      <w:lang w:val="en-US" w:eastAsia="zh-CN"/>
                    </w:rPr>
                    <w:t>处理规模80t/d</w:t>
                  </w:r>
                </w:p>
              </w:tc>
            </w:tr>
            <w:tr w14:paraId="4C91A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continue"/>
                  <w:tcBorders>
                    <w:left w:val="nil"/>
                  </w:tcBorders>
                  <w:vAlign w:val="center"/>
                </w:tcPr>
                <w:p w14:paraId="7011262F">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val="en-US" w:eastAsia="zh-CN"/>
                    </w:rPr>
                  </w:pPr>
                </w:p>
              </w:tc>
              <w:tc>
                <w:tcPr>
                  <w:tcW w:w="2730" w:type="dxa"/>
                  <w:vAlign w:val="center"/>
                </w:tcPr>
                <w:p w14:paraId="51C804E9">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color w:val="auto"/>
                      <w:sz w:val="21"/>
                      <w:szCs w:val="24"/>
                      <w:highlight w:val="none"/>
                      <w:lang w:val="en-US" w:eastAsia="zh-CN"/>
                    </w:rPr>
                  </w:pPr>
                  <w:r>
                    <w:rPr>
                      <w:rFonts w:hint="eastAsia" w:ascii="Times New Roman" w:hAnsi="Times New Roman" w:eastAsia="宋体" w:cs="宋体"/>
                      <w:color w:val="auto"/>
                      <w:sz w:val="21"/>
                      <w:szCs w:val="24"/>
                      <w:highlight w:val="none"/>
                      <w:lang w:val="en-US" w:eastAsia="zh-CN"/>
                    </w:rPr>
                    <w:t>危废储存库</w:t>
                  </w:r>
                </w:p>
              </w:tc>
              <w:tc>
                <w:tcPr>
                  <w:tcW w:w="5166" w:type="dxa"/>
                  <w:tcBorders>
                    <w:right w:val="nil"/>
                  </w:tcBorders>
                  <w:vAlign w:val="center"/>
                </w:tcPr>
                <w:p w14:paraId="529BED12">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color w:val="auto"/>
                      <w:sz w:val="21"/>
                      <w:szCs w:val="24"/>
                      <w:highlight w:val="none"/>
                      <w:lang w:val="en-US" w:eastAsia="zh-CN"/>
                    </w:rPr>
                  </w:pPr>
                  <w:r>
                    <w:rPr>
                      <w:rFonts w:hint="eastAsia" w:ascii="Times New Roman" w:hAnsi="Times New Roman" w:eastAsia="宋体" w:cs="宋体"/>
                      <w:color w:val="auto"/>
                      <w:sz w:val="21"/>
                      <w:szCs w:val="24"/>
                      <w:highlight w:val="none"/>
                      <w:lang w:val="en-US" w:eastAsia="zh-CN"/>
                    </w:rPr>
                    <w:t>年储存危废2.7t</w:t>
                  </w:r>
                </w:p>
              </w:tc>
            </w:tr>
            <w:tr w14:paraId="38B31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 w:type="dxa"/>
                  <w:vMerge w:val="continue"/>
                  <w:tcBorders>
                    <w:left w:val="nil"/>
                    <w:bottom w:val="single" w:color="auto" w:sz="12" w:space="0"/>
                  </w:tcBorders>
                  <w:vAlign w:val="center"/>
                </w:tcPr>
                <w:p w14:paraId="3CEBD8CA">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sz w:val="21"/>
                      <w:vertAlign w:val="baseline"/>
                      <w:lang w:val="en-US" w:eastAsia="zh-CN"/>
                    </w:rPr>
                  </w:pPr>
                </w:p>
              </w:tc>
              <w:tc>
                <w:tcPr>
                  <w:tcW w:w="2730" w:type="dxa"/>
                  <w:tcBorders>
                    <w:bottom w:val="single" w:color="auto" w:sz="12" w:space="0"/>
                  </w:tcBorders>
                  <w:vAlign w:val="center"/>
                </w:tcPr>
                <w:p w14:paraId="2F81D7A0">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color w:val="auto"/>
                      <w:sz w:val="21"/>
                      <w:szCs w:val="24"/>
                      <w:highlight w:val="none"/>
                      <w:lang w:val="en-US" w:eastAsia="zh-CN"/>
                    </w:rPr>
                  </w:pPr>
                  <w:r>
                    <w:rPr>
                      <w:rFonts w:hint="eastAsia" w:ascii="Times New Roman" w:hAnsi="Times New Roman" w:eastAsia="宋体" w:cs="宋体"/>
                      <w:color w:val="auto"/>
                      <w:sz w:val="21"/>
                      <w:szCs w:val="24"/>
                      <w:highlight w:val="none"/>
                      <w:lang w:val="en-US" w:eastAsia="zh-CN"/>
                    </w:rPr>
                    <w:t>生活垃圾转运站</w:t>
                  </w:r>
                </w:p>
              </w:tc>
              <w:tc>
                <w:tcPr>
                  <w:tcW w:w="5166" w:type="dxa"/>
                  <w:tcBorders>
                    <w:bottom w:val="single" w:color="auto" w:sz="12" w:space="0"/>
                    <w:right w:val="nil"/>
                  </w:tcBorders>
                  <w:vAlign w:val="center"/>
                </w:tcPr>
                <w:p w14:paraId="0DCEE3F9">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宋体"/>
                      <w:color w:val="auto"/>
                      <w:sz w:val="21"/>
                      <w:szCs w:val="24"/>
                      <w:highlight w:val="none"/>
                      <w:lang w:val="en-US" w:eastAsia="zh-CN"/>
                    </w:rPr>
                  </w:pPr>
                  <w:r>
                    <w:rPr>
                      <w:rFonts w:hint="eastAsia" w:ascii="Times New Roman" w:hAnsi="Times New Roman" w:eastAsia="宋体" w:cs="宋体"/>
                      <w:color w:val="auto"/>
                      <w:sz w:val="21"/>
                      <w:szCs w:val="24"/>
                      <w:highlight w:val="none"/>
                      <w:lang w:val="en-US" w:eastAsia="zh-CN"/>
                    </w:rPr>
                    <w:t>日转运生活垃圾1.4t</w:t>
                  </w:r>
                </w:p>
              </w:tc>
            </w:tr>
          </w:tbl>
          <w:p w14:paraId="06E86430">
            <w:pPr>
              <w:pStyle w:val="4"/>
              <w:bidi w:val="0"/>
              <w:rPr>
                <w:rFonts w:hint="default"/>
                <w:lang w:val="en-US" w:eastAsia="zh-CN"/>
              </w:rPr>
            </w:pPr>
            <w:r>
              <w:rPr>
                <w:rFonts w:hint="default"/>
                <w:lang w:val="en-US" w:eastAsia="zh-CN"/>
              </w:rPr>
              <w:t>现有工程主要原辅材料用量及</w:t>
            </w:r>
            <w:r>
              <w:rPr>
                <w:rFonts w:hint="eastAsia"/>
                <w:lang w:val="en-US" w:eastAsia="zh-CN"/>
              </w:rPr>
              <w:t>医疗</w:t>
            </w:r>
            <w:r>
              <w:rPr>
                <w:rFonts w:hint="default"/>
                <w:lang w:val="en-US" w:eastAsia="zh-CN"/>
              </w:rPr>
              <w:t>设备</w:t>
            </w:r>
          </w:p>
          <w:p w14:paraId="4ED27A88">
            <w:pPr>
              <w:pStyle w:val="3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pacing w:before="0" w:beforeAutospacing="0" w:after="0" w:afterAutospacing="0" w:line="360" w:lineRule="auto"/>
              <w:ind w:left="0" w:leftChars="0" w:right="0" w:rightChars="0" w:firstLine="420" w:firstLineChars="0"/>
              <w:textAlignment w:val="auto"/>
              <w:rPr>
                <w:rFonts w:hint="eastAsia" w:eastAsia="宋体"/>
                <w:lang w:eastAsia="zh-CN"/>
              </w:rPr>
            </w:pPr>
            <w:r>
              <w:rPr>
                <w:rFonts w:hint="eastAsia" w:eastAsia="宋体"/>
                <w:lang w:eastAsia="zh-CN"/>
              </w:rPr>
              <w:t>现有项目主要设备见表2.</w:t>
            </w:r>
            <w:r>
              <w:rPr>
                <w:rFonts w:hint="eastAsia"/>
                <w:lang w:val="en-US" w:eastAsia="zh-CN"/>
              </w:rPr>
              <w:t>8</w:t>
            </w:r>
            <w:r>
              <w:rPr>
                <w:rFonts w:hint="eastAsia" w:eastAsia="宋体"/>
                <w:lang w:eastAsia="zh-CN"/>
              </w:rPr>
              <w:t>-</w:t>
            </w:r>
            <w:r>
              <w:rPr>
                <w:rFonts w:hint="eastAsia"/>
                <w:lang w:val="en-US" w:eastAsia="zh-CN"/>
              </w:rPr>
              <w:t>3</w:t>
            </w:r>
            <w:r>
              <w:rPr>
                <w:rFonts w:hint="eastAsia" w:eastAsia="宋体"/>
                <w:lang w:eastAsia="zh-CN"/>
              </w:rPr>
              <w:t>，现有项目主要原辅材料见表2.</w:t>
            </w:r>
            <w:r>
              <w:rPr>
                <w:rFonts w:hint="eastAsia"/>
                <w:lang w:val="en-US" w:eastAsia="zh-CN"/>
              </w:rPr>
              <w:t>8</w:t>
            </w:r>
            <w:r>
              <w:rPr>
                <w:rFonts w:hint="eastAsia" w:eastAsia="宋体"/>
                <w:lang w:eastAsia="zh-CN"/>
              </w:rPr>
              <w:t>-</w:t>
            </w:r>
            <w:r>
              <w:rPr>
                <w:rFonts w:hint="eastAsia"/>
                <w:lang w:val="en-US" w:eastAsia="zh-CN"/>
              </w:rPr>
              <w:t>4</w:t>
            </w:r>
            <w:r>
              <w:rPr>
                <w:rFonts w:hint="eastAsia" w:eastAsia="宋体"/>
                <w:lang w:eastAsia="zh-CN"/>
              </w:rPr>
              <w:t>。</w:t>
            </w:r>
          </w:p>
          <w:p w14:paraId="241551F4">
            <w:pPr>
              <w:pStyle w:val="44"/>
              <w:keepNext/>
              <w:keepLines/>
              <w:pageBreakBefore w:val="0"/>
              <w:widowControl w:val="0"/>
              <w:numPr>
                <w:ilvl w:val="7"/>
                <w:numId w:val="10"/>
              </w:numPr>
              <w:tabs>
                <w:tab w:val="left" w:pos="0"/>
              </w:tabs>
              <w:kinsoku/>
              <w:wordWrap/>
              <w:overflowPunct/>
              <w:topLinePunct w:val="0"/>
              <w:autoSpaceDE/>
              <w:autoSpaceDN/>
              <w:bidi w:val="0"/>
              <w:adjustRightInd/>
              <w:snapToGrid/>
              <w:spacing w:before="0" w:after="0"/>
              <w:ind w:left="630" w:leftChars="0" w:firstLineChars="0"/>
              <w:textAlignment w:val="auto"/>
              <w:rPr>
                <w:rFonts w:hint="eastAsia" w:ascii="Times New Roman" w:hAnsi="Times New Roman" w:eastAsia="宋体"/>
                <w:color w:val="auto"/>
                <w:highlight w:val="none"/>
              </w:rPr>
            </w:pPr>
            <w:r>
              <w:rPr>
                <w:rFonts w:hint="eastAsia" w:ascii="Times New Roman" w:hAnsi="Times New Roman" w:eastAsia="宋体"/>
                <w:color w:val="auto"/>
                <w:highlight w:val="none"/>
              </w:rPr>
              <w:t>现有工程</w:t>
            </w:r>
            <w:r>
              <w:rPr>
                <w:rFonts w:hint="eastAsia" w:eastAsia="宋体"/>
                <w:lang w:eastAsia="zh-CN"/>
              </w:rPr>
              <w:t>主要设备</w:t>
            </w:r>
          </w:p>
          <w:tbl>
            <w:tblPr>
              <w:tblStyle w:val="34"/>
              <w:tblW w:w="1135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8"/>
              <w:gridCol w:w="3688"/>
              <w:gridCol w:w="2680"/>
              <w:gridCol w:w="1208"/>
            </w:tblGrid>
            <w:tr w14:paraId="78F05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530" w:type="dxa"/>
                  <w:tcBorders>
                    <w:top w:val="single" w:color="000000" w:sz="12" w:space="0"/>
                    <w:left w:val="single" w:color="000000" w:sz="4" w:space="0"/>
                    <w:bottom w:val="single" w:color="000000" w:sz="12" w:space="0"/>
                    <w:right w:val="single" w:color="000000" w:sz="4" w:space="0"/>
                  </w:tcBorders>
                  <w:shd w:val="clear" w:color="auto" w:fill="auto"/>
                  <w:noWrap/>
                  <w:vAlign w:val="center"/>
                </w:tcPr>
                <w:p w14:paraId="23376200">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科室</w:t>
                  </w:r>
                </w:p>
              </w:tc>
              <w:tc>
                <w:tcPr>
                  <w:tcW w:w="4815" w:type="dxa"/>
                  <w:tcBorders>
                    <w:top w:val="single" w:color="000000" w:sz="12" w:space="0"/>
                    <w:left w:val="single" w:color="000000" w:sz="4" w:space="0"/>
                    <w:bottom w:val="single" w:color="000000" w:sz="12" w:space="0"/>
                    <w:right w:val="single" w:color="000000" w:sz="4" w:space="0"/>
                  </w:tcBorders>
                  <w:shd w:val="clear" w:color="auto" w:fill="auto"/>
                  <w:noWrap/>
                  <w:vAlign w:val="center"/>
                </w:tcPr>
                <w:p w14:paraId="5E43C6C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设备名称</w:t>
                  </w:r>
                </w:p>
              </w:tc>
              <w:tc>
                <w:tcPr>
                  <w:tcW w:w="3480" w:type="dxa"/>
                  <w:tcBorders>
                    <w:top w:val="single" w:color="000000" w:sz="12" w:space="0"/>
                    <w:left w:val="single" w:color="000000" w:sz="4" w:space="0"/>
                    <w:bottom w:val="single" w:color="000000" w:sz="12" w:space="0"/>
                    <w:right w:val="single" w:color="000000" w:sz="4" w:space="0"/>
                  </w:tcBorders>
                  <w:shd w:val="clear" w:color="auto" w:fill="auto"/>
                  <w:noWrap/>
                  <w:vAlign w:val="center"/>
                </w:tcPr>
                <w:p w14:paraId="58114025">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设备型号</w:t>
                  </w:r>
                </w:p>
              </w:tc>
              <w:tc>
                <w:tcPr>
                  <w:tcW w:w="1530" w:type="dxa"/>
                  <w:tcBorders>
                    <w:top w:val="single" w:color="000000" w:sz="12" w:space="0"/>
                    <w:left w:val="single" w:color="000000" w:sz="4" w:space="0"/>
                    <w:bottom w:val="single" w:color="000000" w:sz="12" w:space="0"/>
                    <w:right w:val="nil"/>
                  </w:tcBorders>
                  <w:shd w:val="clear" w:color="auto" w:fill="auto"/>
                  <w:noWrap/>
                  <w:vAlign w:val="center"/>
                </w:tcPr>
                <w:p w14:paraId="65DAC3C7">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数量</w:t>
                  </w:r>
                </w:p>
              </w:tc>
            </w:tr>
            <w:tr w14:paraId="52DE9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12" w:space="0"/>
                    <w:left w:val="nil"/>
                    <w:bottom w:val="single" w:color="000000" w:sz="4" w:space="0"/>
                    <w:right w:val="single" w:color="000000" w:sz="4" w:space="0"/>
                  </w:tcBorders>
                  <w:shd w:val="clear" w:color="auto" w:fill="auto"/>
                  <w:noWrap/>
                  <w:vAlign w:val="center"/>
                </w:tcPr>
                <w:p w14:paraId="3C731B62">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内科</w:t>
                  </w:r>
                </w:p>
              </w:tc>
              <w:tc>
                <w:tcPr>
                  <w:tcW w:w="0" w:type="auto"/>
                  <w:tcBorders>
                    <w:top w:val="single" w:color="000000" w:sz="12" w:space="0"/>
                    <w:left w:val="single" w:color="000000" w:sz="4" w:space="0"/>
                    <w:bottom w:val="single" w:color="000000" w:sz="4" w:space="0"/>
                    <w:right w:val="single" w:color="000000" w:sz="4" w:space="0"/>
                  </w:tcBorders>
                  <w:shd w:val="clear" w:color="auto" w:fill="auto"/>
                  <w:noWrap/>
                  <w:vAlign w:val="center"/>
                </w:tcPr>
                <w:p w14:paraId="7E2AF621">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注射泵</w:t>
                  </w:r>
                  <w:r>
                    <w:rPr>
                      <w:rFonts w:hint="eastAsia" w:cs="Times New Roman"/>
                      <w:color w:val="auto"/>
                      <w:sz w:val="21"/>
                      <w:szCs w:val="24"/>
                      <w:highlight w:val="none"/>
                      <w:lang w:val="en-US" w:eastAsia="zh-CN"/>
                    </w:rPr>
                    <w:t>（</w:t>
                  </w:r>
                  <w:r>
                    <w:rPr>
                      <w:rFonts w:hint="eastAsia" w:ascii="Times New Roman" w:hAnsi="Times New Roman" w:eastAsia="宋体" w:cs="Times New Roman"/>
                      <w:color w:val="auto"/>
                      <w:sz w:val="21"/>
                      <w:szCs w:val="24"/>
                      <w:highlight w:val="none"/>
                      <w:lang w:val="en-US" w:eastAsia="zh-CN"/>
                    </w:rPr>
                    <w:t>迈瑞）</w:t>
                  </w:r>
                </w:p>
              </w:tc>
              <w:tc>
                <w:tcPr>
                  <w:tcW w:w="0" w:type="auto"/>
                  <w:tcBorders>
                    <w:top w:val="single" w:color="000000" w:sz="12" w:space="0"/>
                    <w:left w:val="single" w:color="000000" w:sz="4" w:space="0"/>
                    <w:bottom w:val="single" w:color="000000" w:sz="4" w:space="0"/>
                    <w:right w:val="single" w:color="000000" w:sz="4" w:space="0"/>
                  </w:tcBorders>
                  <w:shd w:val="clear" w:color="auto" w:fill="auto"/>
                  <w:noWrap/>
                  <w:vAlign w:val="center"/>
                </w:tcPr>
                <w:p w14:paraId="7E0FADA7">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BeneFusion SPI</w:t>
                  </w:r>
                </w:p>
              </w:tc>
              <w:tc>
                <w:tcPr>
                  <w:tcW w:w="0" w:type="auto"/>
                  <w:tcBorders>
                    <w:top w:val="single" w:color="000000" w:sz="12" w:space="0"/>
                    <w:left w:val="single" w:color="000000" w:sz="4" w:space="0"/>
                    <w:bottom w:val="single" w:color="000000" w:sz="4" w:space="0"/>
                    <w:right w:val="nil"/>
                  </w:tcBorders>
                  <w:shd w:val="clear" w:color="auto" w:fill="auto"/>
                  <w:noWrap/>
                  <w:vAlign w:val="center"/>
                </w:tcPr>
                <w:p w14:paraId="7218AE28">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w:t>
                  </w:r>
                </w:p>
              </w:tc>
            </w:tr>
            <w:tr w14:paraId="7744D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0" w:type="auto"/>
                  <w:tcBorders>
                    <w:top w:val="single" w:color="000000" w:sz="4" w:space="0"/>
                    <w:left w:val="nil"/>
                    <w:bottom w:val="single" w:color="000000" w:sz="4" w:space="0"/>
                    <w:right w:val="single" w:color="000000" w:sz="4" w:space="0"/>
                  </w:tcBorders>
                  <w:shd w:val="clear" w:color="auto" w:fill="auto"/>
                  <w:noWrap/>
                  <w:vAlign w:val="center"/>
                </w:tcPr>
                <w:p w14:paraId="4B44AD68">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内科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C9879">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注射泵</w:t>
                  </w:r>
                  <w:r>
                    <w:rPr>
                      <w:rFonts w:hint="eastAsia" w:cs="Times New Roman"/>
                      <w:color w:val="auto"/>
                      <w:sz w:val="21"/>
                      <w:szCs w:val="24"/>
                      <w:highlight w:val="none"/>
                      <w:lang w:val="en-US" w:eastAsia="zh-CN"/>
                    </w:rPr>
                    <w:t>（</w:t>
                  </w:r>
                  <w:r>
                    <w:rPr>
                      <w:rFonts w:hint="eastAsia" w:ascii="Times New Roman" w:hAnsi="Times New Roman" w:eastAsia="宋体" w:cs="Times New Roman"/>
                      <w:color w:val="auto"/>
                      <w:sz w:val="21"/>
                      <w:szCs w:val="24"/>
                      <w:highlight w:val="none"/>
                      <w:lang w:val="en-US" w:eastAsia="zh-CN"/>
                    </w:rPr>
                    <w:t>迈瑞）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B3D99">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SK-801EX</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D35D3B8">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w:t>
                  </w:r>
                </w:p>
              </w:tc>
            </w:tr>
            <w:tr w14:paraId="5544C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nil"/>
                    <w:bottom w:val="single" w:color="000000" w:sz="4" w:space="0"/>
                    <w:right w:val="single" w:color="000000" w:sz="4" w:space="0"/>
                  </w:tcBorders>
                  <w:shd w:val="clear" w:color="auto" w:fill="auto"/>
                  <w:noWrap/>
                  <w:vAlign w:val="center"/>
                </w:tcPr>
                <w:p w14:paraId="3918A67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B超室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CB845">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彩色多普勒超声诊断仪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D035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飞利浦Affini50</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79A17B1">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w:t>
                  </w:r>
                </w:p>
              </w:tc>
            </w:tr>
            <w:tr w14:paraId="3A4D1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nil"/>
                    <w:bottom w:val="single" w:color="000000" w:sz="4" w:space="0"/>
                    <w:right w:val="single" w:color="000000" w:sz="4" w:space="0"/>
                  </w:tcBorders>
                  <w:shd w:val="clear" w:color="auto" w:fill="auto"/>
                  <w:noWrap/>
                  <w:vAlign w:val="center"/>
                </w:tcPr>
                <w:p w14:paraId="4D9885F9">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B超室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C79B0">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彩色多普勒超声诊断仪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0C1B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飞利浦EPIQ7W</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448DC19">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w:t>
                  </w:r>
                </w:p>
              </w:tc>
            </w:tr>
            <w:tr w14:paraId="29106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nil"/>
                    <w:bottom w:val="single" w:color="000000" w:sz="4" w:space="0"/>
                    <w:right w:val="single" w:color="000000" w:sz="4" w:space="0"/>
                  </w:tcBorders>
                  <w:shd w:val="clear" w:color="auto" w:fill="auto"/>
                  <w:noWrap/>
                  <w:vAlign w:val="center"/>
                </w:tcPr>
                <w:p w14:paraId="42653793">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B超室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4149C">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彩色多普勒超声诊断仪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DFD23">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开立P50pro</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EAF428A">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w:t>
                  </w:r>
                </w:p>
              </w:tc>
            </w:tr>
            <w:tr w14:paraId="497BC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nil"/>
                    <w:bottom w:val="single" w:color="000000" w:sz="4" w:space="0"/>
                    <w:right w:val="single" w:color="000000" w:sz="4" w:space="0"/>
                  </w:tcBorders>
                  <w:shd w:val="clear" w:color="auto" w:fill="auto"/>
                  <w:noWrap/>
                  <w:vAlign w:val="center"/>
                </w:tcPr>
                <w:p w14:paraId="1D9584E8">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放射科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D9CB1">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cs="Times New Roman"/>
                      <w:color w:val="auto"/>
                      <w:sz w:val="21"/>
                      <w:szCs w:val="24"/>
                      <w:highlight w:val="none"/>
                      <w:lang w:val="en-US" w:eastAsia="zh-CN"/>
                    </w:rPr>
                    <w:t>高频移动式C形臂X射线机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B384E">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PLX700A</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7CDD5AC">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w:t>
                  </w:r>
                </w:p>
              </w:tc>
            </w:tr>
            <w:tr w14:paraId="08005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nil"/>
                    <w:bottom w:val="single" w:color="000000" w:sz="4" w:space="0"/>
                    <w:right w:val="single" w:color="000000" w:sz="4" w:space="0"/>
                  </w:tcBorders>
                  <w:shd w:val="clear" w:color="auto" w:fill="auto"/>
                  <w:noWrap/>
                  <w:vAlign w:val="center"/>
                </w:tcPr>
                <w:p w14:paraId="5DA42C8E">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检验科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16C9E">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电解质分析仪（深圳市越华科技）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64483">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MI-921DTP</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39D62D5">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w:t>
                  </w:r>
                </w:p>
              </w:tc>
            </w:tr>
            <w:tr w14:paraId="30254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nil"/>
                    <w:bottom w:val="single" w:color="000000" w:sz="4" w:space="0"/>
                    <w:right w:val="single" w:color="000000" w:sz="4" w:space="0"/>
                  </w:tcBorders>
                  <w:shd w:val="clear" w:color="auto" w:fill="auto"/>
                  <w:noWrap/>
                  <w:vAlign w:val="center"/>
                </w:tcPr>
                <w:p w14:paraId="628AD869">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检验科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145B6">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全自动凝血分析仪（中元汇吉）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CD6A8">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YX-2000</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FFB198C">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w:t>
                  </w:r>
                </w:p>
              </w:tc>
            </w:tr>
            <w:tr w14:paraId="52AE8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nil"/>
                    <w:bottom w:val="single" w:color="000000" w:sz="4" w:space="0"/>
                    <w:right w:val="single" w:color="000000" w:sz="4" w:space="0"/>
                  </w:tcBorders>
                  <w:shd w:val="clear" w:color="auto" w:fill="auto"/>
                  <w:noWrap/>
                  <w:vAlign w:val="center"/>
                </w:tcPr>
                <w:p w14:paraId="22D833F1">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检验科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D437A">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血液细胞分析仪（迈瑞）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6D6BC">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BC-5180</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7CE7B36">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w:t>
                  </w:r>
                </w:p>
              </w:tc>
            </w:tr>
            <w:tr w14:paraId="1C3C8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nil"/>
                    <w:bottom w:val="single" w:color="000000" w:sz="4" w:space="0"/>
                    <w:right w:val="single" w:color="000000" w:sz="4" w:space="0"/>
                  </w:tcBorders>
                  <w:shd w:val="clear" w:color="auto" w:fill="auto"/>
                  <w:noWrap/>
                  <w:vAlign w:val="center"/>
                </w:tcPr>
                <w:p w14:paraId="5A579976">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检验科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3A908">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全自动化学发光测定仪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D611C">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MAGICL 6000i</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3F30C05">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w:t>
                  </w:r>
                </w:p>
              </w:tc>
            </w:tr>
            <w:tr w14:paraId="62BEC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nil"/>
                    <w:bottom w:val="single" w:color="000000" w:sz="4" w:space="0"/>
                    <w:right w:val="single" w:color="000000" w:sz="4" w:space="0"/>
                  </w:tcBorders>
                  <w:shd w:val="clear" w:color="auto" w:fill="auto"/>
                  <w:noWrap/>
                  <w:vAlign w:val="center"/>
                </w:tcPr>
                <w:p w14:paraId="59D2540F">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检验科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5D134">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全自动化学发光免疫分析仪</w:t>
                  </w:r>
                  <w:r>
                    <w:rPr>
                      <w:rFonts w:hint="eastAsia" w:cs="Times New Roman"/>
                      <w:color w:val="auto"/>
                      <w:sz w:val="21"/>
                      <w:szCs w:val="24"/>
                      <w:highlight w:val="none"/>
                      <w:lang w:val="en-US" w:eastAsia="zh-CN"/>
                    </w:rPr>
                    <w:t>（</w:t>
                  </w:r>
                  <w:r>
                    <w:rPr>
                      <w:rFonts w:hint="eastAsia" w:ascii="Times New Roman" w:hAnsi="Times New Roman" w:eastAsia="宋体" w:cs="Times New Roman"/>
                      <w:color w:val="auto"/>
                      <w:sz w:val="21"/>
                      <w:szCs w:val="24"/>
                      <w:highlight w:val="none"/>
                      <w:lang w:val="en-US" w:eastAsia="zh-CN"/>
                    </w:rPr>
                    <w:t>迈瑞）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F54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CL-1200i</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D409C0F">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w:t>
                  </w:r>
                </w:p>
              </w:tc>
            </w:tr>
            <w:tr w14:paraId="23523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nil"/>
                    <w:bottom w:val="single" w:color="000000" w:sz="4" w:space="0"/>
                    <w:right w:val="single" w:color="000000" w:sz="4" w:space="0"/>
                  </w:tcBorders>
                  <w:shd w:val="clear" w:color="auto" w:fill="auto"/>
                  <w:noWrap/>
                  <w:vAlign w:val="center"/>
                </w:tcPr>
                <w:p w14:paraId="0BBD1692">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检验科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7D8C1">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全自动生化分析仪</w:t>
                  </w:r>
                  <w:r>
                    <w:rPr>
                      <w:rFonts w:hint="eastAsia" w:cs="Times New Roman"/>
                      <w:color w:val="auto"/>
                      <w:sz w:val="21"/>
                      <w:szCs w:val="24"/>
                      <w:highlight w:val="none"/>
                      <w:lang w:val="en-US" w:eastAsia="zh-CN"/>
                    </w:rPr>
                    <w:t>（</w:t>
                  </w:r>
                  <w:r>
                    <w:rPr>
                      <w:rFonts w:hint="eastAsia" w:ascii="Times New Roman" w:hAnsi="Times New Roman" w:eastAsia="宋体" w:cs="Times New Roman"/>
                      <w:color w:val="auto"/>
                      <w:sz w:val="21"/>
                      <w:szCs w:val="24"/>
                      <w:highlight w:val="none"/>
                      <w:lang w:val="en-US" w:eastAsia="zh-CN"/>
                    </w:rPr>
                    <w:t>迈瑞）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E6FA8">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BS-860</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397A6D6">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w:t>
                  </w:r>
                </w:p>
              </w:tc>
            </w:tr>
            <w:tr w14:paraId="35E43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nil"/>
                    <w:bottom w:val="single" w:color="000000" w:sz="4" w:space="0"/>
                    <w:right w:val="single" w:color="000000" w:sz="4" w:space="0"/>
                  </w:tcBorders>
                  <w:shd w:val="clear" w:color="auto" w:fill="auto"/>
                  <w:noWrap/>
                  <w:vAlign w:val="center"/>
                </w:tcPr>
                <w:p w14:paraId="0E9D885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检验科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AA977">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富雪药品阴凉柜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3C61E">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双门款</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ACDED37">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w:t>
                  </w:r>
                </w:p>
              </w:tc>
            </w:tr>
            <w:tr w14:paraId="67DA9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nil"/>
                    <w:bottom w:val="single" w:color="000000" w:sz="4" w:space="0"/>
                    <w:right w:val="single" w:color="000000" w:sz="4" w:space="0"/>
                  </w:tcBorders>
                  <w:shd w:val="clear" w:color="auto" w:fill="auto"/>
                  <w:noWrap/>
                  <w:vAlign w:val="center"/>
                </w:tcPr>
                <w:p w14:paraId="31C82183">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检验科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99EE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cs="Times New Roman"/>
                      <w:color w:val="auto"/>
                      <w:sz w:val="21"/>
                      <w:szCs w:val="24"/>
                      <w:highlight w:val="none"/>
                      <w:lang w:val="en-US" w:eastAsia="zh-CN"/>
                    </w:rPr>
                    <w:t>低速</w:t>
                  </w:r>
                  <w:r>
                    <w:rPr>
                      <w:rFonts w:hint="eastAsia" w:ascii="Times New Roman" w:hAnsi="Times New Roman" w:eastAsia="宋体" w:cs="Times New Roman"/>
                      <w:color w:val="auto"/>
                      <w:sz w:val="21"/>
                      <w:szCs w:val="24"/>
                      <w:highlight w:val="none"/>
                      <w:lang w:val="en-US" w:eastAsia="zh-CN"/>
                    </w:rPr>
                    <w:t>离心机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DF03">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TDZ5-WS</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C7764C3">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w:t>
                  </w:r>
                </w:p>
              </w:tc>
            </w:tr>
            <w:tr w14:paraId="2BA81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nil"/>
                    <w:bottom w:val="single" w:color="000000" w:sz="4" w:space="0"/>
                    <w:right w:val="single" w:color="000000" w:sz="4" w:space="0"/>
                  </w:tcBorders>
                  <w:shd w:val="clear" w:color="auto" w:fill="auto"/>
                  <w:noWrap/>
                  <w:vAlign w:val="center"/>
                </w:tcPr>
                <w:p w14:paraId="2EFB8206">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检验科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50A77">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可调量程移液器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0ACF0">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20-200μL</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EFB1F09">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w:t>
                  </w:r>
                </w:p>
              </w:tc>
            </w:tr>
            <w:tr w14:paraId="29381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nil"/>
                    <w:bottom w:val="single" w:color="000000" w:sz="4" w:space="0"/>
                    <w:right w:val="single" w:color="000000" w:sz="4" w:space="0"/>
                  </w:tcBorders>
                  <w:shd w:val="clear" w:color="auto" w:fill="auto"/>
                  <w:noWrap/>
                  <w:vAlign w:val="center"/>
                </w:tcPr>
                <w:p w14:paraId="569972C3">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检验科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05B66">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可调量程移液器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DAEEE">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100-1000μL</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9C0B6B2">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w:t>
                  </w:r>
                </w:p>
              </w:tc>
            </w:tr>
            <w:tr w14:paraId="06F64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nil"/>
                    <w:bottom w:val="single" w:color="000000" w:sz="4" w:space="0"/>
                    <w:right w:val="single" w:color="000000" w:sz="4" w:space="0"/>
                  </w:tcBorders>
                  <w:shd w:val="clear" w:color="auto" w:fill="auto"/>
                  <w:noWrap/>
                  <w:vAlign w:val="center"/>
                </w:tcPr>
                <w:p w14:paraId="4823959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检验科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2E3FA">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温湿度计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9678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得力</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5A3081C">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w:t>
                  </w:r>
                </w:p>
              </w:tc>
            </w:tr>
            <w:tr w14:paraId="1F092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nil"/>
                    <w:bottom w:val="single" w:color="000000" w:sz="4" w:space="0"/>
                    <w:right w:val="single" w:color="000000" w:sz="4" w:space="0"/>
                  </w:tcBorders>
                  <w:shd w:val="clear" w:color="auto" w:fill="auto"/>
                  <w:noWrap/>
                  <w:vAlign w:val="center"/>
                </w:tcPr>
                <w:p w14:paraId="2857DAB6">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检验科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D2294">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温度计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1CF4F">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明高</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BBFCA52">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w:t>
                  </w:r>
                </w:p>
              </w:tc>
            </w:tr>
            <w:tr w14:paraId="209F7C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nil"/>
                    <w:bottom w:val="single" w:color="000000" w:sz="4" w:space="0"/>
                    <w:right w:val="single" w:color="000000" w:sz="4" w:space="0"/>
                  </w:tcBorders>
                  <w:shd w:val="clear" w:color="auto" w:fill="auto"/>
                  <w:noWrap/>
                  <w:vAlign w:val="center"/>
                </w:tcPr>
                <w:p w14:paraId="4B59D4E1">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检验科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37DD4">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尿液分析仪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14B3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UC-280 Series</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89FCAB5">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w:t>
                  </w:r>
                </w:p>
              </w:tc>
            </w:tr>
            <w:tr w14:paraId="27F38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000000" w:sz="4" w:space="0"/>
                    <w:left w:val="nil"/>
                    <w:bottom w:val="single" w:color="000000" w:sz="4" w:space="0"/>
                    <w:right w:val="single" w:color="000000" w:sz="4" w:space="0"/>
                  </w:tcBorders>
                  <w:shd w:val="clear" w:color="auto" w:fill="auto"/>
                  <w:noWrap/>
                  <w:vAlign w:val="center"/>
                </w:tcPr>
                <w:p w14:paraId="4F93AAF1">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外科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42BC1">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熏蒸治疗机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3FF7B">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HYZ-IB</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315F229">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w:t>
                  </w:r>
                </w:p>
              </w:tc>
            </w:tr>
            <w:tr w14:paraId="11498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tcBorders>
                    <w:top w:val="single" w:color="000000" w:sz="4" w:space="0"/>
                    <w:left w:val="nil"/>
                    <w:bottom w:val="single" w:color="000000" w:sz="4" w:space="0"/>
                    <w:right w:val="single" w:color="000000" w:sz="4" w:space="0"/>
                  </w:tcBorders>
                  <w:shd w:val="clear" w:color="auto" w:fill="auto"/>
                  <w:noWrap/>
                  <w:vAlign w:val="center"/>
                </w:tcPr>
                <w:p w14:paraId="76C1821B">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外科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9FA42">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红外光</w:t>
                  </w:r>
                  <w:r>
                    <w:rPr>
                      <w:rFonts w:hint="eastAsia" w:cs="Times New Roman"/>
                      <w:color w:val="auto"/>
                      <w:sz w:val="21"/>
                      <w:szCs w:val="24"/>
                      <w:highlight w:val="none"/>
                      <w:lang w:val="en-US" w:eastAsia="zh-CN"/>
                    </w:rPr>
                    <w:t>治</w:t>
                  </w:r>
                  <w:r>
                    <w:rPr>
                      <w:rFonts w:hint="eastAsia" w:ascii="Times New Roman" w:hAnsi="Times New Roman" w:eastAsia="宋体" w:cs="Times New Roman"/>
                      <w:color w:val="auto"/>
                      <w:sz w:val="21"/>
                      <w:szCs w:val="24"/>
                      <w:highlight w:val="none"/>
                      <w:lang w:val="en-US" w:eastAsia="zh-CN"/>
                    </w:rPr>
                    <w:t>疗机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CF722">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HY-HGJ-II</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4B79D66">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w:t>
                  </w:r>
                </w:p>
              </w:tc>
            </w:tr>
            <w:tr w14:paraId="4AF85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0" w:type="auto"/>
                  <w:tcBorders>
                    <w:top w:val="single" w:color="000000" w:sz="4" w:space="0"/>
                    <w:left w:val="nil"/>
                    <w:bottom w:val="single" w:color="000000" w:sz="12" w:space="0"/>
                    <w:right w:val="single" w:color="000000" w:sz="4" w:space="0"/>
                  </w:tcBorders>
                  <w:shd w:val="clear" w:color="auto" w:fill="auto"/>
                  <w:noWrap/>
                  <w:vAlign w:val="center"/>
                </w:tcPr>
                <w:p w14:paraId="72ABBC4A">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外科</w:t>
                  </w:r>
                </w:p>
              </w:tc>
              <w:tc>
                <w:tcPr>
                  <w:tcW w:w="0" w:type="auto"/>
                  <w:tcBorders>
                    <w:top w:val="single" w:color="000000" w:sz="4" w:space="0"/>
                    <w:left w:val="single" w:color="000000" w:sz="4" w:space="0"/>
                    <w:bottom w:val="single" w:color="000000" w:sz="12" w:space="0"/>
                    <w:right w:val="single" w:color="000000" w:sz="4" w:space="0"/>
                  </w:tcBorders>
                  <w:shd w:val="clear" w:color="auto" w:fill="auto"/>
                  <w:noWrap/>
                  <w:vAlign w:val="center"/>
                </w:tcPr>
                <w:p w14:paraId="543BE937">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生物信息反馈</w:t>
                  </w:r>
                  <w:r>
                    <w:rPr>
                      <w:rFonts w:hint="eastAsia" w:cs="Times New Roman"/>
                      <w:color w:val="auto"/>
                      <w:sz w:val="21"/>
                      <w:szCs w:val="24"/>
                      <w:highlight w:val="none"/>
                      <w:lang w:val="en-US" w:eastAsia="zh-CN"/>
                    </w:rPr>
                    <w:t>治</w:t>
                  </w:r>
                  <w:r>
                    <w:rPr>
                      <w:rFonts w:hint="eastAsia" w:ascii="Times New Roman" w:hAnsi="Times New Roman" w:eastAsia="宋体" w:cs="Times New Roman"/>
                      <w:color w:val="auto"/>
                      <w:sz w:val="21"/>
                      <w:szCs w:val="24"/>
                      <w:highlight w:val="none"/>
                      <w:lang w:val="en-US" w:eastAsia="zh-CN"/>
                    </w:rPr>
                    <w:t>疗机</w:t>
                  </w:r>
                </w:p>
              </w:tc>
              <w:tc>
                <w:tcPr>
                  <w:tcW w:w="0" w:type="auto"/>
                  <w:tcBorders>
                    <w:top w:val="single" w:color="000000" w:sz="4" w:space="0"/>
                    <w:left w:val="single" w:color="000000" w:sz="4" w:space="0"/>
                    <w:bottom w:val="single" w:color="000000" w:sz="12" w:space="0"/>
                    <w:right w:val="single" w:color="000000" w:sz="4" w:space="0"/>
                  </w:tcBorders>
                  <w:shd w:val="clear" w:color="auto" w:fill="auto"/>
                  <w:noWrap/>
                  <w:vAlign w:val="center"/>
                </w:tcPr>
                <w:p w14:paraId="4CF5BE6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DSH-50A</w:t>
                  </w:r>
                </w:p>
              </w:tc>
              <w:tc>
                <w:tcPr>
                  <w:tcW w:w="0" w:type="auto"/>
                  <w:tcBorders>
                    <w:top w:val="single" w:color="000000" w:sz="4" w:space="0"/>
                    <w:left w:val="single" w:color="000000" w:sz="4" w:space="0"/>
                    <w:bottom w:val="single" w:color="000000" w:sz="12" w:space="0"/>
                    <w:right w:val="nil"/>
                  </w:tcBorders>
                  <w:shd w:val="clear" w:color="auto" w:fill="auto"/>
                  <w:noWrap/>
                  <w:vAlign w:val="center"/>
                </w:tcPr>
                <w:p w14:paraId="1C1847D0">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w:t>
                  </w:r>
                </w:p>
              </w:tc>
            </w:tr>
          </w:tbl>
          <w:p w14:paraId="1C702347">
            <w:pPr>
              <w:pStyle w:val="44"/>
              <w:keepNext/>
              <w:keepLines/>
              <w:pageBreakBefore w:val="0"/>
              <w:widowControl w:val="0"/>
              <w:numPr>
                <w:ilvl w:val="7"/>
                <w:numId w:val="10"/>
              </w:numPr>
              <w:tabs>
                <w:tab w:val="left" w:pos="0"/>
              </w:tabs>
              <w:kinsoku/>
              <w:wordWrap/>
              <w:overflowPunct/>
              <w:topLinePunct w:val="0"/>
              <w:autoSpaceDE/>
              <w:autoSpaceDN/>
              <w:bidi w:val="0"/>
              <w:adjustRightInd/>
              <w:snapToGrid/>
              <w:spacing w:before="0" w:after="0"/>
              <w:ind w:left="630" w:leftChars="0" w:firstLineChars="0"/>
              <w:textAlignment w:val="auto"/>
              <w:rPr>
                <w:rFonts w:hint="eastAsia" w:eastAsia="宋体"/>
                <w:lang w:eastAsia="zh-CN"/>
              </w:rPr>
            </w:pPr>
            <w:r>
              <w:rPr>
                <w:rFonts w:hint="eastAsia" w:ascii="Times New Roman" w:hAnsi="Times New Roman" w:eastAsia="宋体" w:cs="Times New Roman"/>
                <w:color w:val="auto"/>
                <w:highlight w:val="none"/>
              </w:rPr>
              <w:t>现有工程</w:t>
            </w:r>
            <w:r>
              <w:rPr>
                <w:rFonts w:hint="eastAsia" w:eastAsia="宋体"/>
                <w:lang w:eastAsia="zh-CN"/>
              </w:rPr>
              <w:t>主要原辅材料</w:t>
            </w:r>
            <w:r>
              <w:rPr>
                <w:rFonts w:hint="eastAsia" w:eastAsia="宋体"/>
                <w:lang w:val="en-US" w:eastAsia="zh-CN"/>
              </w:rPr>
              <w:t>一览表</w:t>
            </w:r>
          </w:p>
          <w:tbl>
            <w:tblPr>
              <w:tblStyle w:val="35"/>
              <w:tblW w:w="8785"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4010"/>
              <w:gridCol w:w="3727"/>
            </w:tblGrid>
            <w:tr w14:paraId="6C1DF4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79" w:type="dxa"/>
                  <w:tcBorders>
                    <w:bottom w:val="single" w:color="000000" w:sz="12" w:space="0"/>
                    <w:tl2br w:val="nil"/>
                    <w:tr2bl w:val="nil"/>
                  </w:tcBorders>
                  <w:vAlign w:val="center"/>
                </w:tcPr>
                <w:p w14:paraId="59FA25C7">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序号</w:t>
                  </w:r>
                </w:p>
              </w:tc>
              <w:tc>
                <w:tcPr>
                  <w:tcW w:w="4677" w:type="dxa"/>
                  <w:tcBorders>
                    <w:bottom w:val="single" w:color="000000" w:sz="12" w:space="0"/>
                    <w:tl2br w:val="nil"/>
                    <w:tr2bl w:val="nil"/>
                  </w:tcBorders>
                  <w:vAlign w:val="center"/>
                </w:tcPr>
                <w:p w14:paraId="7B7A9B69">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名称</w:t>
                  </w:r>
                </w:p>
              </w:tc>
              <w:tc>
                <w:tcPr>
                  <w:tcW w:w="2929" w:type="dxa"/>
                  <w:tcBorders>
                    <w:bottom w:val="single" w:color="000000" w:sz="12" w:space="0"/>
                    <w:tl2br w:val="nil"/>
                    <w:tr2bl w:val="nil"/>
                  </w:tcBorders>
                  <w:vAlign w:val="center"/>
                </w:tcPr>
                <w:p w14:paraId="5000306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年用量</w:t>
                  </w:r>
                </w:p>
              </w:tc>
            </w:tr>
            <w:tr w14:paraId="057F93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9" w:type="dxa"/>
                  <w:tcBorders>
                    <w:top w:val="single" w:color="000000" w:sz="12" w:space="0"/>
                    <w:tl2br w:val="nil"/>
                    <w:tr2bl w:val="nil"/>
                  </w:tcBorders>
                  <w:vAlign w:val="center"/>
                </w:tcPr>
                <w:p w14:paraId="6CB5C517">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w:t>
                  </w:r>
                </w:p>
              </w:tc>
              <w:tc>
                <w:tcPr>
                  <w:tcW w:w="4677" w:type="dxa"/>
                  <w:tcBorders>
                    <w:top w:val="single" w:color="000000" w:sz="12" w:space="0"/>
                    <w:tl2br w:val="nil"/>
                    <w:tr2bl w:val="nil"/>
                  </w:tcBorders>
                  <w:shd w:val="clear" w:color="auto" w:fill="auto"/>
                  <w:vAlign w:val="center"/>
                </w:tcPr>
                <w:p w14:paraId="49D7A36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碘伏消毒液（利尔康）</w:t>
                  </w:r>
                </w:p>
              </w:tc>
              <w:tc>
                <w:tcPr>
                  <w:tcW w:w="2929" w:type="dxa"/>
                  <w:tcBorders>
                    <w:top w:val="single" w:color="000000" w:sz="12" w:space="0"/>
                    <w:tl2br w:val="nil"/>
                    <w:tr2bl w:val="nil"/>
                  </w:tcBorders>
                  <w:shd w:val="clear" w:color="auto" w:fill="auto"/>
                  <w:vAlign w:val="center"/>
                </w:tcPr>
                <w:p w14:paraId="3A1A2C80">
                  <w:pPr>
                    <w:pStyle w:val="21"/>
                    <w:spacing w:before="120"/>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250瓶/500ml</w:t>
                  </w:r>
                </w:p>
              </w:tc>
            </w:tr>
            <w:tr w14:paraId="1BE17E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9" w:type="dxa"/>
                  <w:tcBorders>
                    <w:tl2br w:val="nil"/>
                    <w:tr2bl w:val="nil"/>
                  </w:tcBorders>
                  <w:vAlign w:val="center"/>
                </w:tcPr>
                <w:p w14:paraId="49DC55E8">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2</w:t>
                  </w:r>
                </w:p>
              </w:tc>
              <w:tc>
                <w:tcPr>
                  <w:tcW w:w="4677" w:type="dxa"/>
                  <w:tcBorders>
                    <w:tl2br w:val="nil"/>
                    <w:tr2bl w:val="nil"/>
                  </w:tcBorders>
                  <w:shd w:val="clear" w:color="auto" w:fill="auto"/>
                  <w:vAlign w:val="center"/>
                </w:tcPr>
                <w:p w14:paraId="6E1070C8">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84消毒液（利尔康）</w:t>
                  </w:r>
                </w:p>
              </w:tc>
              <w:tc>
                <w:tcPr>
                  <w:tcW w:w="2929" w:type="dxa"/>
                  <w:tcBorders>
                    <w:tl2br w:val="nil"/>
                    <w:tr2bl w:val="nil"/>
                  </w:tcBorders>
                  <w:shd w:val="clear" w:color="auto" w:fill="auto"/>
                  <w:vAlign w:val="center"/>
                </w:tcPr>
                <w:p w14:paraId="0CBC5C23">
                  <w:pPr>
                    <w:pStyle w:val="21"/>
                    <w:spacing w:before="120"/>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1000瓶/500ml</w:t>
                  </w:r>
                </w:p>
              </w:tc>
            </w:tr>
            <w:tr w14:paraId="44E25ED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9" w:type="dxa"/>
                  <w:tcBorders>
                    <w:tl2br w:val="nil"/>
                    <w:tr2bl w:val="nil"/>
                  </w:tcBorders>
                  <w:vAlign w:val="center"/>
                </w:tcPr>
                <w:p w14:paraId="423EC3F8">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3</w:t>
                  </w:r>
                </w:p>
              </w:tc>
              <w:tc>
                <w:tcPr>
                  <w:tcW w:w="4677" w:type="dxa"/>
                  <w:tcBorders>
                    <w:tl2br w:val="nil"/>
                    <w:tr2bl w:val="nil"/>
                  </w:tcBorders>
                  <w:shd w:val="clear" w:color="auto" w:fill="auto"/>
                  <w:vAlign w:val="center"/>
                </w:tcPr>
                <w:p w14:paraId="01283926">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医用棉签</w:t>
                  </w:r>
                </w:p>
              </w:tc>
              <w:tc>
                <w:tcPr>
                  <w:tcW w:w="2929" w:type="dxa"/>
                  <w:tcBorders>
                    <w:tl2br w:val="nil"/>
                    <w:tr2bl w:val="nil"/>
                  </w:tcBorders>
                  <w:shd w:val="clear" w:color="auto" w:fill="auto"/>
                  <w:vAlign w:val="center"/>
                </w:tcPr>
                <w:p w14:paraId="7B4EC4E2">
                  <w:pPr>
                    <w:pStyle w:val="21"/>
                    <w:spacing w:before="120"/>
                    <w:jc w:val="center"/>
                    <w:rPr>
                      <w:rFonts w:hint="eastAsia" w:ascii="宋体" w:hAnsi="Courier New" w:eastAsia="宋体" w:cs="Times New Roman"/>
                      <w:kern w:val="2"/>
                      <w:sz w:val="21"/>
                      <w:szCs w:val="20"/>
                      <w:lang w:val="en-US" w:eastAsia="zh-CN" w:bidi="ar-SA"/>
                    </w:rPr>
                  </w:pPr>
                  <w:r>
                    <w:rPr>
                      <w:rFonts w:hint="eastAsia" w:ascii="Times New Roman" w:hAnsi="Times New Roman" w:eastAsia="宋体"/>
                      <w:sz w:val="21"/>
                      <w:szCs w:val="24"/>
                      <w:lang w:val="en-US" w:eastAsia="zh-CN"/>
                    </w:rPr>
                    <w:t>750</w:t>
                  </w:r>
                  <w:r>
                    <w:rPr>
                      <w:rFonts w:ascii="Times New Roman" w:hAnsi="Times New Roman" w:eastAsia="宋体"/>
                      <w:sz w:val="21"/>
                      <w:szCs w:val="24"/>
                    </w:rPr>
                    <w:t>包</w:t>
                  </w:r>
                </w:p>
              </w:tc>
            </w:tr>
            <w:tr w14:paraId="0956FC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9" w:type="dxa"/>
                  <w:tcBorders>
                    <w:tl2br w:val="nil"/>
                    <w:tr2bl w:val="nil"/>
                  </w:tcBorders>
                  <w:vAlign w:val="center"/>
                </w:tcPr>
                <w:p w14:paraId="21620D27">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4</w:t>
                  </w:r>
                </w:p>
              </w:tc>
              <w:tc>
                <w:tcPr>
                  <w:tcW w:w="4677" w:type="dxa"/>
                  <w:tcBorders>
                    <w:tl2br w:val="nil"/>
                    <w:tr2bl w:val="nil"/>
                  </w:tcBorders>
                  <w:shd w:val="clear" w:color="auto" w:fill="auto"/>
                  <w:vAlign w:val="center"/>
                </w:tcPr>
                <w:p w14:paraId="4F5963C2">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纸质胶带、透气胶带</w:t>
                  </w:r>
                </w:p>
              </w:tc>
              <w:tc>
                <w:tcPr>
                  <w:tcW w:w="2929" w:type="dxa"/>
                  <w:tcBorders>
                    <w:tl2br w:val="nil"/>
                    <w:tr2bl w:val="nil"/>
                  </w:tcBorders>
                  <w:shd w:val="clear" w:color="auto" w:fill="auto"/>
                  <w:vAlign w:val="center"/>
                </w:tcPr>
                <w:p w14:paraId="114A5A54">
                  <w:pPr>
                    <w:pStyle w:val="21"/>
                    <w:spacing w:before="120"/>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150筒、1100</w:t>
                  </w:r>
                  <w:r>
                    <w:rPr>
                      <w:rFonts w:ascii="Times New Roman" w:hAnsi="Times New Roman" w:eastAsia="宋体"/>
                      <w:sz w:val="21"/>
                      <w:szCs w:val="24"/>
                    </w:rPr>
                    <w:t>卷</w:t>
                  </w:r>
                </w:p>
              </w:tc>
            </w:tr>
            <w:tr w14:paraId="5E11E2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9" w:type="dxa"/>
                  <w:tcBorders>
                    <w:tl2br w:val="nil"/>
                    <w:tr2bl w:val="nil"/>
                  </w:tcBorders>
                  <w:vAlign w:val="center"/>
                </w:tcPr>
                <w:p w14:paraId="6C805B51">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5</w:t>
                  </w:r>
                </w:p>
              </w:tc>
              <w:tc>
                <w:tcPr>
                  <w:tcW w:w="4677" w:type="dxa"/>
                  <w:tcBorders>
                    <w:tl2br w:val="nil"/>
                    <w:tr2bl w:val="nil"/>
                  </w:tcBorders>
                  <w:shd w:val="clear" w:color="auto" w:fill="auto"/>
                  <w:vAlign w:val="center"/>
                </w:tcPr>
                <w:p w14:paraId="06EEC240">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75%酒精</w:t>
                  </w:r>
                </w:p>
              </w:tc>
              <w:tc>
                <w:tcPr>
                  <w:tcW w:w="2929" w:type="dxa"/>
                  <w:tcBorders>
                    <w:tl2br w:val="nil"/>
                    <w:tr2bl w:val="nil"/>
                  </w:tcBorders>
                  <w:shd w:val="clear" w:color="auto" w:fill="auto"/>
                  <w:vAlign w:val="center"/>
                </w:tcPr>
                <w:p w14:paraId="7AD53125">
                  <w:pPr>
                    <w:pStyle w:val="21"/>
                    <w:spacing w:before="120"/>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450瓶/</w:t>
                  </w:r>
                  <w:r>
                    <w:rPr>
                      <w:rFonts w:ascii="Times New Roman" w:hAnsi="Times New Roman" w:eastAsia="宋体"/>
                      <w:sz w:val="21"/>
                      <w:szCs w:val="24"/>
                    </w:rPr>
                    <w:t>500ml</w:t>
                  </w:r>
                  <w:r>
                    <w:rPr>
                      <w:rFonts w:hint="eastAsia" w:ascii="Times New Roman" w:hAnsi="Times New Roman" w:eastAsia="宋体"/>
                      <w:sz w:val="21"/>
                      <w:szCs w:val="24"/>
                      <w:lang w:val="en-US" w:eastAsia="zh-CN"/>
                    </w:rPr>
                    <w:t>,600瓶/60</w:t>
                  </w:r>
                  <w:r>
                    <w:rPr>
                      <w:rFonts w:ascii="Times New Roman" w:hAnsi="Times New Roman" w:eastAsia="宋体"/>
                      <w:sz w:val="21"/>
                      <w:szCs w:val="24"/>
                    </w:rPr>
                    <w:t>ml</w:t>
                  </w:r>
                </w:p>
              </w:tc>
            </w:tr>
            <w:tr w14:paraId="2A81BF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9" w:type="dxa"/>
                  <w:tcBorders>
                    <w:tl2br w:val="nil"/>
                    <w:tr2bl w:val="nil"/>
                  </w:tcBorders>
                  <w:vAlign w:val="center"/>
                </w:tcPr>
                <w:p w14:paraId="6F643D58">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6</w:t>
                  </w:r>
                </w:p>
              </w:tc>
              <w:tc>
                <w:tcPr>
                  <w:tcW w:w="4677" w:type="dxa"/>
                  <w:tcBorders>
                    <w:tl2br w:val="nil"/>
                    <w:tr2bl w:val="nil"/>
                  </w:tcBorders>
                  <w:shd w:val="clear" w:color="auto" w:fill="auto"/>
                  <w:vAlign w:val="center"/>
                </w:tcPr>
                <w:p w14:paraId="5C781E07">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双氧水</w:t>
                  </w:r>
                </w:p>
              </w:tc>
              <w:tc>
                <w:tcPr>
                  <w:tcW w:w="2929" w:type="dxa"/>
                  <w:tcBorders>
                    <w:tl2br w:val="nil"/>
                    <w:tr2bl w:val="nil"/>
                  </w:tcBorders>
                  <w:shd w:val="clear" w:color="auto" w:fill="auto"/>
                  <w:vAlign w:val="center"/>
                </w:tcPr>
                <w:p w14:paraId="76322F4D">
                  <w:pPr>
                    <w:pStyle w:val="21"/>
                    <w:spacing w:before="120"/>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140瓶/500ml</w:t>
                  </w:r>
                </w:p>
              </w:tc>
            </w:tr>
            <w:tr w14:paraId="7239A4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9" w:type="dxa"/>
                  <w:tcBorders>
                    <w:tl2br w:val="nil"/>
                    <w:tr2bl w:val="nil"/>
                  </w:tcBorders>
                  <w:vAlign w:val="center"/>
                </w:tcPr>
                <w:p w14:paraId="24818E20">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7</w:t>
                  </w:r>
                </w:p>
              </w:tc>
              <w:tc>
                <w:tcPr>
                  <w:tcW w:w="4677" w:type="dxa"/>
                  <w:tcBorders>
                    <w:tl2br w:val="nil"/>
                    <w:tr2bl w:val="nil"/>
                  </w:tcBorders>
                  <w:shd w:val="clear" w:color="auto" w:fill="auto"/>
                  <w:vAlign w:val="center"/>
                </w:tcPr>
                <w:p w14:paraId="49D5436C">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外科口罩</w:t>
                  </w:r>
                </w:p>
              </w:tc>
              <w:tc>
                <w:tcPr>
                  <w:tcW w:w="2929" w:type="dxa"/>
                  <w:tcBorders>
                    <w:tl2br w:val="nil"/>
                    <w:tr2bl w:val="nil"/>
                  </w:tcBorders>
                  <w:shd w:val="clear" w:color="auto" w:fill="auto"/>
                  <w:vAlign w:val="center"/>
                </w:tcPr>
                <w:p w14:paraId="7DFF5DF2">
                  <w:pPr>
                    <w:pStyle w:val="21"/>
                    <w:spacing w:before="120"/>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20000个</w:t>
                  </w:r>
                </w:p>
              </w:tc>
            </w:tr>
            <w:tr w14:paraId="7135A0E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9" w:type="dxa"/>
                  <w:tcBorders>
                    <w:tl2br w:val="nil"/>
                    <w:tr2bl w:val="nil"/>
                  </w:tcBorders>
                  <w:vAlign w:val="center"/>
                </w:tcPr>
                <w:p w14:paraId="044AB748">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8</w:t>
                  </w:r>
                </w:p>
              </w:tc>
              <w:tc>
                <w:tcPr>
                  <w:tcW w:w="4677" w:type="dxa"/>
                  <w:tcBorders>
                    <w:tl2br w:val="nil"/>
                    <w:tr2bl w:val="nil"/>
                  </w:tcBorders>
                  <w:shd w:val="clear" w:color="auto" w:fill="auto"/>
                  <w:vAlign w:val="center"/>
                </w:tcPr>
                <w:p w14:paraId="34E9635F">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PE手套【中】</w:t>
                  </w:r>
                </w:p>
              </w:tc>
              <w:tc>
                <w:tcPr>
                  <w:tcW w:w="0" w:type="auto"/>
                  <w:tcBorders>
                    <w:tl2br w:val="nil"/>
                    <w:tr2bl w:val="nil"/>
                  </w:tcBorders>
                  <w:shd w:val="clear" w:color="auto" w:fill="auto"/>
                  <w:vAlign w:val="center"/>
                </w:tcPr>
                <w:p w14:paraId="1773CCED">
                  <w:pPr>
                    <w:pStyle w:val="21"/>
                    <w:spacing w:before="120"/>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65盒</w:t>
                  </w:r>
                </w:p>
              </w:tc>
            </w:tr>
            <w:tr w14:paraId="6A6A32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9" w:type="dxa"/>
                  <w:tcBorders>
                    <w:tl2br w:val="nil"/>
                    <w:tr2bl w:val="nil"/>
                  </w:tcBorders>
                  <w:vAlign w:val="center"/>
                </w:tcPr>
                <w:p w14:paraId="621D676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9</w:t>
                  </w:r>
                </w:p>
              </w:tc>
              <w:tc>
                <w:tcPr>
                  <w:tcW w:w="4677" w:type="dxa"/>
                  <w:tcBorders>
                    <w:tl2br w:val="nil"/>
                    <w:tr2bl w:val="nil"/>
                  </w:tcBorders>
                  <w:shd w:val="clear" w:color="auto" w:fill="auto"/>
                  <w:vAlign w:val="center"/>
                </w:tcPr>
                <w:p w14:paraId="2459A0C3">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一次性医用口罩</w:t>
                  </w:r>
                </w:p>
              </w:tc>
              <w:tc>
                <w:tcPr>
                  <w:tcW w:w="0" w:type="auto"/>
                  <w:tcBorders>
                    <w:tl2br w:val="nil"/>
                    <w:tr2bl w:val="nil"/>
                  </w:tcBorders>
                  <w:shd w:val="clear" w:color="auto" w:fill="auto"/>
                  <w:vAlign w:val="center"/>
                </w:tcPr>
                <w:p w14:paraId="19FF78EA">
                  <w:pPr>
                    <w:pStyle w:val="21"/>
                    <w:spacing w:before="120"/>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30000</w:t>
                  </w:r>
                  <w:r>
                    <w:rPr>
                      <w:rFonts w:ascii="Times New Roman" w:hAnsi="Times New Roman" w:eastAsia="宋体"/>
                      <w:sz w:val="21"/>
                      <w:szCs w:val="24"/>
                    </w:rPr>
                    <w:t>个</w:t>
                  </w:r>
                </w:p>
              </w:tc>
            </w:tr>
            <w:tr w14:paraId="6F7F14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9" w:type="dxa"/>
                  <w:tcBorders>
                    <w:tl2br w:val="nil"/>
                    <w:tr2bl w:val="nil"/>
                  </w:tcBorders>
                  <w:vAlign w:val="center"/>
                </w:tcPr>
                <w:p w14:paraId="671FB819">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10</w:t>
                  </w:r>
                </w:p>
              </w:tc>
              <w:tc>
                <w:tcPr>
                  <w:tcW w:w="4677" w:type="dxa"/>
                  <w:tcBorders>
                    <w:tl2br w:val="nil"/>
                    <w:tr2bl w:val="nil"/>
                  </w:tcBorders>
                  <w:shd w:val="clear" w:color="auto" w:fill="auto"/>
                  <w:vAlign w:val="center"/>
                </w:tcPr>
                <w:p w14:paraId="1DCF5868">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纱布绷带</w:t>
                  </w:r>
                </w:p>
              </w:tc>
              <w:tc>
                <w:tcPr>
                  <w:tcW w:w="0" w:type="auto"/>
                  <w:tcBorders>
                    <w:tl2br w:val="nil"/>
                    <w:tr2bl w:val="nil"/>
                  </w:tcBorders>
                  <w:shd w:val="clear" w:color="auto" w:fill="auto"/>
                  <w:vAlign w:val="center"/>
                </w:tcPr>
                <w:p w14:paraId="0282CAA0">
                  <w:pPr>
                    <w:jc w:val="center"/>
                    <w:rPr>
                      <w:rFonts w:hint="eastAsia" w:ascii="Times New Roman" w:hAnsi="Times New Roman" w:eastAsia="宋体" w:cs="Times New Roman"/>
                      <w:kern w:val="2"/>
                      <w:sz w:val="21"/>
                      <w:szCs w:val="24"/>
                      <w:lang w:val="en-US" w:eastAsia="zh-CN" w:bidi="ar-SA"/>
                    </w:rPr>
                  </w:pPr>
                  <w:r>
                    <w:rPr>
                      <w:rFonts w:hint="eastAsia"/>
                      <w:sz w:val="21"/>
                      <w:szCs w:val="24"/>
                      <w:lang w:val="en-US" w:eastAsia="zh-CN"/>
                    </w:rPr>
                    <w:t>医用绷带4000卷纱布块（200片/包）220包</w:t>
                  </w:r>
                </w:p>
              </w:tc>
            </w:tr>
            <w:tr w14:paraId="0CC7DA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9" w:type="dxa"/>
                  <w:tcBorders>
                    <w:tl2br w:val="nil"/>
                    <w:tr2bl w:val="nil"/>
                  </w:tcBorders>
                  <w:vAlign w:val="center"/>
                </w:tcPr>
                <w:p w14:paraId="6B8BBCE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11</w:t>
                  </w:r>
                </w:p>
              </w:tc>
              <w:tc>
                <w:tcPr>
                  <w:tcW w:w="4677" w:type="dxa"/>
                  <w:tcBorders>
                    <w:tl2br w:val="nil"/>
                    <w:tr2bl w:val="nil"/>
                  </w:tcBorders>
                  <w:shd w:val="clear" w:color="auto" w:fill="auto"/>
                  <w:vAlign w:val="center"/>
                </w:tcPr>
                <w:p w14:paraId="43CEBE45">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生化管</w:t>
                  </w:r>
                </w:p>
              </w:tc>
              <w:tc>
                <w:tcPr>
                  <w:tcW w:w="0" w:type="auto"/>
                  <w:tcBorders>
                    <w:tl2br w:val="nil"/>
                    <w:tr2bl w:val="nil"/>
                  </w:tcBorders>
                  <w:shd w:val="clear" w:color="auto" w:fill="auto"/>
                  <w:vAlign w:val="center"/>
                </w:tcPr>
                <w:p w14:paraId="484A2D65">
                  <w:pPr>
                    <w:pStyle w:val="21"/>
                    <w:spacing w:before="120"/>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20000</w:t>
                  </w:r>
                  <w:r>
                    <w:rPr>
                      <w:rFonts w:ascii="Times New Roman" w:hAnsi="Times New Roman" w:eastAsia="宋体"/>
                      <w:sz w:val="21"/>
                      <w:szCs w:val="24"/>
                    </w:rPr>
                    <w:t>支</w:t>
                  </w:r>
                </w:p>
              </w:tc>
            </w:tr>
            <w:tr w14:paraId="4BA677A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9" w:type="dxa"/>
                  <w:tcBorders>
                    <w:tl2br w:val="nil"/>
                    <w:tr2bl w:val="nil"/>
                  </w:tcBorders>
                  <w:vAlign w:val="center"/>
                </w:tcPr>
                <w:p w14:paraId="1EF2E7F9">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12</w:t>
                  </w:r>
                </w:p>
              </w:tc>
              <w:tc>
                <w:tcPr>
                  <w:tcW w:w="4677" w:type="dxa"/>
                  <w:tcBorders>
                    <w:tl2br w:val="nil"/>
                    <w:tr2bl w:val="nil"/>
                  </w:tcBorders>
                  <w:shd w:val="clear" w:color="auto" w:fill="auto"/>
                  <w:vAlign w:val="center"/>
                </w:tcPr>
                <w:p w14:paraId="40500AE9">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血常规管</w:t>
                  </w:r>
                </w:p>
              </w:tc>
              <w:tc>
                <w:tcPr>
                  <w:tcW w:w="0" w:type="auto"/>
                  <w:tcBorders>
                    <w:tl2br w:val="nil"/>
                    <w:tr2bl w:val="nil"/>
                  </w:tcBorders>
                  <w:shd w:val="clear" w:color="auto" w:fill="auto"/>
                  <w:vAlign w:val="center"/>
                </w:tcPr>
                <w:p w14:paraId="500654F9">
                  <w:pPr>
                    <w:pStyle w:val="21"/>
                    <w:spacing w:before="120"/>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15000</w:t>
                  </w:r>
                  <w:r>
                    <w:rPr>
                      <w:rFonts w:ascii="Times New Roman" w:hAnsi="Times New Roman" w:eastAsia="宋体"/>
                      <w:sz w:val="21"/>
                      <w:szCs w:val="24"/>
                    </w:rPr>
                    <w:t>支</w:t>
                  </w:r>
                </w:p>
              </w:tc>
            </w:tr>
            <w:tr w14:paraId="695219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9" w:type="dxa"/>
                  <w:tcBorders>
                    <w:tl2br w:val="nil"/>
                    <w:tr2bl w:val="nil"/>
                  </w:tcBorders>
                  <w:vAlign w:val="center"/>
                </w:tcPr>
                <w:p w14:paraId="68A6BDC5">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13</w:t>
                  </w:r>
                </w:p>
              </w:tc>
              <w:tc>
                <w:tcPr>
                  <w:tcW w:w="4677" w:type="dxa"/>
                  <w:tcBorders>
                    <w:tl2br w:val="nil"/>
                    <w:tr2bl w:val="nil"/>
                  </w:tcBorders>
                  <w:shd w:val="clear" w:color="auto" w:fill="auto"/>
                  <w:vAlign w:val="center"/>
                </w:tcPr>
                <w:p w14:paraId="3254C2C5">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血凝管</w:t>
                  </w:r>
                </w:p>
              </w:tc>
              <w:tc>
                <w:tcPr>
                  <w:tcW w:w="0" w:type="auto"/>
                  <w:tcBorders>
                    <w:tl2br w:val="nil"/>
                    <w:tr2bl w:val="nil"/>
                  </w:tcBorders>
                  <w:shd w:val="clear" w:color="auto" w:fill="auto"/>
                  <w:vAlign w:val="center"/>
                </w:tcPr>
                <w:p w14:paraId="6483A1E4">
                  <w:pPr>
                    <w:pStyle w:val="21"/>
                    <w:spacing w:before="120"/>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1000</w:t>
                  </w:r>
                  <w:r>
                    <w:rPr>
                      <w:rFonts w:ascii="Times New Roman" w:hAnsi="Times New Roman" w:eastAsia="宋体"/>
                      <w:sz w:val="21"/>
                      <w:szCs w:val="24"/>
                    </w:rPr>
                    <w:t>支</w:t>
                  </w:r>
                </w:p>
              </w:tc>
            </w:tr>
            <w:tr w14:paraId="5957E2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79" w:type="dxa"/>
                  <w:tcBorders>
                    <w:tl2br w:val="nil"/>
                    <w:tr2bl w:val="nil"/>
                  </w:tcBorders>
                  <w:vAlign w:val="center"/>
                </w:tcPr>
                <w:p w14:paraId="227BAF25">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14</w:t>
                  </w:r>
                </w:p>
              </w:tc>
              <w:tc>
                <w:tcPr>
                  <w:tcW w:w="4677" w:type="dxa"/>
                  <w:tcBorders>
                    <w:tl2br w:val="nil"/>
                    <w:tr2bl w:val="nil"/>
                  </w:tcBorders>
                  <w:shd w:val="clear" w:color="auto" w:fill="auto"/>
                  <w:vAlign w:val="center"/>
                </w:tcPr>
                <w:p w14:paraId="426C7D86">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血沉管</w:t>
                  </w:r>
                </w:p>
              </w:tc>
              <w:tc>
                <w:tcPr>
                  <w:tcW w:w="0" w:type="auto"/>
                  <w:tcBorders>
                    <w:tl2br w:val="nil"/>
                    <w:tr2bl w:val="nil"/>
                  </w:tcBorders>
                  <w:shd w:val="clear" w:color="auto" w:fill="auto"/>
                  <w:vAlign w:val="center"/>
                </w:tcPr>
                <w:p w14:paraId="040DC570">
                  <w:pPr>
                    <w:pStyle w:val="21"/>
                    <w:spacing w:before="120"/>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sz w:val="21"/>
                      <w:szCs w:val="24"/>
                      <w:lang w:val="en-US" w:eastAsia="zh-CN"/>
                    </w:rPr>
                    <w:t>300</w:t>
                  </w:r>
                  <w:r>
                    <w:rPr>
                      <w:rFonts w:ascii="Times New Roman" w:hAnsi="Times New Roman" w:eastAsia="宋体"/>
                      <w:sz w:val="21"/>
                      <w:szCs w:val="24"/>
                    </w:rPr>
                    <w:t>支</w:t>
                  </w:r>
                </w:p>
              </w:tc>
            </w:tr>
          </w:tbl>
          <w:p w14:paraId="4B31C191">
            <w:pPr>
              <w:pStyle w:val="4"/>
              <w:bidi w:val="0"/>
              <w:rPr>
                <w:rFonts w:hint="eastAsia"/>
                <w:lang w:eastAsia="zh-CN"/>
              </w:rPr>
            </w:pPr>
            <w:r>
              <w:rPr>
                <w:rFonts w:hint="eastAsia" w:ascii="Times New Roman" w:hAnsi="Times New Roman" w:eastAsia="宋体" w:cs="Times New Roman"/>
                <w:lang w:val="en-US" w:eastAsia="zh-CN"/>
              </w:rPr>
              <w:t>现有工程污染物排放情况及污染防治措施</w:t>
            </w:r>
          </w:p>
          <w:p w14:paraId="657E4234">
            <w:pPr>
              <w:spacing w:line="360" w:lineRule="auto"/>
              <w:ind w:firstLine="480"/>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（1）废水</w:t>
            </w:r>
          </w:p>
          <w:p w14:paraId="5439C4F0">
            <w:pPr>
              <w:spacing w:line="360" w:lineRule="auto"/>
              <w:ind w:firstLine="48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现有工程排放的污水主要是各科室排放的废水和医院医务人员及病人排放的生活污水，根据建设单位提供</w:t>
            </w:r>
            <w:r>
              <w:rPr>
                <w:rFonts w:hint="eastAsia" w:cs="Times New Roman"/>
                <w:color w:val="auto"/>
                <w:sz w:val="24"/>
                <w:szCs w:val="24"/>
                <w:highlight w:val="none"/>
                <w:lang w:val="en-US" w:eastAsia="zh-CN"/>
              </w:rPr>
              <w:t>的数据，</w:t>
            </w:r>
            <w:r>
              <w:rPr>
                <w:rFonts w:hint="default" w:ascii="Times New Roman" w:hAnsi="Times New Roman" w:eastAsia="宋体" w:cs="Times New Roman"/>
                <w:color w:val="auto"/>
                <w:sz w:val="24"/>
                <w:szCs w:val="24"/>
                <w:highlight w:val="none"/>
                <w:lang w:val="en-US" w:eastAsia="zh-CN"/>
              </w:rPr>
              <w:t>现有工程每天使用新鲜水约1</w:t>
            </w:r>
            <w:r>
              <w:rPr>
                <w:rFonts w:hint="eastAsia" w:cs="Times New Roman"/>
                <w:color w:val="auto"/>
                <w:sz w:val="24"/>
                <w:szCs w:val="24"/>
                <w:highlight w:val="none"/>
                <w:lang w:val="en-US" w:eastAsia="zh-CN"/>
              </w:rPr>
              <w:t>00</w:t>
            </w:r>
            <w:r>
              <w:rPr>
                <w:rFonts w:hint="default" w:ascii="Times New Roman" w:hAnsi="Times New Roman" w:eastAsia="宋体" w:cs="Times New Roman"/>
                <w:color w:val="auto"/>
                <w:sz w:val="24"/>
                <w:szCs w:val="24"/>
                <w:highlight w:val="none"/>
                <w:lang w:val="en-US" w:eastAsia="zh-CN"/>
              </w:rPr>
              <w:t>t</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d，每天排放废水约</w:t>
            </w:r>
            <w:r>
              <w:rPr>
                <w:rFonts w:hint="eastAsia" w:cs="Times New Roman"/>
                <w:color w:val="auto"/>
                <w:sz w:val="24"/>
                <w:szCs w:val="24"/>
                <w:highlight w:val="none"/>
                <w:lang w:val="en-US" w:eastAsia="zh-CN"/>
              </w:rPr>
              <w:t>80t</w:t>
            </w:r>
            <w:r>
              <w:rPr>
                <w:rFonts w:hint="default" w:ascii="Times New Roman" w:hAnsi="Times New Roman" w:eastAsia="宋体" w:cs="Times New Roman"/>
                <w:color w:val="auto"/>
                <w:sz w:val="24"/>
                <w:szCs w:val="24"/>
                <w:highlight w:val="none"/>
                <w:lang w:val="en-US" w:eastAsia="zh-CN"/>
              </w:rPr>
              <w:t>，年排放废水量为29200t</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a。经化粪池处理及医院污水处理站</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“液氯消毒法”</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处理能力</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80</w:t>
            </w:r>
            <w:r>
              <w:rPr>
                <w:rFonts w:hint="default" w:ascii="Times New Roman" w:hAnsi="Times New Roman" w:eastAsia="宋体" w:cs="Times New Roman"/>
                <w:color w:val="auto"/>
                <w:sz w:val="24"/>
                <w:szCs w:val="24"/>
                <w:highlight w:val="none"/>
                <w:lang w:val="en-US" w:eastAsia="zh-CN"/>
              </w:rPr>
              <w:t>t/d</w:t>
            </w:r>
            <w:r>
              <w:rPr>
                <w:rFonts w:hint="eastAsia" w:ascii="Times New Roman" w:hAnsi="Times New Roman" w:eastAsia="宋体" w:cs="Times New Roman"/>
                <w:color w:val="auto"/>
                <w:sz w:val="24"/>
                <w:szCs w:val="24"/>
                <w:highlight w:val="none"/>
                <w:lang w:val="en-US" w:eastAsia="zh-CN"/>
              </w:rPr>
              <w:t>，处理工艺详见下图</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处理后排入罗源城区污水处理厂处理。</w:t>
            </w:r>
          </w:p>
          <w:p w14:paraId="7D91CC0B">
            <w:pPr>
              <w:spacing w:line="360" w:lineRule="auto"/>
              <w:ind w:firstLine="480"/>
              <w:jc w:val="center"/>
            </w:pPr>
            <w:r>
              <w:drawing>
                <wp:inline distT="0" distB="0" distL="114300" distR="114300">
                  <wp:extent cx="3733800" cy="790575"/>
                  <wp:effectExtent l="0" t="0" r="0" b="9525"/>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pic:cNvPicPr>
                        </pic:nvPicPr>
                        <pic:blipFill>
                          <a:blip r:embed="rId14"/>
                          <a:stretch>
                            <a:fillRect/>
                          </a:stretch>
                        </pic:blipFill>
                        <pic:spPr>
                          <a:xfrm>
                            <a:off x="0" y="0"/>
                            <a:ext cx="3733800" cy="790575"/>
                          </a:xfrm>
                          <a:prstGeom prst="rect">
                            <a:avLst/>
                          </a:prstGeom>
                          <a:noFill/>
                          <a:ln>
                            <a:noFill/>
                          </a:ln>
                        </pic:spPr>
                      </pic:pic>
                    </a:graphicData>
                  </a:graphic>
                </wp:inline>
              </w:drawing>
            </w:r>
          </w:p>
          <w:p w14:paraId="6FA35B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center"/>
              <w:textAlignment w:val="auto"/>
              <w:rPr>
                <w:rFonts w:hint="default" w:ascii="Times New Roman" w:hAnsi="Times New Roman" w:eastAsia="宋体" w:cs="Times New Roman"/>
                <w:b/>
                <w:bCs/>
                <w:color w:val="auto"/>
                <w:kern w:val="2"/>
                <w:sz w:val="24"/>
                <w:szCs w:val="20"/>
                <w:highlight w:val="none"/>
                <w:lang w:val="en-US" w:eastAsia="zh-CN" w:bidi="ar-SA"/>
              </w:rPr>
            </w:pPr>
            <w:r>
              <w:rPr>
                <w:rFonts w:hint="eastAsia" w:ascii="Times New Roman" w:hAnsi="Times New Roman" w:eastAsia="宋体" w:cs="Times New Roman"/>
                <w:b/>
                <w:bCs/>
                <w:color w:val="auto"/>
                <w:kern w:val="2"/>
                <w:sz w:val="24"/>
                <w:szCs w:val="20"/>
                <w:highlight w:val="none"/>
                <w:lang w:val="en-US" w:eastAsia="zh-CN" w:bidi="ar-SA"/>
              </w:rPr>
              <w:t>图2.8-1 现有工程废水处理工艺流程图</w:t>
            </w:r>
          </w:p>
          <w:p w14:paraId="13B4F222">
            <w:pPr>
              <w:spacing w:line="360" w:lineRule="auto"/>
              <w:ind w:firstLine="48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w:t>
            </w:r>
            <w:r>
              <w:rPr>
                <w:rFonts w:hint="eastAsia" w:ascii="Times New Roman" w:hAnsi="Times New Roman" w:eastAsia="宋体" w:cs="Times New Roman"/>
                <w:color w:val="auto"/>
                <w:sz w:val="24"/>
                <w:szCs w:val="24"/>
                <w:highlight w:val="none"/>
                <w:lang w:val="en-US" w:eastAsia="zh-CN"/>
              </w:rPr>
              <w:t>2024年建设单位委托</w:t>
            </w:r>
            <w:r>
              <w:rPr>
                <w:rFonts w:hint="default" w:ascii="Times New Roman" w:hAnsi="Times New Roman" w:eastAsia="宋体" w:cs="Times New Roman"/>
                <w:color w:val="auto"/>
                <w:sz w:val="24"/>
                <w:szCs w:val="24"/>
                <w:highlight w:val="none"/>
                <w:lang w:val="en-US" w:eastAsia="zh-CN"/>
              </w:rPr>
              <w:t>福建汇顺检测集团有限公司对现有工程开展的废水监测结果</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报告编号</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HSHJ206512401</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详见</w:t>
            </w:r>
            <w:r>
              <w:rPr>
                <w:rFonts w:hint="default" w:ascii="Times New Roman" w:hAnsi="Times New Roman" w:eastAsia="宋体" w:cs="Times New Roman"/>
                <w:color w:val="auto"/>
                <w:sz w:val="24"/>
                <w:szCs w:val="24"/>
                <w:highlight w:val="none"/>
                <w:lang w:val="en-US" w:eastAsia="zh-CN"/>
              </w:rPr>
              <w:t>附件</w:t>
            </w:r>
            <w:r>
              <w:rPr>
                <w:rFonts w:hint="eastAsia" w:ascii="Times New Roman" w:hAnsi="Times New Roman" w:eastAsia="宋体" w:cs="Times New Roman"/>
                <w:color w:val="auto"/>
                <w:sz w:val="24"/>
                <w:szCs w:val="24"/>
                <w:highlight w:val="none"/>
                <w:lang w:val="en-US" w:eastAsia="zh-CN"/>
              </w:rPr>
              <w:t>6</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，项目废水经污水处理站处理后能达到《医疗机构水污染物排放标准》</w:t>
            </w:r>
            <w:r>
              <w:rPr>
                <w:rFonts w:hint="eastAsia" w:ascii="Times New Roman" w:hAnsi="Times New Roman" w:eastAsia="宋体" w:cs="Times New Roman"/>
                <w:color w:val="auto"/>
                <w:sz w:val="24"/>
                <w:szCs w:val="24"/>
                <w:highlight w:val="none"/>
                <w:lang w:val="en-US" w:eastAsia="zh-CN"/>
              </w:rPr>
              <w:t>（GB 18466</w:t>
            </w:r>
            <w:r>
              <w:rPr>
                <w:rFonts w:hint="default" w:ascii="Times New Roman" w:hAnsi="Times New Roman" w:eastAsia="宋体" w:cs="Times New Roman"/>
                <w:color w:val="auto"/>
                <w:sz w:val="24"/>
                <w:szCs w:val="24"/>
                <w:highlight w:val="none"/>
                <w:lang w:val="en-US" w:eastAsia="zh-CN"/>
              </w:rPr>
              <w:t>-2005</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表2综合医疗机构预处理标准要求</w:t>
            </w:r>
            <w:r>
              <w:rPr>
                <w:rFonts w:hint="eastAsia" w:ascii="Times New Roman" w:hAnsi="Times New Roman" w:eastAsia="宋体" w:cs="Times New Roman"/>
                <w:color w:val="auto"/>
                <w:sz w:val="24"/>
                <w:szCs w:val="24"/>
                <w:highlight w:val="none"/>
                <w:lang w:val="en-US" w:eastAsia="zh-CN"/>
              </w:rPr>
              <w:t>，其中余氯参照达到《污水排入城镇下水道水质标准》GB/T 31962-2015表1标准</w:t>
            </w:r>
            <w:r>
              <w:rPr>
                <w:rFonts w:hint="default" w:ascii="Times New Roman" w:hAnsi="Times New Roman" w:eastAsia="宋体" w:cs="Times New Roman"/>
                <w:color w:val="auto"/>
                <w:sz w:val="24"/>
                <w:szCs w:val="24"/>
                <w:highlight w:val="none"/>
                <w:lang w:val="en-US" w:eastAsia="zh-CN"/>
              </w:rPr>
              <w:t>。</w:t>
            </w:r>
          </w:p>
          <w:p w14:paraId="7A3291E3">
            <w:pPr>
              <w:pStyle w:val="44"/>
              <w:keepNext/>
              <w:keepLines/>
              <w:pageBreakBefore w:val="0"/>
              <w:widowControl w:val="0"/>
              <w:numPr>
                <w:ilvl w:val="7"/>
                <w:numId w:val="10"/>
              </w:numPr>
              <w:tabs>
                <w:tab w:val="left" w:pos="0"/>
              </w:tabs>
              <w:kinsoku/>
              <w:wordWrap/>
              <w:overflowPunct/>
              <w:topLinePunct w:val="0"/>
              <w:autoSpaceDE/>
              <w:autoSpaceDN/>
              <w:bidi w:val="0"/>
              <w:adjustRightInd/>
              <w:snapToGrid/>
              <w:spacing w:before="0" w:after="0"/>
              <w:ind w:left="630" w:leftChars="0" w:firstLineChars="0"/>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现有工程污水排放检测结果</w:t>
            </w:r>
          </w:p>
          <w:tbl>
            <w:tblPr>
              <w:tblStyle w:val="34"/>
              <w:tblW w:w="0" w:type="auto"/>
              <w:tblInd w:w="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207"/>
              <w:gridCol w:w="2372"/>
              <w:gridCol w:w="967"/>
              <w:gridCol w:w="981"/>
              <w:gridCol w:w="967"/>
              <w:gridCol w:w="1318"/>
              <w:gridCol w:w="967"/>
            </w:tblGrid>
            <w:tr w14:paraId="5D560E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15" w:hRule="atLeast"/>
              </w:trPr>
              <w:tc>
                <w:tcPr>
                  <w:tcW w:w="0" w:type="auto"/>
                  <w:vMerge w:val="restart"/>
                  <w:tcBorders>
                    <w:tl2br w:val="nil"/>
                    <w:tr2bl w:val="nil"/>
                  </w:tcBorders>
                  <w:shd w:val="clear" w:color="auto" w:fill="auto"/>
                  <w:vAlign w:val="center"/>
                </w:tcPr>
                <w:p w14:paraId="0FA72A07">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来样名称</w:t>
                  </w:r>
                </w:p>
              </w:tc>
              <w:tc>
                <w:tcPr>
                  <w:tcW w:w="0" w:type="auto"/>
                  <w:vMerge w:val="restart"/>
                  <w:tcBorders>
                    <w:tl2br w:val="nil"/>
                    <w:tr2bl w:val="nil"/>
                  </w:tcBorders>
                  <w:shd w:val="clear" w:color="auto" w:fill="auto"/>
                  <w:vAlign w:val="center"/>
                </w:tcPr>
                <w:p w14:paraId="425E385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来样编号</w:t>
                  </w:r>
                </w:p>
              </w:tc>
              <w:tc>
                <w:tcPr>
                  <w:tcW w:w="0" w:type="auto"/>
                  <w:gridSpan w:val="5"/>
                  <w:tcBorders>
                    <w:tl2br w:val="nil"/>
                    <w:tr2bl w:val="nil"/>
                  </w:tcBorders>
                  <w:shd w:val="clear" w:color="auto" w:fill="auto"/>
                  <w:vAlign w:val="center"/>
                </w:tcPr>
                <w:p w14:paraId="317F1A7C">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检测项目及结果</w:t>
                  </w:r>
                </w:p>
              </w:tc>
            </w:tr>
            <w:tr w14:paraId="30407DC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0" w:type="auto"/>
                  <w:vMerge w:val="continue"/>
                  <w:tcBorders>
                    <w:bottom w:val="single" w:color="000000" w:sz="12" w:space="0"/>
                    <w:tl2br w:val="nil"/>
                    <w:tr2bl w:val="nil"/>
                  </w:tcBorders>
                  <w:shd w:val="clear" w:color="auto" w:fill="auto"/>
                  <w:vAlign w:val="center"/>
                </w:tcPr>
                <w:p w14:paraId="6F251FD9">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p>
              </w:tc>
              <w:tc>
                <w:tcPr>
                  <w:tcW w:w="0" w:type="auto"/>
                  <w:vMerge w:val="continue"/>
                  <w:tcBorders>
                    <w:bottom w:val="single" w:color="000000" w:sz="12" w:space="0"/>
                    <w:tl2br w:val="nil"/>
                    <w:tr2bl w:val="nil"/>
                  </w:tcBorders>
                  <w:shd w:val="clear" w:color="auto" w:fill="auto"/>
                  <w:vAlign w:val="center"/>
                </w:tcPr>
                <w:p w14:paraId="1873A9B6">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p>
              </w:tc>
              <w:tc>
                <w:tcPr>
                  <w:tcW w:w="0" w:type="auto"/>
                  <w:tcBorders>
                    <w:bottom w:val="single" w:color="000000" w:sz="12" w:space="0"/>
                    <w:tl2br w:val="nil"/>
                    <w:tr2bl w:val="nil"/>
                  </w:tcBorders>
                  <w:shd w:val="clear" w:color="auto" w:fill="auto"/>
                  <w:vAlign w:val="center"/>
                </w:tcPr>
                <w:p w14:paraId="4CEE963C">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氨氮</w:t>
                  </w:r>
                  <w:r>
                    <w:rPr>
                      <w:rFonts w:hint="eastAsia" w:ascii="Times New Roman" w:hAnsi="Times New Roman" w:eastAsia="宋体" w:cs="Times New Roman"/>
                      <w:color w:val="auto"/>
                      <w:sz w:val="21"/>
                      <w:szCs w:val="24"/>
                      <w:highlight w:val="none"/>
                      <w:lang w:val="en-US" w:eastAsia="zh-CN"/>
                    </w:rPr>
                    <w:br w:type="textWrapping"/>
                  </w:r>
                  <w:r>
                    <w:rPr>
                      <w:rFonts w:hint="eastAsia" w:ascii="Times New Roman" w:hAnsi="Times New Roman" w:eastAsia="宋体" w:cs="Times New Roman"/>
                      <w:color w:val="auto"/>
                      <w:sz w:val="21"/>
                      <w:szCs w:val="24"/>
                      <w:highlight w:val="none"/>
                      <w:lang w:val="en-US" w:eastAsia="zh-CN"/>
                    </w:rPr>
                    <w:t>(mg/L)</w:t>
                  </w:r>
                </w:p>
              </w:tc>
              <w:tc>
                <w:tcPr>
                  <w:tcW w:w="0" w:type="auto"/>
                  <w:tcBorders>
                    <w:bottom w:val="single" w:color="000000" w:sz="12" w:space="0"/>
                    <w:tl2br w:val="nil"/>
                    <w:tr2bl w:val="nil"/>
                  </w:tcBorders>
                  <w:shd w:val="clear" w:color="auto" w:fill="auto"/>
                  <w:vAlign w:val="center"/>
                </w:tcPr>
                <w:p w14:paraId="567015E7">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CODcr</w:t>
                  </w:r>
                  <w:r>
                    <w:rPr>
                      <w:rFonts w:hint="eastAsia" w:ascii="Times New Roman" w:hAnsi="Times New Roman" w:eastAsia="宋体" w:cs="Times New Roman"/>
                      <w:color w:val="auto"/>
                      <w:sz w:val="21"/>
                      <w:szCs w:val="24"/>
                      <w:highlight w:val="none"/>
                      <w:lang w:val="en-US" w:eastAsia="zh-CN"/>
                    </w:rPr>
                    <w:br w:type="textWrapping"/>
                  </w:r>
                  <w:r>
                    <w:rPr>
                      <w:rFonts w:hint="eastAsia" w:ascii="Times New Roman" w:hAnsi="Times New Roman" w:eastAsia="宋体" w:cs="Times New Roman"/>
                      <w:color w:val="auto"/>
                      <w:sz w:val="21"/>
                      <w:szCs w:val="24"/>
                      <w:highlight w:val="none"/>
                      <w:lang w:val="en-US" w:eastAsia="zh-CN"/>
                    </w:rPr>
                    <w:t>(mg/L)</w:t>
                  </w:r>
                </w:p>
              </w:tc>
              <w:tc>
                <w:tcPr>
                  <w:tcW w:w="0" w:type="auto"/>
                  <w:tcBorders>
                    <w:bottom w:val="single" w:color="000000" w:sz="12" w:space="0"/>
                    <w:tl2br w:val="nil"/>
                    <w:tr2bl w:val="nil"/>
                  </w:tcBorders>
                  <w:shd w:val="clear" w:color="auto" w:fill="auto"/>
                  <w:vAlign w:val="center"/>
                </w:tcPr>
                <w:p w14:paraId="1A8A469B">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SS</w:t>
                  </w:r>
                  <w:r>
                    <w:rPr>
                      <w:rFonts w:hint="eastAsia" w:ascii="Times New Roman" w:hAnsi="Times New Roman" w:eastAsia="宋体" w:cs="Times New Roman"/>
                      <w:color w:val="auto"/>
                      <w:sz w:val="21"/>
                      <w:szCs w:val="24"/>
                      <w:highlight w:val="none"/>
                      <w:lang w:val="en-US" w:eastAsia="zh-CN"/>
                    </w:rPr>
                    <w:br w:type="textWrapping"/>
                  </w:r>
                  <w:r>
                    <w:rPr>
                      <w:rFonts w:hint="eastAsia" w:ascii="Times New Roman" w:hAnsi="Times New Roman" w:eastAsia="宋体" w:cs="Times New Roman"/>
                      <w:color w:val="auto"/>
                      <w:sz w:val="21"/>
                      <w:szCs w:val="24"/>
                      <w:highlight w:val="none"/>
                      <w:lang w:val="en-US" w:eastAsia="zh-CN"/>
                    </w:rPr>
                    <w:t>(mg/L)</w:t>
                  </w:r>
                </w:p>
              </w:tc>
              <w:tc>
                <w:tcPr>
                  <w:tcW w:w="0" w:type="auto"/>
                  <w:tcBorders>
                    <w:bottom w:val="single" w:color="000000" w:sz="12" w:space="0"/>
                    <w:tl2br w:val="nil"/>
                    <w:tr2bl w:val="nil"/>
                  </w:tcBorders>
                  <w:shd w:val="clear" w:color="auto" w:fill="auto"/>
                  <w:vAlign w:val="center"/>
                </w:tcPr>
                <w:p w14:paraId="6BEA2EC5">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粪大肠菌群</w:t>
                  </w:r>
                  <w:r>
                    <w:rPr>
                      <w:rFonts w:hint="eastAsia" w:ascii="Times New Roman" w:hAnsi="Times New Roman" w:eastAsia="宋体" w:cs="Times New Roman"/>
                      <w:color w:val="auto"/>
                      <w:sz w:val="21"/>
                      <w:szCs w:val="24"/>
                      <w:highlight w:val="none"/>
                      <w:lang w:val="en-US" w:eastAsia="zh-CN"/>
                    </w:rPr>
                    <w:br w:type="textWrapping"/>
                  </w:r>
                  <w:r>
                    <w:rPr>
                      <w:rFonts w:hint="eastAsia" w:ascii="Times New Roman" w:hAnsi="Times New Roman" w:eastAsia="宋体" w:cs="Times New Roman"/>
                      <w:color w:val="auto"/>
                      <w:sz w:val="21"/>
                      <w:szCs w:val="24"/>
                      <w:highlight w:val="none"/>
                      <w:lang w:val="en-US" w:eastAsia="zh-CN"/>
                    </w:rPr>
                    <w:t>(MPN</w:t>
                  </w:r>
                  <w:r>
                    <w:rPr>
                      <w:rFonts w:hint="eastAsia" w:cs="Times New Roman"/>
                      <w:color w:val="auto"/>
                      <w:sz w:val="21"/>
                      <w:szCs w:val="24"/>
                      <w:highlight w:val="none"/>
                      <w:lang w:val="en-US" w:eastAsia="zh-CN"/>
                    </w:rPr>
                    <w:t>/</w:t>
                  </w:r>
                  <w:r>
                    <w:rPr>
                      <w:rFonts w:hint="eastAsia" w:ascii="Times New Roman" w:hAnsi="Times New Roman" w:eastAsia="宋体" w:cs="Times New Roman"/>
                      <w:color w:val="auto"/>
                      <w:sz w:val="21"/>
                      <w:szCs w:val="24"/>
                      <w:highlight w:val="none"/>
                      <w:lang w:val="en-US" w:eastAsia="zh-CN"/>
                    </w:rPr>
                    <w:t>L)</w:t>
                  </w:r>
                </w:p>
              </w:tc>
              <w:tc>
                <w:tcPr>
                  <w:tcW w:w="0" w:type="auto"/>
                  <w:tcBorders>
                    <w:bottom w:val="single" w:color="000000" w:sz="12" w:space="0"/>
                    <w:tl2br w:val="nil"/>
                    <w:tr2bl w:val="nil"/>
                  </w:tcBorders>
                  <w:shd w:val="clear" w:color="auto" w:fill="auto"/>
                  <w:vAlign w:val="center"/>
                </w:tcPr>
                <w:p w14:paraId="24BF09A6">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余氯</w:t>
                  </w:r>
                  <w:r>
                    <w:rPr>
                      <w:rFonts w:hint="eastAsia" w:ascii="Times New Roman" w:hAnsi="Times New Roman" w:eastAsia="宋体" w:cs="Times New Roman"/>
                      <w:color w:val="auto"/>
                      <w:sz w:val="21"/>
                      <w:szCs w:val="24"/>
                      <w:highlight w:val="none"/>
                      <w:lang w:val="en-US" w:eastAsia="zh-CN"/>
                    </w:rPr>
                    <w:br w:type="textWrapping"/>
                  </w:r>
                  <w:r>
                    <w:rPr>
                      <w:rFonts w:hint="eastAsia" w:ascii="Times New Roman" w:hAnsi="Times New Roman" w:eastAsia="宋体" w:cs="Times New Roman"/>
                      <w:color w:val="auto"/>
                      <w:sz w:val="21"/>
                      <w:szCs w:val="24"/>
                      <w:highlight w:val="none"/>
                      <w:lang w:val="en-US" w:eastAsia="zh-CN"/>
                    </w:rPr>
                    <w:t>(mg/L)</w:t>
                  </w:r>
                </w:p>
              </w:tc>
            </w:tr>
            <w:tr w14:paraId="33B592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0" w:type="auto"/>
                  <w:tcBorders>
                    <w:top w:val="single" w:color="000000" w:sz="12" w:space="0"/>
                    <w:tl2br w:val="nil"/>
                    <w:tr2bl w:val="nil"/>
                  </w:tcBorders>
                  <w:shd w:val="clear" w:color="auto" w:fill="auto"/>
                  <w:vAlign w:val="center"/>
                </w:tcPr>
                <w:p w14:paraId="13D3A0C9">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污水处理设备出口</w:t>
                  </w:r>
                </w:p>
              </w:tc>
              <w:tc>
                <w:tcPr>
                  <w:tcW w:w="0" w:type="auto"/>
                  <w:tcBorders>
                    <w:top w:val="single" w:color="000000" w:sz="12" w:space="0"/>
                    <w:tl2br w:val="nil"/>
                    <w:tr2bl w:val="nil"/>
                  </w:tcBorders>
                  <w:shd w:val="clear" w:color="auto" w:fill="auto"/>
                  <w:vAlign w:val="center"/>
                </w:tcPr>
                <w:p w14:paraId="6C1517F6">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20651240117W0101</w:t>
                  </w:r>
                </w:p>
              </w:tc>
              <w:tc>
                <w:tcPr>
                  <w:tcW w:w="0" w:type="auto"/>
                  <w:tcBorders>
                    <w:top w:val="single" w:color="000000" w:sz="12" w:space="0"/>
                    <w:tl2br w:val="nil"/>
                    <w:tr2bl w:val="nil"/>
                  </w:tcBorders>
                  <w:shd w:val="clear" w:color="auto" w:fill="auto"/>
                  <w:vAlign w:val="center"/>
                </w:tcPr>
                <w:p w14:paraId="3F7A8A06">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42.3</w:t>
                  </w:r>
                </w:p>
              </w:tc>
              <w:tc>
                <w:tcPr>
                  <w:tcW w:w="0" w:type="auto"/>
                  <w:tcBorders>
                    <w:top w:val="single" w:color="000000" w:sz="12" w:space="0"/>
                    <w:tl2br w:val="nil"/>
                    <w:tr2bl w:val="nil"/>
                  </w:tcBorders>
                  <w:shd w:val="clear" w:color="auto" w:fill="auto"/>
                  <w:vAlign w:val="center"/>
                </w:tcPr>
                <w:p w14:paraId="1341A635">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96</w:t>
                  </w:r>
                </w:p>
              </w:tc>
              <w:tc>
                <w:tcPr>
                  <w:tcW w:w="0" w:type="auto"/>
                  <w:tcBorders>
                    <w:top w:val="single" w:color="000000" w:sz="12" w:space="0"/>
                    <w:tl2br w:val="nil"/>
                    <w:tr2bl w:val="nil"/>
                  </w:tcBorders>
                  <w:shd w:val="clear" w:color="auto" w:fill="auto"/>
                  <w:vAlign w:val="center"/>
                </w:tcPr>
                <w:p w14:paraId="6C4FF016">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10</w:t>
                  </w:r>
                </w:p>
              </w:tc>
              <w:tc>
                <w:tcPr>
                  <w:tcW w:w="0" w:type="auto"/>
                  <w:tcBorders>
                    <w:top w:val="single" w:color="000000" w:sz="12" w:space="0"/>
                    <w:tl2br w:val="nil"/>
                    <w:tr2bl w:val="nil"/>
                  </w:tcBorders>
                  <w:shd w:val="clear" w:color="auto" w:fill="auto"/>
                  <w:vAlign w:val="center"/>
                </w:tcPr>
                <w:p w14:paraId="6868C29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170</w:t>
                  </w:r>
                </w:p>
              </w:tc>
              <w:tc>
                <w:tcPr>
                  <w:tcW w:w="0" w:type="auto"/>
                  <w:tcBorders>
                    <w:top w:val="single" w:color="000000" w:sz="12" w:space="0"/>
                    <w:tl2br w:val="nil"/>
                    <w:tr2bl w:val="nil"/>
                  </w:tcBorders>
                  <w:shd w:val="clear" w:color="auto" w:fill="auto"/>
                  <w:vAlign w:val="center"/>
                </w:tcPr>
                <w:p w14:paraId="7AA8CD84">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2.65</w:t>
                  </w:r>
                </w:p>
              </w:tc>
            </w:tr>
            <w:tr w14:paraId="0FAA56B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10" w:hRule="atLeast"/>
              </w:trPr>
              <w:tc>
                <w:tcPr>
                  <w:tcW w:w="0" w:type="auto"/>
                  <w:gridSpan w:val="2"/>
                  <w:tcBorders>
                    <w:tl2br w:val="nil"/>
                    <w:tr2bl w:val="nil"/>
                  </w:tcBorders>
                  <w:shd w:val="clear" w:color="auto" w:fill="auto"/>
                  <w:vAlign w:val="center"/>
                </w:tcPr>
                <w:p w14:paraId="3BDCF2D6">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执行标准</w:t>
                  </w:r>
                </w:p>
              </w:tc>
              <w:tc>
                <w:tcPr>
                  <w:tcW w:w="0" w:type="auto"/>
                  <w:tcBorders>
                    <w:tl2br w:val="nil"/>
                    <w:tr2bl w:val="nil"/>
                  </w:tcBorders>
                  <w:shd w:val="clear" w:color="auto" w:fill="auto"/>
                  <w:vAlign w:val="center"/>
                </w:tcPr>
                <w:p w14:paraId="3198391B">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≤45</w:t>
                  </w:r>
                </w:p>
              </w:tc>
              <w:tc>
                <w:tcPr>
                  <w:tcW w:w="0" w:type="auto"/>
                  <w:tcBorders>
                    <w:tl2br w:val="nil"/>
                    <w:tr2bl w:val="nil"/>
                  </w:tcBorders>
                  <w:shd w:val="clear" w:color="auto" w:fill="auto"/>
                  <w:vAlign w:val="center"/>
                </w:tcPr>
                <w:p w14:paraId="36FD85A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≤250</w:t>
                  </w:r>
                </w:p>
              </w:tc>
              <w:tc>
                <w:tcPr>
                  <w:tcW w:w="0" w:type="auto"/>
                  <w:tcBorders>
                    <w:tl2br w:val="nil"/>
                    <w:tr2bl w:val="nil"/>
                  </w:tcBorders>
                  <w:shd w:val="clear" w:color="auto" w:fill="auto"/>
                  <w:vAlign w:val="center"/>
                </w:tcPr>
                <w:p w14:paraId="10DFD8D1">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≤60</w:t>
                  </w:r>
                </w:p>
              </w:tc>
              <w:tc>
                <w:tcPr>
                  <w:tcW w:w="0" w:type="auto"/>
                  <w:tcBorders>
                    <w:tl2br w:val="nil"/>
                    <w:tr2bl w:val="nil"/>
                  </w:tcBorders>
                  <w:shd w:val="clear" w:color="auto" w:fill="auto"/>
                  <w:vAlign w:val="center"/>
                </w:tcPr>
                <w:p w14:paraId="31E55876">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≤5000</w:t>
                  </w:r>
                </w:p>
              </w:tc>
              <w:tc>
                <w:tcPr>
                  <w:tcW w:w="0" w:type="auto"/>
                  <w:tcBorders>
                    <w:tl2br w:val="nil"/>
                    <w:tr2bl w:val="nil"/>
                  </w:tcBorders>
                  <w:shd w:val="clear" w:color="auto" w:fill="auto"/>
                  <w:vAlign w:val="center"/>
                </w:tcPr>
                <w:p w14:paraId="2E8EA680">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2-8</w:t>
                  </w:r>
                </w:p>
              </w:tc>
            </w:tr>
            <w:tr w14:paraId="4F62FF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10" w:hRule="atLeast"/>
              </w:trPr>
              <w:tc>
                <w:tcPr>
                  <w:tcW w:w="0" w:type="auto"/>
                  <w:gridSpan w:val="2"/>
                  <w:tcBorders>
                    <w:tl2br w:val="nil"/>
                    <w:tr2bl w:val="nil"/>
                  </w:tcBorders>
                  <w:shd w:val="clear" w:color="auto" w:fill="auto"/>
                  <w:vAlign w:val="center"/>
                </w:tcPr>
                <w:p w14:paraId="1F5C1C18">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检测结论</w:t>
                  </w:r>
                </w:p>
              </w:tc>
              <w:tc>
                <w:tcPr>
                  <w:tcW w:w="0" w:type="auto"/>
                  <w:tcBorders>
                    <w:tl2br w:val="nil"/>
                    <w:tr2bl w:val="nil"/>
                  </w:tcBorders>
                  <w:shd w:val="clear" w:color="auto" w:fill="auto"/>
                  <w:vAlign w:val="center"/>
                </w:tcPr>
                <w:p w14:paraId="7CB79B8B">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达标</w:t>
                  </w:r>
                </w:p>
              </w:tc>
              <w:tc>
                <w:tcPr>
                  <w:tcW w:w="0" w:type="auto"/>
                  <w:tcBorders>
                    <w:tl2br w:val="nil"/>
                    <w:tr2bl w:val="nil"/>
                  </w:tcBorders>
                  <w:shd w:val="clear" w:color="auto" w:fill="auto"/>
                  <w:vAlign w:val="center"/>
                </w:tcPr>
                <w:p w14:paraId="2EA49BE6">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达标</w:t>
                  </w:r>
                </w:p>
              </w:tc>
              <w:tc>
                <w:tcPr>
                  <w:tcW w:w="0" w:type="auto"/>
                  <w:tcBorders>
                    <w:tl2br w:val="nil"/>
                    <w:tr2bl w:val="nil"/>
                  </w:tcBorders>
                  <w:shd w:val="clear" w:color="auto" w:fill="auto"/>
                  <w:vAlign w:val="center"/>
                </w:tcPr>
                <w:p w14:paraId="07FB9599">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达标</w:t>
                  </w:r>
                </w:p>
              </w:tc>
              <w:tc>
                <w:tcPr>
                  <w:tcW w:w="0" w:type="auto"/>
                  <w:tcBorders>
                    <w:tl2br w:val="nil"/>
                    <w:tr2bl w:val="nil"/>
                  </w:tcBorders>
                  <w:shd w:val="clear" w:color="auto" w:fill="auto"/>
                  <w:vAlign w:val="center"/>
                </w:tcPr>
                <w:p w14:paraId="17B0D571">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达标</w:t>
                  </w:r>
                </w:p>
              </w:tc>
              <w:tc>
                <w:tcPr>
                  <w:tcW w:w="0" w:type="auto"/>
                  <w:tcBorders>
                    <w:tl2br w:val="nil"/>
                    <w:tr2bl w:val="nil"/>
                  </w:tcBorders>
                  <w:shd w:val="clear" w:color="auto" w:fill="auto"/>
                  <w:vAlign w:val="center"/>
                </w:tcPr>
                <w:p w14:paraId="195B266A">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达标</w:t>
                  </w:r>
                </w:p>
              </w:tc>
            </w:tr>
            <w:tr w14:paraId="6725671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0" w:type="auto"/>
                  <w:gridSpan w:val="7"/>
                  <w:tcBorders>
                    <w:tl2br w:val="nil"/>
                    <w:tr2bl w:val="nil"/>
                  </w:tcBorders>
                  <w:shd w:val="clear" w:color="auto" w:fill="auto"/>
                  <w:vAlign w:val="center"/>
                </w:tcPr>
                <w:p w14:paraId="44A4E2F7">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备注：执行GB18466-2005《医疗机构水污染物排放标准》表2标准，其中</w:t>
                  </w:r>
                  <w:r>
                    <w:rPr>
                      <w:rFonts w:hint="eastAsia" w:cs="Times New Roman"/>
                      <w:color w:val="auto"/>
                      <w:sz w:val="21"/>
                      <w:szCs w:val="24"/>
                      <w:highlight w:val="none"/>
                      <w:lang w:val="en-US" w:eastAsia="zh-CN"/>
                    </w:rPr>
                    <w:t>余氯</w:t>
                  </w:r>
                  <w:r>
                    <w:rPr>
                      <w:rFonts w:hint="eastAsia" w:ascii="Times New Roman" w:hAnsi="Times New Roman" w:eastAsia="宋体" w:cs="Times New Roman"/>
                      <w:color w:val="auto"/>
                      <w:sz w:val="21"/>
                      <w:szCs w:val="24"/>
                      <w:highlight w:val="none"/>
                      <w:lang w:val="en-US" w:eastAsia="zh-CN"/>
                    </w:rPr>
                    <w:t>参照执行</w:t>
                  </w:r>
                  <w:r>
                    <w:rPr>
                      <w:rFonts w:hint="eastAsia" w:cs="Times New Roman"/>
                      <w:color w:val="auto"/>
                      <w:sz w:val="21"/>
                      <w:szCs w:val="24"/>
                      <w:highlight w:val="none"/>
                      <w:lang w:val="en-US" w:eastAsia="zh-CN"/>
                    </w:rPr>
                    <w:t>GB/T 31962-2015</w:t>
                  </w:r>
                  <w:r>
                    <w:rPr>
                      <w:rFonts w:hint="eastAsia" w:ascii="Times New Roman" w:hAnsi="Times New Roman" w:eastAsia="宋体" w:cs="Times New Roman"/>
                      <w:color w:val="auto"/>
                      <w:sz w:val="21"/>
                      <w:szCs w:val="24"/>
                      <w:highlight w:val="none"/>
                      <w:lang w:val="en-US" w:eastAsia="zh-CN"/>
                    </w:rPr>
                    <w:t>《污水排入城镇下水道水质标准》表1标准。</w:t>
                  </w:r>
                </w:p>
              </w:tc>
            </w:tr>
          </w:tbl>
          <w:p w14:paraId="5388C6ED">
            <w:pPr>
              <w:spacing w:line="360" w:lineRule="auto"/>
              <w:ind w:firstLine="48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lang w:val="en-US" w:eastAsia="zh-CN"/>
              </w:rPr>
              <w:t>废气</w:t>
            </w:r>
          </w:p>
          <w:p w14:paraId="7F8EDF44">
            <w:pPr>
              <w:spacing w:line="360" w:lineRule="auto"/>
              <w:ind w:firstLine="48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医院现有工程不设锅炉，不建焚烧炉，主要废气为污水处理设施恶臭以及汽车尾气等。污水处理设施为</w:t>
            </w:r>
            <w:r>
              <w:rPr>
                <w:rFonts w:hint="eastAsia" w:ascii="Times New Roman" w:hAnsi="Times New Roman" w:eastAsia="宋体" w:cs="Times New Roman"/>
                <w:color w:val="auto"/>
                <w:sz w:val="24"/>
                <w:szCs w:val="24"/>
                <w:highlight w:val="none"/>
                <w:lang w:val="en-US" w:eastAsia="zh-CN"/>
              </w:rPr>
              <w:t>密闭加盖</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可有效阻止</w:t>
            </w:r>
            <w:r>
              <w:rPr>
                <w:rFonts w:hint="default" w:ascii="Times New Roman" w:hAnsi="Times New Roman" w:eastAsia="宋体" w:cs="Times New Roman"/>
                <w:color w:val="auto"/>
                <w:sz w:val="24"/>
                <w:szCs w:val="24"/>
                <w:highlight w:val="none"/>
                <w:lang w:val="en-US" w:eastAsia="zh-CN"/>
              </w:rPr>
              <w:t>污水处理设施恶臭</w:t>
            </w:r>
            <w:r>
              <w:rPr>
                <w:rFonts w:hint="eastAsia" w:ascii="Times New Roman" w:hAnsi="Times New Roman" w:eastAsia="宋体" w:cs="Times New Roman"/>
                <w:color w:val="auto"/>
                <w:sz w:val="24"/>
                <w:szCs w:val="24"/>
                <w:highlight w:val="none"/>
                <w:lang w:val="en-US" w:eastAsia="zh-CN"/>
              </w:rPr>
              <w:t>无组织排放</w:t>
            </w:r>
            <w:r>
              <w:rPr>
                <w:rFonts w:hint="default" w:ascii="Times New Roman" w:hAnsi="Times New Roman" w:eastAsia="宋体" w:cs="Times New Roman"/>
                <w:color w:val="auto"/>
                <w:sz w:val="24"/>
                <w:szCs w:val="24"/>
                <w:highlight w:val="none"/>
                <w:lang w:val="en-US" w:eastAsia="zh-CN"/>
              </w:rPr>
              <w:t>，停车场为地上停车场，汽车尾气无组织排放于大气</w:t>
            </w:r>
            <w:r>
              <w:rPr>
                <w:rFonts w:hint="eastAsia" w:cs="Times New Roman"/>
                <w:color w:val="auto"/>
                <w:sz w:val="24"/>
                <w:szCs w:val="24"/>
                <w:highlight w:val="none"/>
                <w:lang w:val="en-US" w:eastAsia="zh-CN"/>
              </w:rPr>
              <w:t>环境</w:t>
            </w:r>
            <w:r>
              <w:rPr>
                <w:rFonts w:hint="default" w:ascii="Times New Roman" w:hAnsi="Times New Roman" w:eastAsia="宋体" w:cs="Times New Roman"/>
                <w:color w:val="auto"/>
                <w:sz w:val="24"/>
                <w:szCs w:val="24"/>
                <w:highlight w:val="none"/>
                <w:lang w:val="en-US" w:eastAsia="zh-CN"/>
              </w:rPr>
              <w:t>。</w:t>
            </w:r>
          </w:p>
          <w:p w14:paraId="71864A5C">
            <w:pPr>
              <w:spacing w:line="360" w:lineRule="auto"/>
              <w:ind w:firstLine="48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噪声</w:t>
            </w:r>
          </w:p>
          <w:p w14:paraId="0EFD98A6">
            <w:pPr>
              <w:spacing w:line="360" w:lineRule="auto"/>
              <w:ind w:firstLine="48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罗源县中医院</w:t>
            </w:r>
            <w:r>
              <w:rPr>
                <w:rFonts w:hint="default" w:ascii="Times New Roman" w:hAnsi="Times New Roman" w:eastAsia="宋体" w:cs="Times New Roman"/>
                <w:color w:val="auto"/>
                <w:sz w:val="24"/>
                <w:szCs w:val="24"/>
                <w:highlight w:val="none"/>
                <w:lang w:val="en-US" w:eastAsia="zh-CN"/>
              </w:rPr>
              <w:t>现有噪声源主要</w:t>
            </w:r>
            <w:r>
              <w:rPr>
                <w:rFonts w:hint="eastAsia" w:cs="Times New Roman"/>
                <w:color w:val="auto"/>
                <w:sz w:val="24"/>
                <w:szCs w:val="24"/>
                <w:highlight w:val="none"/>
                <w:lang w:val="en-US" w:eastAsia="zh-CN"/>
              </w:rPr>
              <w:t>来自</w:t>
            </w:r>
            <w:r>
              <w:rPr>
                <w:rFonts w:hint="default" w:ascii="Times New Roman" w:hAnsi="Times New Roman" w:eastAsia="宋体" w:cs="Times New Roman"/>
                <w:color w:val="auto"/>
                <w:sz w:val="24"/>
                <w:szCs w:val="24"/>
                <w:highlight w:val="none"/>
                <w:lang w:val="en-US" w:eastAsia="zh-CN"/>
              </w:rPr>
              <w:t>设备噪声</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包括医疗设备和公用设施设备</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、医疗活动产生的社会生活噪声和区域车辆行驶噪声。</w:t>
            </w:r>
          </w:p>
          <w:p w14:paraId="5FB126A4">
            <w:pPr>
              <w:spacing w:line="360" w:lineRule="auto"/>
              <w:ind w:firstLine="48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项目所使用的医疗设备大多噪声源强小于60dB</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A</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，在室内封闭运行，供水水泵、污水处理设施水泵和曝气设备均位于地下，运行时噪声影响不大。</w:t>
            </w:r>
          </w:p>
          <w:p w14:paraId="230DB8DD">
            <w:pPr>
              <w:spacing w:line="360" w:lineRule="auto"/>
              <w:ind w:firstLine="48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日常医疗就诊活动产生的社会生活噪声因人流量不同而有所差异，根据类比，一般此类社会生活噪声在昼间高峰期最大</w:t>
            </w:r>
            <w:r>
              <w:rPr>
                <w:rFonts w:hint="eastAsia" w:cs="Times New Roman"/>
                <w:color w:val="auto"/>
                <w:sz w:val="24"/>
                <w:szCs w:val="24"/>
                <w:highlight w:val="none"/>
                <w:lang w:val="en-US" w:eastAsia="zh-CN"/>
              </w:rPr>
              <w:t>为</w:t>
            </w:r>
            <w:r>
              <w:rPr>
                <w:rFonts w:hint="default" w:ascii="Times New Roman" w:hAnsi="Times New Roman" w:eastAsia="宋体" w:cs="Times New Roman"/>
                <w:color w:val="auto"/>
                <w:sz w:val="24"/>
                <w:szCs w:val="24"/>
                <w:highlight w:val="none"/>
                <w:lang w:val="en-US" w:eastAsia="zh-CN"/>
              </w:rPr>
              <w:t>65dB</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A</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左右，而夜间由于人流量很少，其噪声值很小，对环境基本没有影响。</w:t>
            </w:r>
          </w:p>
          <w:p w14:paraId="5BEEB24F">
            <w:pPr>
              <w:spacing w:line="360" w:lineRule="auto"/>
              <w:ind w:firstLine="48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由于</w:t>
            </w:r>
            <w:r>
              <w:rPr>
                <w:rFonts w:hint="eastAsia" w:cs="Times New Roman"/>
                <w:color w:val="auto"/>
                <w:sz w:val="24"/>
                <w:szCs w:val="24"/>
                <w:highlight w:val="none"/>
                <w:lang w:val="en-US" w:eastAsia="zh-CN"/>
              </w:rPr>
              <w:t>医院</w:t>
            </w:r>
            <w:r>
              <w:rPr>
                <w:rFonts w:hint="default" w:ascii="Times New Roman" w:hAnsi="Times New Roman" w:eastAsia="宋体" w:cs="Times New Roman"/>
                <w:color w:val="auto"/>
                <w:sz w:val="24"/>
                <w:szCs w:val="24"/>
                <w:highlight w:val="none"/>
                <w:lang w:val="en-US" w:eastAsia="zh-CN"/>
              </w:rPr>
              <w:t>对车辆采取限速和禁鸣喇叭等措施，因此车辆行驶噪声主要为发动机轰鸣声和轮胎摩擦声，噪声值较小且短暂。</w:t>
            </w:r>
          </w:p>
          <w:p w14:paraId="36293F6D">
            <w:pPr>
              <w:spacing w:line="360" w:lineRule="auto"/>
              <w:ind w:firstLine="480"/>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lang w:val="en-US" w:eastAsia="zh-CN"/>
              </w:rPr>
              <w:t>固体废物</w:t>
            </w:r>
          </w:p>
          <w:p w14:paraId="5A23225A">
            <w:pPr>
              <w:spacing w:line="360" w:lineRule="auto"/>
              <w:ind w:firstLine="48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现有工程实际生产过程中的固体废物产生量具体见表2.</w:t>
            </w:r>
            <w:r>
              <w:rPr>
                <w:rFonts w:hint="eastAsia" w:ascii="Times New Roman" w:hAnsi="Times New Roman" w:eastAsia="宋体"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lang w:val="en-US" w:eastAsia="zh-CN"/>
              </w:rPr>
              <w:t>。</w:t>
            </w:r>
          </w:p>
          <w:p w14:paraId="21DAA01B">
            <w:pPr>
              <w:pStyle w:val="44"/>
              <w:keepNext/>
              <w:keepLines/>
              <w:pageBreakBefore w:val="0"/>
              <w:widowControl w:val="0"/>
              <w:numPr>
                <w:ilvl w:val="7"/>
                <w:numId w:val="10"/>
              </w:numPr>
              <w:tabs>
                <w:tab w:val="left" w:pos="0"/>
              </w:tabs>
              <w:kinsoku/>
              <w:wordWrap/>
              <w:overflowPunct/>
              <w:topLinePunct w:val="0"/>
              <w:autoSpaceDE/>
              <w:autoSpaceDN/>
              <w:bidi w:val="0"/>
              <w:adjustRightInd/>
              <w:snapToGrid/>
              <w:spacing w:before="0" w:after="0"/>
              <w:ind w:left="630" w:leftChars="0" w:firstLineChars="0"/>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现有工程固体废物产生量及处置措施</w:t>
            </w:r>
          </w:p>
          <w:tbl>
            <w:tblPr>
              <w:tblStyle w:val="34"/>
              <w:tblW w:w="87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1"/>
              <w:gridCol w:w="610"/>
              <w:gridCol w:w="1488"/>
              <w:gridCol w:w="1128"/>
              <w:gridCol w:w="1550"/>
              <w:gridCol w:w="3303"/>
            </w:tblGrid>
            <w:tr w14:paraId="6F43C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3" w:hRule="atLeast"/>
              </w:trPr>
              <w:tc>
                <w:tcPr>
                  <w:tcW w:w="399" w:type="pc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EC7777C">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序号</w:t>
                  </w:r>
                </w:p>
              </w:tc>
              <w:tc>
                <w:tcPr>
                  <w:tcW w:w="11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DE1CA0">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名称</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5FB42">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固废类别</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38A54">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产生量</w:t>
                  </w:r>
                  <w:r>
                    <w:rPr>
                      <w:rFonts w:hint="eastAsia" w:cs="Times New Roman"/>
                      <w:color w:val="auto"/>
                      <w:sz w:val="21"/>
                      <w:szCs w:val="24"/>
                      <w:highlight w:val="none"/>
                      <w:lang w:val="en-US" w:eastAsia="zh-CN"/>
                    </w:rPr>
                    <w:t>（</w:t>
                  </w:r>
                  <w:r>
                    <w:rPr>
                      <w:rFonts w:hint="eastAsia" w:ascii="Times New Roman" w:hAnsi="Times New Roman" w:eastAsia="宋体" w:cs="Times New Roman"/>
                      <w:color w:val="auto"/>
                      <w:sz w:val="21"/>
                      <w:szCs w:val="24"/>
                      <w:highlight w:val="none"/>
                      <w:lang w:val="en-US" w:eastAsia="zh-CN"/>
                    </w:rPr>
                    <w:t>t/a</w:t>
                  </w:r>
                  <w:r>
                    <w:rPr>
                      <w:rFonts w:hint="eastAsia" w:cs="Times New Roman"/>
                      <w:color w:val="auto"/>
                      <w:sz w:val="21"/>
                      <w:szCs w:val="24"/>
                      <w:highlight w:val="none"/>
                      <w:lang w:val="en-US" w:eastAsia="zh-CN"/>
                    </w:rPr>
                    <w:t>）</w:t>
                  </w:r>
                </w:p>
              </w:tc>
              <w:tc>
                <w:tcPr>
                  <w:tcW w:w="1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224BF">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综合利用或处置途径</w:t>
                  </w:r>
                </w:p>
              </w:tc>
            </w:tr>
            <w:tr w14:paraId="431EA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399" w:type="pct"/>
                  <w:vMerge w:val="restart"/>
                  <w:tcBorders>
                    <w:top w:val="single" w:color="000000" w:sz="4" w:space="0"/>
                    <w:left w:val="single" w:color="000000" w:sz="4" w:space="0"/>
                    <w:right w:val="single" w:color="000000" w:sz="4" w:space="0"/>
                  </w:tcBorders>
                  <w:shd w:val="clear" w:color="auto" w:fill="auto"/>
                  <w:vAlign w:val="center"/>
                </w:tcPr>
                <w:p w14:paraId="39BEA464">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w:t>
                  </w:r>
                </w:p>
              </w:tc>
              <w:tc>
                <w:tcPr>
                  <w:tcW w:w="347" w:type="pct"/>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630E322">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医疗废物</w:t>
                  </w:r>
                </w:p>
              </w:tc>
              <w:tc>
                <w:tcPr>
                  <w:tcW w:w="8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DE29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感染性废物</w:t>
                  </w:r>
                  <w:r>
                    <w:rPr>
                      <w:rFonts w:hint="eastAsia" w:ascii="Times New Roman" w:hAnsi="Times New Roman" w:eastAsia="宋体" w:cs="Times New Roman"/>
                      <w:color w:val="auto"/>
                      <w:sz w:val="21"/>
                      <w:szCs w:val="24"/>
                      <w:highlight w:val="none"/>
                      <w:lang w:val="en-US" w:eastAsia="zh-CN"/>
                    </w:rPr>
                    <w:br w:type="textWrapping"/>
                  </w:r>
                  <w:r>
                    <w:rPr>
                      <w:rFonts w:hint="eastAsia" w:ascii="Times New Roman" w:hAnsi="Times New Roman" w:eastAsia="宋体" w:cs="Times New Roman"/>
                      <w:color w:val="auto"/>
                      <w:sz w:val="21"/>
                      <w:szCs w:val="24"/>
                      <w:highlight w:val="none"/>
                      <w:lang w:val="en-US" w:eastAsia="zh-CN"/>
                    </w:rPr>
                    <w:t>HW01</w:t>
                  </w:r>
                  <w:r>
                    <w:rPr>
                      <w:rFonts w:hint="eastAsia" w:ascii="Times New Roman" w:hAnsi="Times New Roman" w:eastAsia="宋体" w:cs="Times New Roman"/>
                      <w:color w:val="auto"/>
                      <w:sz w:val="21"/>
                      <w:szCs w:val="24"/>
                      <w:highlight w:val="none"/>
                      <w:lang w:val="en-US" w:eastAsia="zh-CN"/>
                    </w:rPr>
                    <w:br w:type="textWrapping"/>
                  </w:r>
                  <w:r>
                    <w:rPr>
                      <w:rFonts w:hint="eastAsia" w:ascii="Times New Roman" w:hAnsi="Times New Roman" w:eastAsia="宋体" w:cs="Times New Roman"/>
                      <w:color w:val="auto"/>
                      <w:sz w:val="21"/>
                      <w:szCs w:val="24"/>
                      <w:highlight w:val="none"/>
                      <w:lang w:val="en-US" w:eastAsia="zh-CN"/>
                    </w:rPr>
                    <w:t>831-001-01</w:t>
                  </w:r>
                </w:p>
              </w:tc>
              <w:tc>
                <w:tcPr>
                  <w:tcW w:w="6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7AC55B">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危险废物</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7E80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1.5</w:t>
                  </w:r>
                </w:p>
              </w:tc>
              <w:tc>
                <w:tcPr>
                  <w:tcW w:w="18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2AAF9F">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委托福建省固体废物处置有限公司处理</w:t>
                  </w:r>
                </w:p>
              </w:tc>
            </w:tr>
            <w:tr w14:paraId="4BEAA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399" w:type="pct"/>
                  <w:vMerge w:val="continue"/>
                  <w:tcBorders>
                    <w:left w:val="single" w:color="000000" w:sz="4" w:space="0"/>
                    <w:bottom w:val="single" w:color="000000" w:sz="4" w:space="0"/>
                    <w:right w:val="single" w:color="000000" w:sz="4" w:space="0"/>
                  </w:tcBorders>
                  <w:shd w:val="clear" w:color="auto" w:fill="auto"/>
                  <w:vAlign w:val="center"/>
                </w:tcPr>
                <w:p w14:paraId="6A27D8D2">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p>
              </w:tc>
              <w:tc>
                <w:tcPr>
                  <w:tcW w:w="347"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FDE4FF1">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p>
              </w:tc>
              <w:tc>
                <w:tcPr>
                  <w:tcW w:w="8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68F8A">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损伤性废物</w:t>
                  </w:r>
                  <w:r>
                    <w:rPr>
                      <w:rFonts w:hint="eastAsia" w:ascii="Times New Roman" w:hAnsi="Times New Roman" w:eastAsia="宋体" w:cs="Times New Roman"/>
                      <w:color w:val="auto"/>
                      <w:sz w:val="21"/>
                      <w:szCs w:val="24"/>
                      <w:highlight w:val="none"/>
                      <w:lang w:val="en-US" w:eastAsia="zh-CN"/>
                    </w:rPr>
                    <w:br w:type="textWrapping"/>
                  </w:r>
                  <w:r>
                    <w:rPr>
                      <w:rFonts w:hint="eastAsia" w:ascii="Times New Roman" w:hAnsi="Times New Roman" w:eastAsia="宋体" w:cs="Times New Roman"/>
                      <w:color w:val="auto"/>
                      <w:sz w:val="21"/>
                      <w:szCs w:val="24"/>
                      <w:highlight w:val="none"/>
                      <w:lang w:val="en-US" w:eastAsia="zh-CN"/>
                    </w:rPr>
                    <w:t>HW01</w:t>
                  </w:r>
                  <w:r>
                    <w:rPr>
                      <w:rFonts w:hint="eastAsia" w:ascii="Times New Roman" w:hAnsi="Times New Roman" w:eastAsia="宋体" w:cs="Times New Roman"/>
                      <w:color w:val="auto"/>
                      <w:sz w:val="21"/>
                      <w:szCs w:val="24"/>
                      <w:highlight w:val="none"/>
                      <w:lang w:val="en-US" w:eastAsia="zh-CN"/>
                    </w:rPr>
                    <w:br w:type="textWrapping"/>
                  </w:r>
                  <w:r>
                    <w:rPr>
                      <w:rFonts w:hint="eastAsia" w:ascii="Times New Roman" w:hAnsi="Times New Roman" w:eastAsia="宋体" w:cs="Times New Roman"/>
                      <w:color w:val="auto"/>
                      <w:sz w:val="21"/>
                      <w:szCs w:val="24"/>
                      <w:highlight w:val="none"/>
                      <w:lang w:val="en-US" w:eastAsia="zh-CN"/>
                    </w:rPr>
                    <w:t>831-002-01</w:t>
                  </w:r>
                </w:p>
              </w:tc>
              <w:tc>
                <w:tcPr>
                  <w:tcW w:w="6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5E459">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9435E">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1.2</w:t>
                  </w:r>
                </w:p>
              </w:tc>
              <w:tc>
                <w:tcPr>
                  <w:tcW w:w="18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0B73A8">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p>
              </w:tc>
            </w:tr>
            <w:tr w14:paraId="0514D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106D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2</w:t>
                  </w:r>
                </w:p>
              </w:tc>
              <w:tc>
                <w:tcPr>
                  <w:tcW w:w="11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A029F1">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化粪池污泥、</w:t>
                  </w:r>
                  <w:r>
                    <w:rPr>
                      <w:rFonts w:hint="eastAsia" w:cs="Times New Roman"/>
                      <w:color w:val="auto"/>
                      <w:sz w:val="21"/>
                      <w:szCs w:val="24"/>
                      <w:highlight w:val="none"/>
                      <w:lang w:val="en-US" w:eastAsia="zh-CN"/>
                    </w:rPr>
                    <w:t>污水处理</w:t>
                  </w:r>
                  <w:r>
                    <w:rPr>
                      <w:rFonts w:hint="eastAsia" w:ascii="Times New Roman" w:hAnsi="Times New Roman" w:eastAsia="宋体" w:cs="Times New Roman"/>
                      <w:color w:val="auto"/>
                      <w:sz w:val="21"/>
                      <w:szCs w:val="24"/>
                      <w:highlight w:val="none"/>
                      <w:lang w:val="en-US" w:eastAsia="zh-CN"/>
                    </w:rPr>
                    <w:t>设施栅渣、污泥</w:t>
                  </w:r>
                  <w:r>
                    <w:rPr>
                      <w:rFonts w:hint="eastAsia" w:ascii="Times New Roman" w:hAnsi="Times New Roman" w:eastAsia="宋体" w:cs="Times New Roman"/>
                      <w:color w:val="auto"/>
                      <w:sz w:val="21"/>
                      <w:szCs w:val="24"/>
                      <w:highlight w:val="none"/>
                      <w:lang w:val="en-US" w:eastAsia="zh-CN"/>
                    </w:rPr>
                    <w:br w:type="textWrapping"/>
                  </w:r>
                  <w:r>
                    <w:rPr>
                      <w:rFonts w:hint="eastAsia" w:ascii="Times New Roman" w:hAnsi="Times New Roman" w:eastAsia="宋体" w:cs="Times New Roman"/>
                      <w:color w:val="auto"/>
                      <w:sz w:val="21"/>
                      <w:szCs w:val="24"/>
                      <w:highlight w:val="none"/>
                      <w:lang w:val="en-US" w:eastAsia="zh-CN"/>
                    </w:rPr>
                    <w:t>(HW49其他废物</w:t>
                  </w:r>
                  <w:r>
                    <w:rPr>
                      <w:rFonts w:hint="eastAsia" w:ascii="Times New Roman" w:hAnsi="Times New Roman" w:eastAsia="宋体" w:cs="Times New Roman"/>
                      <w:color w:val="auto"/>
                      <w:sz w:val="21"/>
                      <w:szCs w:val="24"/>
                      <w:highlight w:val="none"/>
                      <w:lang w:val="en-US" w:eastAsia="zh-CN"/>
                    </w:rPr>
                    <w:br w:type="textWrapping"/>
                  </w:r>
                  <w:r>
                    <w:rPr>
                      <w:rFonts w:hint="eastAsia" w:ascii="Times New Roman" w:hAnsi="Times New Roman" w:eastAsia="宋体" w:cs="Times New Roman"/>
                      <w:color w:val="auto"/>
                      <w:sz w:val="21"/>
                      <w:szCs w:val="24"/>
                      <w:highlight w:val="none"/>
                      <w:lang w:val="en-US" w:eastAsia="zh-CN"/>
                    </w:rPr>
                    <w:t>772-006-49)</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21AFE">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危险废物</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0E274">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Times New Roman" w:hAnsi="Times New Roman" w:eastAsia="宋体" w:cs="Times New Roman"/>
                      <w:color w:val="auto"/>
                      <w:sz w:val="21"/>
                      <w:szCs w:val="24"/>
                      <w:highlight w:val="none"/>
                      <w:lang w:val="en-US" w:eastAsia="zh-CN"/>
                    </w:rPr>
                  </w:pPr>
                  <w:r>
                    <w:rPr>
                      <w:rFonts w:hint="eastAsia" w:cs="Times New Roman"/>
                      <w:color w:val="auto"/>
                      <w:sz w:val="21"/>
                      <w:szCs w:val="24"/>
                      <w:highlight w:val="none"/>
                      <w:lang w:val="en-US" w:eastAsia="zh-CN"/>
                    </w:rPr>
                    <w:t>1.5</w:t>
                  </w:r>
                </w:p>
              </w:tc>
              <w:tc>
                <w:tcPr>
                  <w:tcW w:w="1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DEB46">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现阶段本项目污水处理站污泥和栅渣以及化粪池污泥产生量较少，短期内无需清理托运，后续需清掏处理时，另行委托有资质单位直接清掏处置，不在医院内暂存。</w:t>
                  </w:r>
                </w:p>
              </w:tc>
            </w:tr>
            <w:tr w14:paraId="1BCEA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5807E">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3</w:t>
                  </w:r>
                </w:p>
              </w:tc>
              <w:tc>
                <w:tcPr>
                  <w:tcW w:w="11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6902E3">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一般固废</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5AFA0">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一般废物</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63613">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Times New Roman" w:hAnsi="Times New Roman" w:eastAsia="宋体" w:cs="Times New Roman"/>
                      <w:color w:val="auto"/>
                      <w:sz w:val="21"/>
                      <w:szCs w:val="24"/>
                      <w:highlight w:val="none"/>
                      <w:lang w:val="en-US" w:eastAsia="zh-CN"/>
                    </w:rPr>
                  </w:pPr>
                  <w:r>
                    <w:rPr>
                      <w:rFonts w:hint="eastAsia" w:cs="Times New Roman"/>
                      <w:color w:val="auto"/>
                      <w:sz w:val="21"/>
                      <w:szCs w:val="24"/>
                      <w:highlight w:val="none"/>
                      <w:lang w:val="en-US" w:eastAsia="zh-CN"/>
                    </w:rPr>
                    <w:t>1.0</w:t>
                  </w:r>
                </w:p>
              </w:tc>
              <w:tc>
                <w:tcPr>
                  <w:tcW w:w="1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B1889">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委托</w:t>
                  </w:r>
                  <w:r>
                    <w:rPr>
                      <w:rFonts w:hint="eastAsia" w:cs="Times New Roman"/>
                      <w:color w:val="auto"/>
                      <w:sz w:val="21"/>
                      <w:szCs w:val="24"/>
                      <w:highlight w:val="none"/>
                      <w:lang w:val="en-US" w:eastAsia="zh-CN"/>
                    </w:rPr>
                    <w:t>相关单位</w:t>
                  </w:r>
                  <w:r>
                    <w:rPr>
                      <w:rFonts w:hint="eastAsia" w:ascii="Times New Roman" w:hAnsi="Times New Roman" w:eastAsia="宋体" w:cs="Times New Roman"/>
                      <w:color w:val="auto"/>
                      <w:sz w:val="21"/>
                      <w:szCs w:val="24"/>
                      <w:highlight w:val="none"/>
                      <w:lang w:val="en-US" w:eastAsia="zh-CN"/>
                    </w:rPr>
                    <w:t>处置</w:t>
                  </w:r>
                </w:p>
              </w:tc>
            </w:tr>
            <w:tr w14:paraId="5D282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3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87B64">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4</w:t>
                  </w:r>
                </w:p>
              </w:tc>
              <w:tc>
                <w:tcPr>
                  <w:tcW w:w="119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B62E66">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生活垃圾</w:t>
                  </w:r>
                </w:p>
              </w:tc>
              <w:tc>
                <w:tcPr>
                  <w:tcW w:w="6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512C1">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一般废物</w:t>
                  </w:r>
                </w:p>
              </w:tc>
              <w:tc>
                <w:tcPr>
                  <w:tcW w:w="8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D446E">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ascii="Times New Roman" w:hAnsi="Times New Roman" w:eastAsia="宋体" w:cs="Times New Roman"/>
                      <w:color w:val="auto"/>
                      <w:sz w:val="21"/>
                      <w:szCs w:val="24"/>
                      <w:highlight w:val="none"/>
                      <w:lang w:val="en-US" w:eastAsia="zh-CN"/>
                    </w:rPr>
                  </w:pPr>
                  <w:r>
                    <w:rPr>
                      <w:rFonts w:hint="eastAsia" w:cs="Times New Roman"/>
                      <w:color w:val="auto"/>
                      <w:sz w:val="21"/>
                      <w:szCs w:val="24"/>
                      <w:highlight w:val="none"/>
                      <w:lang w:val="en-US" w:eastAsia="zh-CN"/>
                    </w:rPr>
                    <w:t>49.3</w:t>
                  </w:r>
                </w:p>
              </w:tc>
              <w:tc>
                <w:tcPr>
                  <w:tcW w:w="18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22B1D">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Times New Roman" w:hAnsi="Times New Roman" w:eastAsia="宋体" w:cs="Times New Roman"/>
                      <w:color w:val="auto"/>
                      <w:sz w:val="21"/>
                      <w:szCs w:val="24"/>
                      <w:highlight w:val="none"/>
                      <w:lang w:val="en-US" w:eastAsia="zh-CN"/>
                    </w:rPr>
                  </w:pPr>
                  <w:r>
                    <w:rPr>
                      <w:rFonts w:hint="eastAsia" w:ascii="Times New Roman" w:hAnsi="Times New Roman" w:eastAsia="宋体" w:cs="Times New Roman"/>
                      <w:color w:val="auto"/>
                      <w:sz w:val="21"/>
                      <w:szCs w:val="24"/>
                      <w:highlight w:val="none"/>
                      <w:lang w:val="en-US" w:eastAsia="zh-CN"/>
                    </w:rPr>
                    <w:t>院内集中收集，由环卫部门</w:t>
                  </w:r>
                  <w:r>
                    <w:rPr>
                      <w:rFonts w:hint="eastAsia" w:cs="Times New Roman"/>
                      <w:color w:val="auto"/>
                      <w:sz w:val="21"/>
                      <w:szCs w:val="24"/>
                      <w:highlight w:val="none"/>
                      <w:lang w:val="en-US" w:eastAsia="zh-CN"/>
                    </w:rPr>
                    <w:t>统一清运</w:t>
                  </w:r>
                  <w:r>
                    <w:rPr>
                      <w:rFonts w:hint="eastAsia" w:ascii="Times New Roman" w:hAnsi="Times New Roman" w:eastAsia="宋体" w:cs="Times New Roman"/>
                      <w:color w:val="auto"/>
                      <w:sz w:val="21"/>
                      <w:szCs w:val="24"/>
                      <w:highlight w:val="none"/>
                      <w:lang w:val="en-US" w:eastAsia="zh-CN"/>
                    </w:rPr>
                    <w:t>至垃圾处理场</w:t>
                  </w:r>
                </w:p>
              </w:tc>
            </w:tr>
          </w:tbl>
          <w:p w14:paraId="4A0EFD83">
            <w:pPr>
              <w:pStyle w:val="4"/>
              <w:bidi w:val="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现有工程污染源强汇总</w:t>
            </w:r>
          </w:p>
          <w:p w14:paraId="03245B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2"/>
                <w:sz w:val="24"/>
                <w:szCs w:val="24"/>
                <w:highlight w:val="none"/>
                <w:vertAlign w:val="baseline"/>
                <w:lang w:val="en-US" w:eastAsia="zh-CN" w:bidi="ar-SA"/>
              </w:rPr>
            </w:pPr>
            <w:r>
              <w:rPr>
                <w:rFonts w:hint="eastAsia" w:ascii="Times New Roman" w:hAnsi="Times New Roman" w:eastAsia="宋体" w:cs="Times New Roman"/>
                <w:color w:val="auto"/>
                <w:kern w:val="2"/>
                <w:sz w:val="24"/>
                <w:szCs w:val="24"/>
                <w:highlight w:val="none"/>
                <w:vertAlign w:val="baseline"/>
                <w:lang w:val="en-US" w:eastAsia="zh-CN" w:bidi="ar-SA"/>
              </w:rPr>
              <w:t>现有工程污染物汇总如下</w:t>
            </w:r>
            <w:r>
              <w:rPr>
                <w:rFonts w:hint="eastAsia" w:cs="Times New Roman"/>
                <w:color w:val="auto"/>
                <w:kern w:val="2"/>
                <w:sz w:val="24"/>
                <w:szCs w:val="24"/>
                <w:highlight w:val="none"/>
                <w:vertAlign w:val="baseline"/>
                <w:lang w:val="en-US" w:eastAsia="zh-CN" w:bidi="ar-SA"/>
              </w:rPr>
              <w:t>表：</w:t>
            </w:r>
          </w:p>
          <w:p w14:paraId="750A07A3">
            <w:pPr>
              <w:pStyle w:val="44"/>
              <w:keepNext/>
              <w:keepLines/>
              <w:pageBreakBefore w:val="0"/>
              <w:widowControl w:val="0"/>
              <w:numPr>
                <w:ilvl w:val="7"/>
                <w:numId w:val="10"/>
              </w:numPr>
              <w:tabs>
                <w:tab w:val="left" w:pos="0"/>
              </w:tabs>
              <w:kinsoku/>
              <w:wordWrap/>
              <w:overflowPunct/>
              <w:topLinePunct w:val="0"/>
              <w:autoSpaceDE/>
              <w:autoSpaceDN/>
              <w:bidi w:val="0"/>
              <w:adjustRightInd/>
              <w:snapToGrid/>
              <w:spacing w:before="0" w:after="0"/>
              <w:ind w:left="630" w:leftChars="0" w:firstLineChars="0"/>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 xml:space="preserve"> 现有工程污染物汇总一览表</w:t>
            </w:r>
          </w:p>
          <w:tbl>
            <w:tblPr>
              <w:tblStyle w:val="34"/>
              <w:tblW w:w="5000" w:type="pct"/>
              <w:jc w:val="center"/>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1953"/>
              <w:gridCol w:w="1298"/>
              <w:gridCol w:w="1469"/>
              <w:gridCol w:w="571"/>
              <w:gridCol w:w="2228"/>
              <w:gridCol w:w="1265"/>
            </w:tblGrid>
            <w:tr w14:paraId="1EE0BB20">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5000" w:type="pct"/>
                  <w:gridSpan w:val="6"/>
                  <w:tcBorders>
                    <w:top w:val="single" w:color="auto" w:sz="12" w:space="0"/>
                    <w:bottom w:val="single" w:color="auto" w:sz="8" w:space="0"/>
                  </w:tcBorders>
                  <w:shd w:val="clear" w:color="auto" w:fill="D7D7D7"/>
                  <w:noWrap w:val="0"/>
                  <w:vAlign w:val="center"/>
                </w:tcPr>
                <w:p w14:paraId="71EBDFD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000000"/>
                      <w:sz w:val="21"/>
                      <w:szCs w:val="21"/>
                      <w:highlight w:val="none"/>
                    </w:rPr>
                  </w:pPr>
                  <w:r>
                    <w:rPr>
                      <w:rFonts w:hint="default" w:ascii="Times New Roman" w:hAnsi="Times New Roman" w:eastAsia="宋体" w:cs="Times New Roman"/>
                      <w:b/>
                      <w:color w:val="000000"/>
                      <w:sz w:val="21"/>
                      <w:szCs w:val="21"/>
                      <w:highlight w:val="none"/>
                    </w:rPr>
                    <w:t>一、废水</w:t>
                  </w:r>
                </w:p>
              </w:tc>
            </w:tr>
            <w:tr w14:paraId="416FBD0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851" w:type="pct"/>
                  <w:gridSpan w:val="2"/>
                  <w:tcBorders>
                    <w:top w:val="single" w:color="auto" w:sz="8" w:space="0"/>
                  </w:tcBorders>
                  <w:noWrap w:val="0"/>
                  <w:vAlign w:val="center"/>
                </w:tcPr>
                <w:p w14:paraId="2E0743F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污染物</w:t>
                  </w:r>
                </w:p>
              </w:tc>
              <w:tc>
                <w:tcPr>
                  <w:tcW w:w="1161" w:type="pct"/>
                  <w:gridSpan w:val="2"/>
                  <w:tcBorders>
                    <w:top w:val="single" w:color="auto" w:sz="8" w:space="0"/>
                  </w:tcBorders>
                  <w:noWrap w:val="0"/>
                  <w:vAlign w:val="center"/>
                </w:tcPr>
                <w:p w14:paraId="34ECD89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排放量（t/a）</w:t>
                  </w:r>
                </w:p>
              </w:tc>
              <w:tc>
                <w:tcPr>
                  <w:tcW w:w="1268" w:type="pct"/>
                  <w:tcBorders>
                    <w:top w:val="single" w:color="auto" w:sz="8" w:space="0"/>
                  </w:tcBorders>
                  <w:noWrap w:val="0"/>
                  <w:vAlign w:val="center"/>
                </w:tcPr>
                <w:p w14:paraId="78EAA88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采取措施</w:t>
                  </w:r>
                </w:p>
              </w:tc>
              <w:tc>
                <w:tcPr>
                  <w:tcW w:w="718" w:type="pct"/>
                  <w:tcBorders>
                    <w:top w:val="single" w:color="auto" w:sz="8" w:space="0"/>
                  </w:tcBorders>
                  <w:noWrap w:val="0"/>
                  <w:vAlign w:val="center"/>
                </w:tcPr>
                <w:p w14:paraId="3A5DCB0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排放去向</w:t>
                  </w:r>
                </w:p>
              </w:tc>
            </w:tr>
            <w:tr w14:paraId="313CCDC0">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112" w:type="pct"/>
                  <w:vMerge w:val="restart"/>
                  <w:noWrap w:val="0"/>
                  <w:vAlign w:val="center"/>
                </w:tcPr>
                <w:p w14:paraId="1338A45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lang w:eastAsia="zh-CN"/>
                    </w:rPr>
                    <w:t>污水总排口</w:t>
                  </w:r>
                </w:p>
              </w:tc>
              <w:tc>
                <w:tcPr>
                  <w:tcW w:w="738" w:type="pct"/>
                  <w:noWrap w:val="0"/>
                  <w:vAlign w:val="center"/>
                </w:tcPr>
                <w:p w14:paraId="4C8F5B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color w:val="000000"/>
                      <w:sz w:val="21"/>
                      <w:szCs w:val="21"/>
                      <w:highlight w:val="none"/>
                    </w:rPr>
                  </w:pPr>
                  <w:r>
                    <w:rPr>
                      <w:rFonts w:hint="eastAsia" w:cs="Times New Roman"/>
                      <w:i w:val="0"/>
                      <w:iCs w:val="0"/>
                      <w:color w:val="000000"/>
                      <w:kern w:val="0"/>
                      <w:sz w:val="21"/>
                      <w:szCs w:val="21"/>
                      <w:highlight w:val="none"/>
                      <w:u w:val="none"/>
                      <w:lang w:val="en-US" w:eastAsia="zh-CN" w:bidi="ar"/>
                    </w:rPr>
                    <w:t>废</w:t>
                  </w:r>
                  <w:r>
                    <w:rPr>
                      <w:rFonts w:hint="default" w:ascii="Times New Roman" w:hAnsi="Times New Roman" w:eastAsia="宋体" w:cs="Times New Roman"/>
                      <w:i w:val="0"/>
                      <w:iCs w:val="0"/>
                      <w:color w:val="000000"/>
                      <w:kern w:val="0"/>
                      <w:sz w:val="21"/>
                      <w:szCs w:val="21"/>
                      <w:highlight w:val="none"/>
                      <w:u w:val="none"/>
                      <w:lang w:val="en-US" w:eastAsia="zh-CN" w:bidi="ar"/>
                    </w:rPr>
                    <w:t>水量</w:t>
                  </w:r>
                </w:p>
              </w:tc>
              <w:tc>
                <w:tcPr>
                  <w:tcW w:w="1161" w:type="pct"/>
                  <w:gridSpan w:val="2"/>
                  <w:noWrap w:val="0"/>
                  <w:vAlign w:val="center"/>
                </w:tcPr>
                <w:p w14:paraId="5F49DBF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color w:val="auto"/>
                      <w:szCs w:val="21"/>
                      <w:highlight w:val="none"/>
                      <w:lang w:val="en-US" w:eastAsia="zh-CN"/>
                    </w:rPr>
                    <w:t>29200‬</w:t>
                  </w:r>
                </w:p>
              </w:tc>
              <w:tc>
                <w:tcPr>
                  <w:tcW w:w="1268" w:type="pct"/>
                  <w:vMerge w:val="restart"/>
                  <w:noWrap w:val="0"/>
                  <w:vAlign w:val="center"/>
                </w:tcPr>
                <w:p w14:paraId="46F082DD">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收集后</w:t>
                  </w:r>
                  <w:r>
                    <w:rPr>
                      <w:rFonts w:hint="default" w:ascii="Times New Roman" w:hAnsi="Times New Roman" w:eastAsia="宋体" w:cs="Times New Roman"/>
                      <w:color w:val="000000"/>
                      <w:sz w:val="21"/>
                      <w:szCs w:val="21"/>
                      <w:highlight w:val="none"/>
                      <w:lang w:val="en-US" w:eastAsia="zh-CN"/>
                    </w:rPr>
                    <w:t>经化粪池处理及医院污水处理站(“液氯消毒法”</w:t>
                  </w:r>
                  <w:r>
                    <w:rPr>
                      <w:rFonts w:hint="eastAsia"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处理能力</w:t>
                  </w:r>
                  <w:r>
                    <w:rPr>
                      <w:rFonts w:hint="eastAsia"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80t/d</w:t>
                  </w:r>
                  <w:r>
                    <w:rPr>
                      <w:rFonts w:hint="eastAsia" w:cs="Times New Roman"/>
                      <w:color w:val="000000"/>
                      <w:sz w:val="21"/>
                      <w:szCs w:val="21"/>
                      <w:highlight w:val="none"/>
                      <w:lang w:val="en-US" w:eastAsia="zh-CN"/>
                    </w:rPr>
                    <w:t>）</w:t>
                  </w:r>
                  <w:r>
                    <w:rPr>
                      <w:rFonts w:hint="default" w:ascii="Times New Roman" w:hAnsi="Times New Roman" w:eastAsia="宋体" w:cs="Times New Roman"/>
                      <w:color w:val="000000"/>
                      <w:sz w:val="21"/>
                      <w:szCs w:val="21"/>
                      <w:highlight w:val="none"/>
                      <w:lang w:val="en-US" w:eastAsia="zh-CN"/>
                    </w:rPr>
                    <w:t>处理后排入罗源城区污水处理厂处理</w:t>
                  </w:r>
                </w:p>
              </w:tc>
              <w:tc>
                <w:tcPr>
                  <w:tcW w:w="718" w:type="pct"/>
                  <w:vMerge w:val="restart"/>
                  <w:noWrap w:val="0"/>
                  <w:vAlign w:val="center"/>
                </w:tcPr>
                <w:p w14:paraId="59ED049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罗源城区污水处理厂</w:t>
                  </w:r>
                </w:p>
              </w:tc>
            </w:tr>
            <w:tr w14:paraId="36931265">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112" w:type="pct"/>
                  <w:vMerge w:val="continue"/>
                  <w:noWrap w:val="0"/>
                  <w:vAlign w:val="center"/>
                </w:tcPr>
                <w:p w14:paraId="3DF8960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lang w:eastAsia="zh-CN"/>
                    </w:rPr>
                  </w:pPr>
                </w:p>
              </w:tc>
              <w:tc>
                <w:tcPr>
                  <w:tcW w:w="738" w:type="pct"/>
                  <w:noWrap w:val="0"/>
                  <w:vAlign w:val="center"/>
                </w:tcPr>
                <w:p w14:paraId="201B9C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宋体"/>
                      <w:i w:val="0"/>
                      <w:iCs w:val="0"/>
                      <w:color w:val="000000"/>
                      <w:kern w:val="0"/>
                      <w:sz w:val="21"/>
                      <w:szCs w:val="22"/>
                      <w:u w:val="none"/>
                      <w:lang w:val="en-US" w:eastAsia="zh-CN" w:bidi="ar"/>
                    </w:rPr>
                    <w:t>悬浮物</w:t>
                  </w:r>
                </w:p>
              </w:tc>
              <w:tc>
                <w:tcPr>
                  <w:tcW w:w="1161" w:type="pct"/>
                  <w:gridSpan w:val="2"/>
                  <w:noWrap w:val="0"/>
                  <w:vAlign w:val="center"/>
                </w:tcPr>
                <w:p w14:paraId="5CA7A9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cs="Times New Roman"/>
                      <w:color w:val="auto"/>
                      <w:spacing w:val="-4"/>
                      <w:sz w:val="21"/>
                      <w:szCs w:val="21"/>
                      <w:highlight w:val="none"/>
                      <w:lang w:val="en-US" w:eastAsia="zh-CN"/>
                    </w:rPr>
                    <w:t>0.2920</w:t>
                  </w:r>
                </w:p>
              </w:tc>
              <w:tc>
                <w:tcPr>
                  <w:tcW w:w="1268" w:type="pct"/>
                  <w:vMerge w:val="continue"/>
                  <w:noWrap w:val="0"/>
                  <w:vAlign w:val="center"/>
                </w:tcPr>
                <w:p w14:paraId="51CC3E1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rPr>
                  </w:pPr>
                </w:p>
              </w:tc>
              <w:tc>
                <w:tcPr>
                  <w:tcW w:w="718" w:type="pct"/>
                  <w:vMerge w:val="continue"/>
                  <w:noWrap w:val="0"/>
                  <w:vAlign w:val="center"/>
                </w:tcPr>
                <w:p w14:paraId="3D2D74F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lang w:val="en-US" w:eastAsia="zh-CN"/>
                    </w:rPr>
                  </w:pPr>
                </w:p>
              </w:tc>
            </w:tr>
            <w:tr w14:paraId="46F597AF">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112" w:type="pct"/>
                  <w:vMerge w:val="continue"/>
                  <w:noWrap w:val="0"/>
                  <w:vAlign w:val="center"/>
                </w:tcPr>
                <w:p w14:paraId="3152F79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lang w:eastAsia="zh-CN"/>
                    </w:rPr>
                  </w:pPr>
                </w:p>
              </w:tc>
              <w:tc>
                <w:tcPr>
                  <w:tcW w:w="738" w:type="pct"/>
                  <w:noWrap w:val="0"/>
                  <w:vAlign w:val="center"/>
                </w:tcPr>
                <w:p w14:paraId="7769DF6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宋体"/>
                      <w:i w:val="0"/>
                      <w:iCs w:val="0"/>
                      <w:color w:val="000000"/>
                      <w:kern w:val="0"/>
                      <w:sz w:val="21"/>
                      <w:szCs w:val="22"/>
                      <w:u w:val="none"/>
                      <w:lang w:val="en-US" w:eastAsia="zh-CN" w:bidi="ar"/>
                    </w:rPr>
                    <w:t>BOD</w:t>
                  </w:r>
                  <w:r>
                    <w:rPr>
                      <w:rFonts w:hint="eastAsia" w:ascii="Times New Roman" w:hAnsi="Times New Roman" w:eastAsia="宋体" w:cs="宋体"/>
                      <w:i w:val="0"/>
                      <w:iCs w:val="0"/>
                      <w:color w:val="000000"/>
                      <w:kern w:val="0"/>
                      <w:sz w:val="21"/>
                      <w:szCs w:val="22"/>
                      <w:u w:val="none"/>
                      <w:vertAlign w:val="subscript"/>
                      <w:lang w:val="en-US" w:eastAsia="zh-CN" w:bidi="ar"/>
                    </w:rPr>
                    <w:t>5</w:t>
                  </w:r>
                </w:p>
              </w:tc>
              <w:tc>
                <w:tcPr>
                  <w:tcW w:w="1161" w:type="pct"/>
                  <w:gridSpan w:val="2"/>
                  <w:noWrap w:val="0"/>
                  <w:vAlign w:val="center"/>
                </w:tcPr>
                <w:p w14:paraId="2827327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cs="Times New Roman"/>
                      <w:color w:val="auto"/>
                      <w:spacing w:val="-4"/>
                      <w:sz w:val="21"/>
                      <w:szCs w:val="21"/>
                      <w:highlight w:val="none"/>
                      <w:lang w:val="en-US" w:eastAsia="zh-CN"/>
                    </w:rPr>
                    <w:t>/</w:t>
                  </w:r>
                </w:p>
              </w:tc>
              <w:tc>
                <w:tcPr>
                  <w:tcW w:w="1268" w:type="pct"/>
                  <w:vMerge w:val="continue"/>
                  <w:noWrap w:val="0"/>
                  <w:vAlign w:val="center"/>
                </w:tcPr>
                <w:p w14:paraId="5004997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rPr>
                  </w:pPr>
                </w:p>
              </w:tc>
              <w:tc>
                <w:tcPr>
                  <w:tcW w:w="718" w:type="pct"/>
                  <w:vMerge w:val="continue"/>
                  <w:noWrap w:val="0"/>
                  <w:vAlign w:val="center"/>
                </w:tcPr>
                <w:p w14:paraId="44C3DDC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lang w:val="en-US" w:eastAsia="zh-CN"/>
                    </w:rPr>
                  </w:pPr>
                </w:p>
              </w:tc>
            </w:tr>
            <w:tr w14:paraId="39C533F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112" w:type="pct"/>
                  <w:vMerge w:val="continue"/>
                  <w:noWrap w:val="0"/>
                  <w:vAlign w:val="center"/>
                </w:tcPr>
                <w:p w14:paraId="360AEE3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lang w:eastAsia="zh-CN"/>
                    </w:rPr>
                  </w:pPr>
                </w:p>
              </w:tc>
              <w:tc>
                <w:tcPr>
                  <w:tcW w:w="738" w:type="pct"/>
                  <w:noWrap w:val="0"/>
                  <w:vAlign w:val="center"/>
                </w:tcPr>
                <w:p w14:paraId="6EE2DEB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宋体"/>
                      <w:i w:val="0"/>
                      <w:iCs w:val="0"/>
                      <w:color w:val="000000"/>
                      <w:kern w:val="0"/>
                      <w:sz w:val="21"/>
                      <w:szCs w:val="22"/>
                      <w:u w:val="none"/>
                      <w:lang w:val="en-US" w:eastAsia="zh-CN" w:bidi="ar"/>
                    </w:rPr>
                    <w:t>COD</w:t>
                  </w:r>
                </w:p>
              </w:tc>
              <w:tc>
                <w:tcPr>
                  <w:tcW w:w="1161" w:type="pct"/>
                  <w:gridSpan w:val="2"/>
                  <w:noWrap w:val="0"/>
                  <w:vAlign w:val="center"/>
                </w:tcPr>
                <w:p w14:paraId="0C19E3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cs="Times New Roman"/>
                      <w:color w:val="auto"/>
                      <w:spacing w:val="-4"/>
                      <w:sz w:val="21"/>
                      <w:szCs w:val="21"/>
                      <w:highlight w:val="none"/>
                      <w:lang w:val="en-US" w:eastAsia="zh-CN"/>
                    </w:rPr>
                    <w:t>2.8032</w:t>
                  </w:r>
                </w:p>
              </w:tc>
              <w:tc>
                <w:tcPr>
                  <w:tcW w:w="1268" w:type="pct"/>
                  <w:vMerge w:val="continue"/>
                  <w:noWrap w:val="0"/>
                  <w:vAlign w:val="center"/>
                </w:tcPr>
                <w:p w14:paraId="72FA124C">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rPr>
                  </w:pPr>
                </w:p>
              </w:tc>
              <w:tc>
                <w:tcPr>
                  <w:tcW w:w="718" w:type="pct"/>
                  <w:vMerge w:val="continue"/>
                  <w:noWrap w:val="0"/>
                  <w:vAlign w:val="center"/>
                </w:tcPr>
                <w:p w14:paraId="3CBB4373">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lang w:val="en-US" w:eastAsia="zh-CN"/>
                    </w:rPr>
                  </w:pPr>
                </w:p>
              </w:tc>
            </w:tr>
            <w:tr w14:paraId="1C101AB9">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112" w:type="pct"/>
                  <w:vMerge w:val="continue"/>
                  <w:noWrap w:val="0"/>
                  <w:vAlign w:val="center"/>
                </w:tcPr>
                <w:p w14:paraId="7532E861">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lang w:eastAsia="zh-CN"/>
                    </w:rPr>
                  </w:pPr>
                </w:p>
              </w:tc>
              <w:tc>
                <w:tcPr>
                  <w:tcW w:w="738" w:type="pct"/>
                  <w:noWrap w:val="0"/>
                  <w:vAlign w:val="center"/>
                </w:tcPr>
                <w:p w14:paraId="02F0ED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color w:val="auto"/>
                      <w:spacing w:val="-4"/>
                      <w:sz w:val="21"/>
                      <w:szCs w:val="21"/>
                      <w:highlight w:val="none"/>
                      <w:lang w:val="en-US" w:eastAsia="zh-CN"/>
                    </w:rPr>
                    <w:t>余氯</w:t>
                  </w:r>
                </w:p>
              </w:tc>
              <w:tc>
                <w:tcPr>
                  <w:tcW w:w="1161" w:type="pct"/>
                  <w:gridSpan w:val="2"/>
                  <w:noWrap w:val="0"/>
                  <w:vAlign w:val="center"/>
                </w:tcPr>
                <w:p w14:paraId="275245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cs="Times New Roman"/>
                      <w:color w:val="auto"/>
                      <w:spacing w:val="-4"/>
                      <w:sz w:val="21"/>
                      <w:szCs w:val="21"/>
                      <w:highlight w:val="none"/>
                      <w:lang w:val="en-US" w:eastAsia="zh-CN"/>
                    </w:rPr>
                    <w:t>0.0774</w:t>
                  </w:r>
                </w:p>
              </w:tc>
              <w:tc>
                <w:tcPr>
                  <w:tcW w:w="1268" w:type="pct"/>
                  <w:vMerge w:val="continue"/>
                  <w:noWrap w:val="0"/>
                  <w:vAlign w:val="center"/>
                </w:tcPr>
                <w:p w14:paraId="43D51A9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rPr>
                  </w:pPr>
                </w:p>
              </w:tc>
              <w:tc>
                <w:tcPr>
                  <w:tcW w:w="718" w:type="pct"/>
                  <w:vMerge w:val="continue"/>
                  <w:noWrap w:val="0"/>
                  <w:vAlign w:val="center"/>
                </w:tcPr>
                <w:p w14:paraId="4CC143EF">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lang w:val="en-US" w:eastAsia="zh-CN"/>
                    </w:rPr>
                  </w:pPr>
                </w:p>
              </w:tc>
            </w:tr>
            <w:tr w14:paraId="34A41B30">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112" w:type="pct"/>
                  <w:vMerge w:val="continue"/>
                  <w:noWrap w:val="0"/>
                  <w:vAlign w:val="center"/>
                </w:tcPr>
                <w:p w14:paraId="1E77030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lang w:eastAsia="zh-CN"/>
                    </w:rPr>
                  </w:pPr>
                </w:p>
              </w:tc>
              <w:tc>
                <w:tcPr>
                  <w:tcW w:w="738" w:type="pct"/>
                  <w:noWrap w:val="0"/>
                  <w:vAlign w:val="center"/>
                </w:tcPr>
                <w:p w14:paraId="3AFBBF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宋体"/>
                      <w:i w:val="0"/>
                      <w:iCs w:val="0"/>
                      <w:color w:val="000000"/>
                      <w:kern w:val="0"/>
                      <w:sz w:val="21"/>
                      <w:szCs w:val="22"/>
                      <w:u w:val="none"/>
                      <w:lang w:val="en-US" w:eastAsia="zh-CN" w:bidi="ar"/>
                    </w:rPr>
                    <w:t>氨氮</w:t>
                  </w:r>
                </w:p>
              </w:tc>
              <w:tc>
                <w:tcPr>
                  <w:tcW w:w="1161" w:type="pct"/>
                  <w:gridSpan w:val="2"/>
                  <w:noWrap w:val="0"/>
                  <w:vAlign w:val="center"/>
                </w:tcPr>
                <w:p w14:paraId="66D800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cs="Times New Roman"/>
                      <w:color w:val="auto"/>
                      <w:spacing w:val="-4"/>
                      <w:sz w:val="21"/>
                      <w:szCs w:val="21"/>
                      <w:highlight w:val="none"/>
                      <w:lang w:val="en-US" w:eastAsia="zh-CN"/>
                    </w:rPr>
                    <w:t>1.2352</w:t>
                  </w:r>
                </w:p>
              </w:tc>
              <w:tc>
                <w:tcPr>
                  <w:tcW w:w="1268" w:type="pct"/>
                  <w:vMerge w:val="continue"/>
                  <w:noWrap w:val="0"/>
                  <w:vAlign w:val="center"/>
                </w:tcPr>
                <w:p w14:paraId="5559180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rPr>
                  </w:pPr>
                </w:p>
              </w:tc>
              <w:tc>
                <w:tcPr>
                  <w:tcW w:w="718" w:type="pct"/>
                  <w:vMerge w:val="continue"/>
                  <w:noWrap w:val="0"/>
                  <w:vAlign w:val="center"/>
                </w:tcPr>
                <w:p w14:paraId="5CD8BE5E">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lang w:val="en-US" w:eastAsia="zh-CN"/>
                    </w:rPr>
                  </w:pPr>
                </w:p>
              </w:tc>
            </w:tr>
            <w:tr w14:paraId="7E2F0C5B">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609" w:hRule="exact"/>
                <w:jc w:val="center"/>
              </w:trPr>
              <w:tc>
                <w:tcPr>
                  <w:tcW w:w="1112" w:type="pct"/>
                  <w:vMerge w:val="continue"/>
                  <w:noWrap w:val="0"/>
                  <w:vAlign w:val="center"/>
                </w:tcPr>
                <w:p w14:paraId="251CD51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lang w:eastAsia="zh-CN"/>
                    </w:rPr>
                  </w:pPr>
                </w:p>
              </w:tc>
              <w:tc>
                <w:tcPr>
                  <w:tcW w:w="738" w:type="pct"/>
                  <w:noWrap w:val="0"/>
                  <w:vAlign w:val="center"/>
                </w:tcPr>
                <w:p w14:paraId="376E28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cs="宋体"/>
                      <w:i w:val="0"/>
                      <w:iCs w:val="0"/>
                      <w:color w:val="000000"/>
                      <w:kern w:val="0"/>
                      <w:sz w:val="21"/>
                      <w:szCs w:val="22"/>
                      <w:u w:val="none"/>
                      <w:lang w:val="en-US" w:eastAsia="zh-CN" w:bidi="ar"/>
                    </w:rPr>
                    <w:t>粪大肠菌群（MPN）</w:t>
                  </w:r>
                </w:p>
              </w:tc>
              <w:tc>
                <w:tcPr>
                  <w:tcW w:w="1161" w:type="pct"/>
                  <w:gridSpan w:val="2"/>
                  <w:noWrap w:val="0"/>
                  <w:vAlign w:val="center"/>
                </w:tcPr>
                <w:p w14:paraId="70542D8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3.796×10</w:t>
                  </w:r>
                  <w:r>
                    <w:rPr>
                      <w:rFonts w:hint="eastAsia" w:ascii="Times New Roman" w:hAnsi="Times New Roman" w:cs="Times New Roman"/>
                      <w:i w:val="0"/>
                      <w:iCs w:val="0"/>
                      <w:color w:val="000000"/>
                      <w:kern w:val="0"/>
                      <w:sz w:val="21"/>
                      <w:szCs w:val="21"/>
                      <w:highlight w:val="none"/>
                      <w:u w:val="none"/>
                      <w:vertAlign w:val="superscript"/>
                      <w:lang w:val="en-US" w:eastAsia="zh-CN" w:bidi="ar"/>
                    </w:rPr>
                    <w:t>9</w:t>
                  </w:r>
                </w:p>
              </w:tc>
              <w:tc>
                <w:tcPr>
                  <w:tcW w:w="1268" w:type="pct"/>
                  <w:vMerge w:val="continue"/>
                  <w:noWrap w:val="0"/>
                  <w:vAlign w:val="center"/>
                </w:tcPr>
                <w:p w14:paraId="276A397A">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rPr>
                  </w:pPr>
                </w:p>
              </w:tc>
              <w:tc>
                <w:tcPr>
                  <w:tcW w:w="718" w:type="pct"/>
                  <w:vMerge w:val="continue"/>
                  <w:noWrap w:val="0"/>
                  <w:vAlign w:val="center"/>
                </w:tcPr>
                <w:p w14:paraId="41723969">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lang w:val="en-US" w:eastAsia="zh-CN"/>
                    </w:rPr>
                  </w:pPr>
                </w:p>
              </w:tc>
            </w:tr>
            <w:tr w14:paraId="6D242E4A">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5000" w:type="pct"/>
                  <w:gridSpan w:val="6"/>
                  <w:tcBorders>
                    <w:top w:val="single" w:color="auto" w:sz="8" w:space="0"/>
                    <w:bottom w:val="single" w:color="auto" w:sz="8" w:space="0"/>
                  </w:tcBorders>
                  <w:shd w:val="clear" w:color="auto" w:fill="D7D7D7"/>
                  <w:noWrap w:val="0"/>
                  <w:vAlign w:val="center"/>
                </w:tcPr>
                <w:p w14:paraId="65FBC16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b/>
                      <w:color w:val="000000"/>
                      <w:sz w:val="21"/>
                      <w:szCs w:val="21"/>
                      <w:highlight w:val="none"/>
                    </w:rPr>
                  </w:pPr>
                  <w:r>
                    <w:rPr>
                      <w:rFonts w:hint="eastAsia" w:ascii="Times New Roman" w:hAnsi="Times New Roman" w:eastAsia="宋体" w:cs="Times New Roman"/>
                      <w:b/>
                      <w:color w:val="000000"/>
                      <w:sz w:val="21"/>
                      <w:szCs w:val="21"/>
                      <w:highlight w:val="none"/>
                      <w:lang w:val="en-US" w:eastAsia="zh-CN"/>
                    </w:rPr>
                    <w:t>二</w:t>
                  </w:r>
                  <w:r>
                    <w:rPr>
                      <w:rFonts w:hint="default" w:ascii="Times New Roman" w:hAnsi="Times New Roman" w:eastAsia="宋体" w:cs="Times New Roman"/>
                      <w:b/>
                      <w:color w:val="000000"/>
                      <w:sz w:val="21"/>
                      <w:szCs w:val="21"/>
                      <w:highlight w:val="none"/>
                    </w:rPr>
                    <w:t>、固体废物</w:t>
                  </w:r>
                </w:p>
              </w:tc>
            </w:tr>
            <w:tr w14:paraId="64E1E80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112" w:type="pct"/>
                  <w:tcBorders>
                    <w:top w:val="single" w:color="auto" w:sz="8" w:space="0"/>
                  </w:tcBorders>
                  <w:noWrap w:val="0"/>
                  <w:vAlign w:val="center"/>
                </w:tcPr>
                <w:p w14:paraId="16056AA8">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color w:val="000000"/>
                      <w:sz w:val="21"/>
                      <w:szCs w:val="21"/>
                      <w:highlight w:val="none"/>
                      <w:lang w:val="en-US" w:eastAsia="zh-CN"/>
                    </w:rPr>
                    <w:t>固废名称</w:t>
                  </w:r>
                </w:p>
              </w:tc>
              <w:tc>
                <w:tcPr>
                  <w:tcW w:w="1575" w:type="pct"/>
                  <w:gridSpan w:val="2"/>
                  <w:tcBorders>
                    <w:top w:val="single" w:color="auto" w:sz="8" w:space="0"/>
                  </w:tcBorders>
                  <w:noWrap w:val="0"/>
                  <w:vAlign w:val="center"/>
                </w:tcPr>
                <w:p w14:paraId="5E458C26">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eastAsia"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rPr>
                    <w:t>产生量</w:t>
                  </w:r>
                  <w:r>
                    <w:rPr>
                      <w:rFonts w:hint="eastAsia" w:ascii="Times New Roman" w:hAnsi="Times New Roman" w:eastAsia="宋体" w:cs="Times New Roman"/>
                      <w:color w:val="000000"/>
                      <w:sz w:val="21"/>
                      <w:szCs w:val="21"/>
                      <w:highlight w:val="none"/>
                      <w:lang w:eastAsia="zh-CN"/>
                    </w:rPr>
                    <w:t>（</w:t>
                  </w:r>
                  <w:r>
                    <w:rPr>
                      <w:rFonts w:hint="eastAsia" w:ascii="Times New Roman" w:hAnsi="Times New Roman" w:eastAsia="宋体" w:cs="Times New Roman"/>
                      <w:color w:val="000000"/>
                      <w:sz w:val="21"/>
                      <w:szCs w:val="21"/>
                      <w:highlight w:val="none"/>
                      <w:lang w:val="en-US" w:eastAsia="zh-CN"/>
                    </w:rPr>
                    <w:t>t/a</w:t>
                  </w:r>
                  <w:r>
                    <w:rPr>
                      <w:rFonts w:hint="eastAsia" w:ascii="Times New Roman" w:hAnsi="Times New Roman" w:eastAsia="宋体" w:cs="Times New Roman"/>
                      <w:color w:val="000000"/>
                      <w:sz w:val="21"/>
                      <w:szCs w:val="21"/>
                      <w:highlight w:val="none"/>
                      <w:lang w:eastAsia="zh-CN"/>
                    </w:rPr>
                    <w:t>）</w:t>
                  </w:r>
                </w:p>
              </w:tc>
              <w:tc>
                <w:tcPr>
                  <w:tcW w:w="2312" w:type="pct"/>
                  <w:gridSpan w:val="3"/>
                  <w:tcBorders>
                    <w:top w:val="single" w:color="auto" w:sz="8" w:space="0"/>
                  </w:tcBorders>
                  <w:noWrap w:val="0"/>
                  <w:vAlign w:val="center"/>
                </w:tcPr>
                <w:p w14:paraId="2A3D0E14">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处理/处置措施</w:t>
                  </w:r>
                </w:p>
              </w:tc>
            </w:tr>
            <w:tr w14:paraId="67640AD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5000" w:type="pct"/>
                  <w:gridSpan w:val="6"/>
                  <w:tcBorders>
                    <w:top w:val="single" w:color="auto" w:sz="8" w:space="0"/>
                  </w:tcBorders>
                  <w:noWrap w:val="0"/>
                  <w:vAlign w:val="center"/>
                </w:tcPr>
                <w:p w14:paraId="6492C3C2">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rPr>
                  </w:pPr>
                  <w:r>
                    <w:rPr>
                      <w:rFonts w:hint="eastAsia" w:ascii="Times New Roman" w:hAnsi="Times New Roman" w:eastAsia="宋体" w:cs="Times New Roman"/>
                      <w:b/>
                      <w:color w:val="000000"/>
                      <w:sz w:val="21"/>
                      <w:szCs w:val="21"/>
                      <w:highlight w:val="none"/>
                      <w:lang w:val="en-US" w:eastAsia="zh-CN"/>
                    </w:rPr>
                    <w:t>一般固废</w:t>
                  </w:r>
                </w:p>
              </w:tc>
            </w:tr>
            <w:tr w14:paraId="32AE6202">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112" w:type="pct"/>
                  <w:noWrap w:val="0"/>
                  <w:vAlign w:val="center"/>
                </w:tcPr>
                <w:p w14:paraId="3F4C2B90">
                  <w:pPr>
                    <w:pStyle w:val="154"/>
                    <w:keepNext w:val="0"/>
                    <w:keepLines w:val="0"/>
                    <w:pageBreakBefore w:val="0"/>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废一般包装材料</w:t>
                  </w:r>
                </w:p>
              </w:tc>
              <w:tc>
                <w:tcPr>
                  <w:tcW w:w="1575" w:type="pct"/>
                  <w:gridSpan w:val="2"/>
                  <w:noWrap w:val="0"/>
                  <w:vAlign w:val="center"/>
                </w:tcPr>
                <w:p w14:paraId="41E7D287">
                  <w:pPr>
                    <w:keepNext w:val="0"/>
                    <w:keepLines/>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1.0</w:t>
                  </w:r>
                </w:p>
              </w:tc>
              <w:tc>
                <w:tcPr>
                  <w:tcW w:w="2312" w:type="pct"/>
                  <w:gridSpan w:val="3"/>
                  <w:noWrap w:val="0"/>
                  <w:vAlign w:val="center"/>
                </w:tcPr>
                <w:p w14:paraId="4719A030">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收集后外售给</w:t>
                  </w:r>
                  <w:r>
                    <w:rPr>
                      <w:rFonts w:hint="eastAsia" w:cs="Times New Roman"/>
                      <w:color w:val="000000"/>
                      <w:sz w:val="21"/>
                      <w:szCs w:val="21"/>
                      <w:highlight w:val="none"/>
                      <w:lang w:val="en-US" w:eastAsia="zh-CN"/>
                    </w:rPr>
                    <w:t>相关单位</w:t>
                  </w:r>
                  <w:r>
                    <w:rPr>
                      <w:rFonts w:hint="default" w:ascii="Times New Roman" w:hAnsi="Times New Roman" w:eastAsia="宋体" w:cs="Times New Roman"/>
                      <w:color w:val="000000"/>
                      <w:sz w:val="21"/>
                      <w:szCs w:val="21"/>
                      <w:highlight w:val="none"/>
                      <w:lang w:val="en-US" w:eastAsia="zh-CN"/>
                    </w:rPr>
                    <w:t>综合利用</w:t>
                  </w:r>
                </w:p>
              </w:tc>
            </w:tr>
            <w:tr w14:paraId="0FE2952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5000" w:type="pct"/>
                  <w:gridSpan w:val="6"/>
                  <w:noWrap w:val="0"/>
                  <w:vAlign w:val="center"/>
                </w:tcPr>
                <w:p w14:paraId="2BB567E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eastAsia="宋体" w:cs="Times New Roman"/>
                      <w:b/>
                      <w:bCs/>
                      <w:color w:val="000000"/>
                      <w:sz w:val="21"/>
                      <w:szCs w:val="21"/>
                      <w:highlight w:val="none"/>
                      <w:lang w:val="en-US" w:eastAsia="zh-CN"/>
                    </w:rPr>
                    <w:t>危险废物</w:t>
                  </w:r>
                </w:p>
              </w:tc>
            </w:tr>
            <w:tr w14:paraId="056D8B87">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112" w:type="pct"/>
                  <w:noWrap w:val="0"/>
                  <w:vAlign w:val="center"/>
                </w:tcPr>
                <w:p w14:paraId="66222A66">
                  <w:pPr>
                    <w:keepNext w:val="0"/>
                    <w:keepLines/>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宋体"/>
                      <w:color w:val="000000"/>
                      <w:spacing w:val="9"/>
                      <w:sz w:val="21"/>
                      <w:szCs w:val="21"/>
                      <w:highlight w:val="none"/>
                      <w:lang w:val="en-US" w:eastAsia="zh-CN"/>
                    </w:rPr>
                  </w:pPr>
                  <w:r>
                    <w:rPr>
                      <w:rFonts w:hint="eastAsia" w:cs="宋体"/>
                      <w:color w:val="000000"/>
                      <w:spacing w:val="9"/>
                      <w:sz w:val="21"/>
                      <w:szCs w:val="21"/>
                      <w:highlight w:val="none"/>
                      <w:lang w:val="en-US" w:eastAsia="zh-CN"/>
                    </w:rPr>
                    <w:t>医疗废物</w:t>
                  </w:r>
                </w:p>
              </w:tc>
              <w:tc>
                <w:tcPr>
                  <w:tcW w:w="1575" w:type="pct"/>
                  <w:gridSpan w:val="2"/>
                  <w:noWrap w:val="0"/>
                  <w:vAlign w:val="center"/>
                </w:tcPr>
                <w:p w14:paraId="5E7CCDC5">
                  <w:pPr>
                    <w:keepNext w:val="0"/>
                    <w:keepLines/>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000000"/>
                      <w:spacing w:val="2"/>
                      <w:position w:val="1"/>
                      <w:sz w:val="21"/>
                      <w:szCs w:val="21"/>
                      <w:highlight w:val="none"/>
                      <w:lang w:val="en-US" w:eastAsia="zh-CN"/>
                    </w:rPr>
                  </w:pPr>
                  <w:r>
                    <w:rPr>
                      <w:rFonts w:hint="eastAsia" w:cs="Times New Roman"/>
                      <w:color w:val="000000"/>
                      <w:spacing w:val="2"/>
                      <w:position w:val="1"/>
                      <w:sz w:val="21"/>
                      <w:szCs w:val="21"/>
                      <w:highlight w:val="none"/>
                      <w:lang w:val="en-US" w:eastAsia="zh-CN"/>
                    </w:rPr>
                    <w:t>2.7</w:t>
                  </w:r>
                </w:p>
              </w:tc>
              <w:tc>
                <w:tcPr>
                  <w:tcW w:w="2312" w:type="pct"/>
                  <w:gridSpan w:val="3"/>
                  <w:vMerge w:val="restart"/>
                  <w:noWrap w:val="0"/>
                  <w:vAlign w:val="center"/>
                </w:tcPr>
                <w:p w14:paraId="6E4D336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暂存于危废</w:t>
                  </w:r>
                  <w:r>
                    <w:rPr>
                      <w:rFonts w:hint="eastAsia" w:ascii="Times New Roman" w:hAnsi="Times New Roman" w:eastAsia="宋体" w:cs="Times New Roman"/>
                      <w:color w:val="000000"/>
                      <w:sz w:val="21"/>
                      <w:szCs w:val="21"/>
                      <w:highlight w:val="none"/>
                      <w:lang w:val="en-US" w:eastAsia="zh-CN"/>
                    </w:rPr>
                    <w:t>储存库</w:t>
                  </w:r>
                  <w:r>
                    <w:rPr>
                      <w:rFonts w:hint="default" w:ascii="Times New Roman" w:hAnsi="Times New Roman" w:eastAsia="宋体" w:cs="Times New Roman"/>
                      <w:color w:val="000000"/>
                      <w:sz w:val="21"/>
                      <w:szCs w:val="21"/>
                      <w:highlight w:val="none"/>
                      <w:lang w:val="en-US" w:eastAsia="zh-CN"/>
                    </w:rPr>
                    <w:t>内，委托</w:t>
                  </w:r>
                  <w:r>
                    <w:rPr>
                      <w:rFonts w:hint="eastAsia" w:ascii="Times New Roman" w:hAnsi="Times New Roman" w:eastAsia="宋体" w:cs="Times New Roman"/>
                      <w:color w:val="000000"/>
                      <w:sz w:val="21"/>
                      <w:szCs w:val="21"/>
                      <w:highlight w:val="none"/>
                      <w:lang w:val="en-US" w:eastAsia="zh-CN"/>
                    </w:rPr>
                    <w:t>福建省固体废物处置有限公司</w:t>
                  </w:r>
                  <w:r>
                    <w:rPr>
                      <w:rFonts w:hint="default" w:ascii="Times New Roman" w:hAnsi="Times New Roman" w:eastAsia="宋体" w:cs="Times New Roman"/>
                      <w:color w:val="000000"/>
                      <w:sz w:val="21"/>
                      <w:szCs w:val="21"/>
                      <w:highlight w:val="none"/>
                      <w:lang w:val="en-US" w:eastAsia="zh-CN"/>
                    </w:rPr>
                    <w:t>处置</w:t>
                  </w:r>
                </w:p>
              </w:tc>
            </w:tr>
            <w:tr w14:paraId="093847DD">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112" w:type="pct"/>
                  <w:noWrap w:val="0"/>
                  <w:vAlign w:val="center"/>
                </w:tcPr>
                <w:p w14:paraId="19D442D9">
                  <w:pPr>
                    <w:keepNext w:val="0"/>
                    <w:keepLines/>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污水处理设施污泥</w:t>
                  </w:r>
                </w:p>
              </w:tc>
              <w:tc>
                <w:tcPr>
                  <w:tcW w:w="1575" w:type="pct"/>
                  <w:gridSpan w:val="2"/>
                  <w:noWrap w:val="0"/>
                  <w:vAlign w:val="center"/>
                </w:tcPr>
                <w:p w14:paraId="41207C40">
                  <w:pPr>
                    <w:keepNext w:val="0"/>
                    <w:keepLines/>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1.5</w:t>
                  </w:r>
                </w:p>
              </w:tc>
              <w:tc>
                <w:tcPr>
                  <w:tcW w:w="2312" w:type="pct"/>
                  <w:gridSpan w:val="3"/>
                  <w:vMerge w:val="continue"/>
                  <w:noWrap w:val="0"/>
                  <w:vAlign w:val="center"/>
                </w:tcPr>
                <w:p w14:paraId="5E8813B7">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000000"/>
                      <w:sz w:val="21"/>
                      <w:szCs w:val="21"/>
                      <w:highlight w:val="none"/>
                    </w:rPr>
                  </w:pPr>
                </w:p>
              </w:tc>
            </w:tr>
            <w:tr w14:paraId="71E92D6E">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5000" w:type="pct"/>
                  <w:gridSpan w:val="6"/>
                  <w:noWrap w:val="0"/>
                  <w:vAlign w:val="center"/>
                </w:tcPr>
                <w:p w14:paraId="413F4F0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b/>
                      <w:bCs/>
                      <w:color w:val="000000"/>
                      <w:sz w:val="21"/>
                      <w:szCs w:val="21"/>
                      <w:highlight w:val="none"/>
                    </w:rPr>
                    <w:t>生活垃圾</w:t>
                  </w:r>
                </w:p>
              </w:tc>
            </w:tr>
            <w:tr w14:paraId="45B34B83">
              <w:tblPrEx>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112" w:type="pct"/>
                  <w:noWrap w:val="0"/>
                  <w:vAlign w:val="center"/>
                </w:tcPr>
                <w:p w14:paraId="0A5AF1C1">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宋体"/>
                      <w:color w:val="000000"/>
                      <w:spacing w:val="8"/>
                      <w:sz w:val="21"/>
                      <w:szCs w:val="21"/>
                      <w:highlight w:val="none"/>
                      <w:lang w:val="en-US" w:eastAsia="zh-CN"/>
                    </w:rPr>
                  </w:pPr>
                  <w:r>
                    <w:rPr>
                      <w:rFonts w:hint="default" w:ascii="Times New Roman" w:hAnsi="Times New Roman" w:eastAsia="宋体" w:cs="Times New Roman"/>
                      <w:color w:val="000000"/>
                      <w:sz w:val="21"/>
                      <w:szCs w:val="21"/>
                      <w:highlight w:val="none"/>
                    </w:rPr>
                    <w:t>生活垃圾</w:t>
                  </w:r>
                </w:p>
              </w:tc>
              <w:tc>
                <w:tcPr>
                  <w:tcW w:w="1575" w:type="pct"/>
                  <w:gridSpan w:val="2"/>
                  <w:noWrap w:val="0"/>
                  <w:vAlign w:val="center"/>
                </w:tcPr>
                <w:p w14:paraId="08E7A8A7">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49.</w:t>
                  </w:r>
                  <w:r>
                    <w:rPr>
                      <w:rFonts w:hint="eastAsia" w:cs="Times New Roman"/>
                      <w:color w:val="000000"/>
                      <w:sz w:val="21"/>
                      <w:szCs w:val="21"/>
                      <w:highlight w:val="none"/>
                      <w:lang w:val="en-US" w:eastAsia="zh-CN"/>
                    </w:rPr>
                    <w:t>3</w:t>
                  </w:r>
                </w:p>
              </w:tc>
              <w:tc>
                <w:tcPr>
                  <w:tcW w:w="2312" w:type="pct"/>
                  <w:gridSpan w:val="3"/>
                  <w:noWrap w:val="0"/>
                  <w:vAlign w:val="center"/>
                </w:tcPr>
                <w:p w14:paraId="6151A16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分类收集后交由环卫部门统一清运处置</w:t>
                  </w:r>
                </w:p>
              </w:tc>
            </w:tr>
          </w:tbl>
          <w:p w14:paraId="11F0DDB2">
            <w:pPr>
              <w:pStyle w:val="4"/>
              <w:keepNext/>
              <w:keepLines/>
              <w:pageBreakBefore w:val="0"/>
              <w:widowControl w:val="0"/>
              <w:tabs>
                <w:tab w:val="left" w:pos="0"/>
                <w:tab w:val="clear" w:pos="420"/>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现有工程的环保投诉情况、事故和处罚情况</w:t>
            </w:r>
          </w:p>
          <w:p w14:paraId="7AD6B995">
            <w:pPr>
              <w:keepNext w:val="0"/>
              <w:keepLines w:val="0"/>
              <w:pageBreakBefore w:val="0"/>
              <w:widowControl w:val="0"/>
              <w:kinsoku/>
              <w:wordWrap/>
              <w:overflowPunct/>
              <w:topLinePunct w:val="0"/>
              <w:autoSpaceDE/>
              <w:autoSpaceDN/>
              <w:bidi w:val="0"/>
              <w:adjustRightInd w:val="0"/>
              <w:snapToGrid w:val="0"/>
              <w:spacing w:beforeLines="0" w:line="360" w:lineRule="auto"/>
              <w:ind w:firstLine="480"/>
              <w:textAlignment w:val="auto"/>
              <w:rPr>
                <w:rFonts w:hint="default" w:ascii="Times New Roman" w:hAnsi="Times New Roman" w:cs="Times New Roman"/>
                <w:color w:val="auto"/>
                <w:sz w:val="24"/>
                <w:highlight w:val="none"/>
                <w:lang w:val="en-GB"/>
              </w:rPr>
            </w:pPr>
            <w:r>
              <w:rPr>
                <w:rFonts w:hint="default" w:ascii="Times New Roman" w:hAnsi="Times New Roman" w:cs="Times New Roman"/>
                <w:color w:val="auto"/>
                <w:sz w:val="24"/>
                <w:highlight w:val="none"/>
              </w:rPr>
              <w:t>根据建设单位了解的情况和网络查询，</w:t>
            </w:r>
            <w:r>
              <w:rPr>
                <w:rFonts w:hint="default" w:ascii="Times New Roman" w:hAnsi="Times New Roman" w:cs="Times New Roman"/>
                <w:color w:val="auto"/>
                <w:sz w:val="24"/>
                <w:szCs w:val="24"/>
                <w:highlight w:val="none"/>
                <w:lang w:val="en-US" w:eastAsia="zh-CN"/>
              </w:rPr>
              <w:t>项目</w:t>
            </w:r>
            <w:r>
              <w:rPr>
                <w:rFonts w:hint="default" w:ascii="Times New Roman" w:hAnsi="Times New Roman" w:eastAsia="宋体" w:cs="Times New Roman"/>
                <w:color w:val="auto"/>
                <w:sz w:val="24"/>
                <w:szCs w:val="24"/>
                <w:highlight w:val="none"/>
                <w:lang w:eastAsia="zh-CN"/>
              </w:rPr>
              <w:t>投产</w:t>
            </w:r>
            <w:r>
              <w:rPr>
                <w:rFonts w:hint="default" w:ascii="Times New Roman" w:hAnsi="Times New Roman" w:cs="Times New Roman"/>
                <w:color w:val="auto"/>
                <w:sz w:val="24"/>
                <w:szCs w:val="24"/>
                <w:highlight w:val="none"/>
                <w:lang w:val="en-US" w:eastAsia="zh-CN"/>
              </w:rPr>
              <w:t>以来，未收到周边居民及企业的环境污染投诉事件，也未受到</w:t>
            </w:r>
            <w:r>
              <w:rPr>
                <w:rFonts w:hint="default" w:ascii="Times New Roman" w:hAnsi="Times New Roman" w:cs="Times New Roman"/>
                <w:color w:val="auto"/>
                <w:sz w:val="24"/>
                <w:highlight w:val="none"/>
                <w:lang w:eastAsia="zh-CN"/>
              </w:rPr>
              <w:t>生态环境行政主管部门的</w:t>
            </w:r>
            <w:r>
              <w:rPr>
                <w:rFonts w:hint="default" w:ascii="Times New Roman" w:hAnsi="Times New Roman" w:cs="Times New Roman"/>
                <w:color w:val="auto"/>
                <w:sz w:val="24"/>
                <w:highlight w:val="none"/>
              </w:rPr>
              <w:t>处罚，</w:t>
            </w:r>
            <w:r>
              <w:rPr>
                <w:rFonts w:hint="default" w:ascii="Times New Roman" w:hAnsi="Times New Roman" w:cs="Times New Roman"/>
                <w:color w:val="auto"/>
                <w:sz w:val="24"/>
                <w:highlight w:val="none"/>
                <w:lang w:eastAsia="zh-CN"/>
              </w:rPr>
              <w:t>未发生环境风险事故等</w:t>
            </w:r>
            <w:r>
              <w:rPr>
                <w:rFonts w:hint="default" w:ascii="Times New Roman" w:hAnsi="Times New Roman" w:cs="Times New Roman"/>
                <w:color w:val="auto"/>
                <w:sz w:val="24"/>
                <w:highlight w:val="none"/>
                <w:lang w:val="en-GB"/>
              </w:rPr>
              <w:t>。</w:t>
            </w:r>
          </w:p>
          <w:p w14:paraId="6216418C">
            <w:pPr>
              <w:pStyle w:val="4"/>
              <w:keepNext/>
              <w:keepLines/>
              <w:pageBreakBefore w:val="0"/>
              <w:widowControl w:val="0"/>
              <w:tabs>
                <w:tab w:val="left" w:pos="0"/>
                <w:tab w:val="clear" w:pos="420"/>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 现有工程存在环保问题</w:t>
            </w:r>
          </w:p>
          <w:p w14:paraId="628409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 w:val="0"/>
                <w:bCs/>
                <w:color w:val="000000"/>
                <w:sz w:val="24"/>
                <w:szCs w:val="24"/>
                <w:lang w:val="en-US" w:eastAsia="zh-CN"/>
              </w:rPr>
            </w:pPr>
            <w:r>
              <w:rPr>
                <w:rFonts w:hint="eastAsia" w:ascii="Times New Roman" w:hAnsi="Times New Roman" w:eastAsia="宋体" w:cs="Times New Roman"/>
                <w:b w:val="0"/>
                <w:bCs/>
                <w:color w:val="000000"/>
                <w:sz w:val="24"/>
                <w:szCs w:val="24"/>
                <w:lang w:val="en-US" w:eastAsia="zh-CN"/>
              </w:rPr>
              <w:t>本项目为</w:t>
            </w:r>
            <w:r>
              <w:rPr>
                <w:rFonts w:hint="eastAsia" w:cs="Times New Roman"/>
                <w:b w:val="0"/>
                <w:bCs/>
                <w:color w:val="000000"/>
                <w:sz w:val="24"/>
                <w:szCs w:val="24"/>
                <w:lang w:val="en-US" w:eastAsia="zh-CN"/>
              </w:rPr>
              <w:t>迁建</w:t>
            </w:r>
            <w:r>
              <w:rPr>
                <w:rFonts w:hint="eastAsia" w:ascii="Times New Roman" w:hAnsi="Times New Roman" w:eastAsia="宋体" w:cs="Times New Roman"/>
                <w:b w:val="0"/>
                <w:bCs/>
                <w:color w:val="000000"/>
                <w:sz w:val="24"/>
                <w:szCs w:val="24"/>
                <w:lang w:val="en-US" w:eastAsia="zh-CN"/>
              </w:rPr>
              <w:t>项目，原院址位于福州市罗源县凤山镇西大路13号</w:t>
            </w:r>
            <w:r>
              <w:rPr>
                <w:rFonts w:hint="default" w:ascii="Times New Roman" w:hAnsi="Times New Roman" w:eastAsia="宋体" w:cs="Times New Roman"/>
                <w:b w:val="0"/>
                <w:bCs/>
                <w:color w:val="000000"/>
                <w:sz w:val="24"/>
                <w:szCs w:val="24"/>
                <w:lang w:val="en-US" w:eastAsia="zh-CN"/>
              </w:rPr>
              <w:t>。</w:t>
            </w:r>
            <w:r>
              <w:rPr>
                <w:rFonts w:hint="eastAsia" w:ascii="Times New Roman" w:hAnsi="Times New Roman" w:eastAsia="宋体" w:cs="Times New Roman"/>
                <w:b w:val="0"/>
                <w:bCs/>
                <w:color w:val="000000"/>
                <w:sz w:val="24"/>
                <w:szCs w:val="24"/>
                <w:lang w:val="en-US" w:eastAsia="zh-CN"/>
              </w:rPr>
              <w:t>现有项目环保手续详见表2.8-1</w:t>
            </w:r>
            <w:r>
              <w:rPr>
                <w:rFonts w:hint="eastAsia" w:cs="Times New Roman"/>
                <w:b w:val="0"/>
                <w:bCs/>
                <w:color w:val="000000"/>
                <w:sz w:val="24"/>
                <w:szCs w:val="24"/>
                <w:lang w:val="en-US" w:eastAsia="zh-CN"/>
              </w:rPr>
              <w:t>，</w:t>
            </w:r>
            <w:r>
              <w:rPr>
                <w:rFonts w:hint="eastAsia" w:ascii="Times New Roman" w:hAnsi="Times New Roman" w:eastAsia="宋体" w:cs="Times New Roman"/>
                <w:b w:val="0"/>
                <w:bCs/>
                <w:color w:val="000000"/>
                <w:sz w:val="24"/>
                <w:szCs w:val="24"/>
                <w:lang w:val="en-US" w:eastAsia="zh-CN"/>
              </w:rPr>
              <w:t>根据验收意见中的说明，本项目按环评批复要求落实了相应的污染物</w:t>
            </w:r>
            <w:r>
              <w:rPr>
                <w:rFonts w:hint="eastAsia" w:cs="Times New Roman"/>
                <w:b w:val="0"/>
                <w:bCs/>
                <w:color w:val="000000"/>
                <w:sz w:val="24"/>
                <w:szCs w:val="24"/>
                <w:lang w:val="en-US" w:eastAsia="zh-CN"/>
              </w:rPr>
              <w:t>防治</w:t>
            </w:r>
            <w:r>
              <w:rPr>
                <w:rFonts w:hint="eastAsia" w:ascii="Times New Roman" w:hAnsi="Times New Roman" w:eastAsia="宋体" w:cs="Times New Roman"/>
                <w:b w:val="0"/>
                <w:bCs/>
                <w:color w:val="000000"/>
                <w:sz w:val="24"/>
                <w:szCs w:val="24"/>
                <w:lang w:val="en-US" w:eastAsia="zh-CN"/>
              </w:rPr>
              <w:t>措施，做到了环境保护“三同时”，环境保护手续齐全，主要污染物的排放能达到国家标准控制要求，项目建设符合竣工</w:t>
            </w:r>
            <w:r>
              <w:rPr>
                <w:rFonts w:hint="eastAsia" w:cs="Times New Roman"/>
                <w:b w:val="0"/>
                <w:bCs/>
                <w:color w:val="000000"/>
                <w:sz w:val="24"/>
                <w:szCs w:val="24"/>
                <w:lang w:val="en-US" w:eastAsia="zh-CN"/>
              </w:rPr>
              <w:t>环境保护</w:t>
            </w:r>
            <w:r>
              <w:rPr>
                <w:rFonts w:hint="eastAsia" w:ascii="Times New Roman" w:hAnsi="Times New Roman" w:eastAsia="宋体" w:cs="Times New Roman"/>
                <w:b w:val="0"/>
                <w:bCs/>
                <w:color w:val="000000"/>
                <w:sz w:val="24"/>
                <w:szCs w:val="24"/>
                <w:lang w:val="en-US" w:eastAsia="zh-CN"/>
              </w:rPr>
              <w:t>验收条件，统一通过环境保护竣工验收。根据实地调查，福建省福州市罗源县凤山镇东大新村3号（2#楼、负压病房大楼以及1#楼1-3层）（2#楼、负压病房大楼以及1#楼1-3层）目前为闲置状态，后续将进行医疗设备的搬迁、安装以及建筑装饰。目前无任何环保投诉和环境污染事件发生。新院区无与项目有关的主要环境问题。</w:t>
            </w:r>
          </w:p>
          <w:p w14:paraId="471B03B6">
            <w:pPr>
              <w:pStyle w:val="4"/>
              <w:keepNext/>
              <w:keepLines/>
              <w:pageBreakBefore w:val="0"/>
              <w:widowControl w:val="0"/>
              <w:tabs>
                <w:tab w:val="left" w:pos="0"/>
                <w:tab w:val="clear" w:pos="420"/>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三本账</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核算</w:t>
            </w:r>
          </w:p>
          <w:p w14:paraId="4CFCF8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color w:val="auto"/>
                <w:sz w:val="24"/>
                <w:szCs w:val="28"/>
                <w:highlight w:val="none"/>
              </w:rPr>
            </w:pPr>
            <w:r>
              <w:rPr>
                <w:rFonts w:hint="default" w:ascii="Times New Roman" w:hAnsi="Times New Roman" w:cs="Times New Roman"/>
                <w:bCs/>
                <w:color w:val="auto"/>
                <w:sz w:val="24"/>
                <w:szCs w:val="28"/>
                <w:highlight w:val="none"/>
              </w:rPr>
              <w:t>本项目</w:t>
            </w:r>
            <w:r>
              <w:rPr>
                <w:rFonts w:hint="eastAsia" w:cs="Times New Roman"/>
                <w:bCs/>
                <w:color w:val="auto"/>
                <w:sz w:val="24"/>
                <w:szCs w:val="28"/>
                <w:highlight w:val="none"/>
                <w:lang w:val="en-US" w:eastAsia="zh-CN"/>
              </w:rPr>
              <w:t>迁建</w:t>
            </w:r>
            <w:r>
              <w:rPr>
                <w:rFonts w:hint="default" w:ascii="Times New Roman" w:hAnsi="Times New Roman" w:cs="Times New Roman"/>
                <w:bCs/>
                <w:color w:val="auto"/>
                <w:sz w:val="24"/>
                <w:szCs w:val="28"/>
                <w:highlight w:val="none"/>
              </w:rPr>
              <w:t>后全厂污染物排放</w:t>
            </w:r>
            <w:r>
              <w:rPr>
                <w:rFonts w:hint="eastAsia" w:cs="Times New Roman"/>
                <w:bCs/>
                <w:color w:val="auto"/>
                <w:sz w:val="24"/>
                <w:szCs w:val="28"/>
                <w:highlight w:val="none"/>
                <w:lang w:eastAsia="zh-CN"/>
              </w:rPr>
              <w:t>“三本账”</w:t>
            </w:r>
            <w:r>
              <w:rPr>
                <w:rFonts w:hint="default" w:ascii="Times New Roman" w:hAnsi="Times New Roman" w:cs="Times New Roman"/>
                <w:bCs/>
                <w:color w:val="auto"/>
                <w:sz w:val="24"/>
                <w:szCs w:val="28"/>
                <w:highlight w:val="none"/>
              </w:rPr>
              <w:t>统计情况</w:t>
            </w:r>
            <w:r>
              <w:rPr>
                <w:rFonts w:hint="eastAsia" w:cs="Times New Roman"/>
                <w:bCs/>
                <w:color w:val="auto"/>
                <w:sz w:val="24"/>
                <w:szCs w:val="28"/>
                <w:highlight w:val="none"/>
                <w:lang w:eastAsia="zh-CN"/>
              </w:rPr>
              <w:t>见</w:t>
            </w:r>
            <w:r>
              <w:rPr>
                <w:rFonts w:hint="default" w:ascii="Times New Roman" w:hAnsi="Times New Roman" w:cs="Times New Roman"/>
                <w:bCs/>
                <w:color w:val="auto"/>
                <w:sz w:val="24"/>
                <w:szCs w:val="28"/>
                <w:highlight w:val="none"/>
              </w:rPr>
              <w:t>表2.</w:t>
            </w:r>
            <w:r>
              <w:rPr>
                <w:rFonts w:hint="eastAsia" w:ascii="Times New Roman" w:hAnsi="Times New Roman" w:cs="Times New Roman"/>
                <w:bCs/>
                <w:color w:val="auto"/>
                <w:sz w:val="24"/>
                <w:szCs w:val="28"/>
                <w:highlight w:val="none"/>
                <w:lang w:val="en-US" w:eastAsia="zh-CN"/>
              </w:rPr>
              <w:t>8-8</w:t>
            </w:r>
            <w:r>
              <w:rPr>
                <w:rFonts w:hint="eastAsia" w:cs="Times New Roman"/>
                <w:bCs/>
                <w:color w:val="auto"/>
                <w:sz w:val="24"/>
                <w:szCs w:val="28"/>
                <w:highlight w:val="none"/>
                <w:lang w:val="en-US" w:eastAsia="zh-CN"/>
              </w:rPr>
              <w:t>：</w:t>
            </w:r>
          </w:p>
          <w:p w14:paraId="18E24932">
            <w:pPr>
              <w:pStyle w:val="44"/>
              <w:keepNext/>
              <w:keepLines/>
              <w:pageBreakBefore w:val="0"/>
              <w:widowControl w:val="0"/>
              <w:numPr>
                <w:ilvl w:val="7"/>
                <w:numId w:val="10"/>
              </w:numPr>
              <w:tabs>
                <w:tab w:val="left" w:pos="0"/>
              </w:tabs>
              <w:kinsoku/>
              <w:wordWrap/>
              <w:overflowPunct/>
              <w:topLinePunct w:val="0"/>
              <w:autoSpaceDE/>
              <w:autoSpaceDN/>
              <w:bidi w:val="0"/>
              <w:adjustRightInd/>
              <w:snapToGrid/>
              <w:spacing w:before="0" w:after="0"/>
              <w:ind w:left="630" w:leftChars="0" w:firstLineChars="0"/>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cs="Times New Roman"/>
                <w:color w:val="auto"/>
                <w:highlight w:val="none"/>
                <w:lang w:val="en-US" w:eastAsia="zh-CN"/>
              </w:rPr>
              <w:t>项目“三本账”一览表</w:t>
            </w:r>
          </w:p>
          <w:tbl>
            <w:tblPr>
              <w:tblStyle w:val="34"/>
              <w:tblW w:w="4993" w:type="pct"/>
              <w:jc w:val="center"/>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autofit"/>
              <w:tblCellMar>
                <w:top w:w="0" w:type="dxa"/>
                <w:left w:w="108" w:type="dxa"/>
                <w:bottom w:w="0" w:type="dxa"/>
                <w:right w:w="108" w:type="dxa"/>
              </w:tblCellMar>
            </w:tblPr>
            <w:tblGrid>
              <w:gridCol w:w="426"/>
              <w:gridCol w:w="426"/>
              <w:gridCol w:w="670"/>
              <w:gridCol w:w="1414"/>
              <w:gridCol w:w="824"/>
              <w:gridCol w:w="1177"/>
              <w:gridCol w:w="1177"/>
              <w:gridCol w:w="1177"/>
              <w:gridCol w:w="1481"/>
            </w:tblGrid>
            <w:tr w14:paraId="38AD39AD">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809" w:hRule="atLeast"/>
                <w:jc w:val="center"/>
              </w:trPr>
              <w:tc>
                <w:tcPr>
                  <w:tcW w:w="242" w:type="pct"/>
                  <w:tcBorders>
                    <w:tl2br w:val="nil"/>
                    <w:tr2bl w:val="nil"/>
                  </w:tcBorders>
                  <w:noWrap w:val="0"/>
                  <w:vAlign w:val="center"/>
                </w:tcPr>
                <w:p w14:paraId="2E06C616">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sz w:val="21"/>
                      <w:szCs w:val="21"/>
                      <w:highlight w:val="none"/>
                    </w:rPr>
                    <w:t>类别</w:t>
                  </w:r>
                </w:p>
              </w:tc>
              <w:tc>
                <w:tcPr>
                  <w:tcW w:w="625" w:type="pct"/>
                  <w:gridSpan w:val="2"/>
                  <w:tcBorders>
                    <w:tl2br w:val="nil"/>
                    <w:tr2bl w:val="nil"/>
                  </w:tcBorders>
                  <w:noWrap w:val="0"/>
                  <w:vAlign w:val="center"/>
                </w:tcPr>
                <w:p w14:paraId="39E080EE">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sz w:val="21"/>
                      <w:szCs w:val="21"/>
                      <w:highlight w:val="none"/>
                    </w:rPr>
                    <w:t>项目</w:t>
                  </w:r>
                </w:p>
              </w:tc>
              <w:tc>
                <w:tcPr>
                  <w:tcW w:w="807" w:type="pct"/>
                  <w:tcBorders>
                    <w:tl2br w:val="nil"/>
                    <w:tr2bl w:val="nil"/>
                  </w:tcBorders>
                  <w:noWrap w:val="0"/>
                  <w:vAlign w:val="center"/>
                </w:tcPr>
                <w:p w14:paraId="58C4D204">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color w:val="auto"/>
                      <w:kern w:val="2"/>
                      <w:sz w:val="21"/>
                      <w:szCs w:val="21"/>
                      <w:highlight w:val="none"/>
                    </w:rPr>
                    <w:t>现有工程排放量</w:t>
                  </w:r>
                  <w:r>
                    <w:rPr>
                      <w:rFonts w:ascii="Times New Roman"/>
                      <w:snapToGrid w:val="0"/>
                      <w:color w:val="000000" w:themeColor="text1"/>
                      <w:spacing w:val="-6"/>
                      <w:kern w:val="21"/>
                      <w:szCs w:val="21"/>
                      <w:highlight w:val="none"/>
                      <w14:textFill>
                        <w14:solidFill>
                          <w14:schemeClr w14:val="tx1"/>
                        </w14:solidFill>
                      </w14:textFill>
                    </w:rPr>
                    <w:t>（固体废物产生量）</w:t>
                  </w:r>
                  <w:r>
                    <w:rPr>
                      <w:rFonts w:hint="eastAsia"/>
                      <w:snapToGrid w:val="0"/>
                      <w:color w:val="000000" w:themeColor="text1"/>
                      <w:spacing w:val="-6"/>
                      <w:kern w:val="21"/>
                      <w:szCs w:val="21"/>
                      <w:highlight w:val="none"/>
                      <w:lang w:eastAsia="zh-CN"/>
                      <w14:textFill>
                        <w14:solidFill>
                          <w14:schemeClr w14:val="tx1"/>
                        </w14:solidFill>
                      </w14:textFill>
                    </w:rPr>
                    <w:t>（</w:t>
                  </w:r>
                  <w:r>
                    <w:rPr>
                      <w:rFonts w:hint="eastAsia" w:ascii="Times New Roman"/>
                      <w:snapToGrid w:val="0"/>
                      <w:color w:val="000000" w:themeColor="text1"/>
                      <w:spacing w:val="-6"/>
                      <w:kern w:val="21"/>
                      <w:szCs w:val="21"/>
                      <w:highlight w:val="none"/>
                      <w:lang w:val="en-US" w:eastAsia="zh-CN"/>
                      <w14:textFill>
                        <w14:solidFill>
                          <w14:schemeClr w14:val="tx1"/>
                        </w14:solidFill>
                      </w14:textFill>
                    </w:rPr>
                    <w:t>t/a</w:t>
                  </w:r>
                  <w:r>
                    <w:rPr>
                      <w:rFonts w:hint="eastAsia"/>
                      <w:snapToGrid w:val="0"/>
                      <w:color w:val="000000" w:themeColor="text1"/>
                      <w:spacing w:val="-6"/>
                      <w:kern w:val="21"/>
                      <w:szCs w:val="21"/>
                      <w:highlight w:val="none"/>
                      <w:lang w:val="en-US" w:eastAsia="zh-CN"/>
                      <w14:textFill>
                        <w14:solidFill>
                          <w14:schemeClr w14:val="tx1"/>
                        </w14:solidFill>
                      </w14:textFill>
                    </w:rPr>
                    <w:t>）</w:t>
                  </w:r>
                </w:p>
              </w:tc>
              <w:tc>
                <w:tcPr>
                  <w:tcW w:w="471" w:type="pct"/>
                  <w:tcBorders>
                    <w:tl2br w:val="nil"/>
                    <w:tr2bl w:val="nil"/>
                  </w:tcBorders>
                  <w:noWrap w:val="0"/>
                  <w:vAlign w:val="center"/>
                </w:tcPr>
                <w:p w14:paraId="06AD6BD4">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sz w:val="21"/>
                      <w:szCs w:val="21"/>
                      <w:highlight w:val="none"/>
                      <w:lang w:eastAsia="zh-CN"/>
                    </w:rPr>
                    <w:t>总量控制要求</w:t>
                  </w:r>
                  <w:r>
                    <w:rPr>
                      <w:rFonts w:hint="eastAsia" w:cs="Times New Roman"/>
                      <w:color w:val="auto"/>
                      <w:sz w:val="21"/>
                      <w:szCs w:val="21"/>
                      <w:highlight w:val="none"/>
                      <w:lang w:eastAsia="zh-CN"/>
                    </w:rPr>
                    <w:t>（</w:t>
                  </w:r>
                  <w:r>
                    <w:rPr>
                      <w:rFonts w:hint="eastAsia" w:ascii="Times New Roman"/>
                      <w:snapToGrid w:val="0"/>
                      <w:color w:val="000000" w:themeColor="text1"/>
                      <w:spacing w:val="-6"/>
                      <w:kern w:val="21"/>
                      <w:szCs w:val="21"/>
                      <w:highlight w:val="none"/>
                      <w:lang w:val="en-US" w:eastAsia="zh-CN"/>
                      <w14:textFill>
                        <w14:solidFill>
                          <w14:schemeClr w14:val="tx1"/>
                        </w14:solidFill>
                      </w14:textFill>
                    </w:rPr>
                    <w:t>t/a</w:t>
                  </w:r>
                  <w:r>
                    <w:rPr>
                      <w:rFonts w:hint="eastAsia"/>
                      <w:snapToGrid w:val="0"/>
                      <w:color w:val="000000" w:themeColor="text1"/>
                      <w:spacing w:val="-6"/>
                      <w:kern w:val="21"/>
                      <w:szCs w:val="21"/>
                      <w:highlight w:val="none"/>
                      <w:lang w:val="en-US" w:eastAsia="zh-CN"/>
                      <w14:textFill>
                        <w14:solidFill>
                          <w14:schemeClr w14:val="tx1"/>
                        </w14:solidFill>
                      </w14:textFill>
                    </w:rPr>
                    <w:t>）</w:t>
                  </w:r>
                </w:p>
              </w:tc>
              <w:tc>
                <w:tcPr>
                  <w:tcW w:w="670" w:type="pct"/>
                  <w:tcBorders>
                    <w:tl2br w:val="nil"/>
                    <w:tr2bl w:val="nil"/>
                  </w:tcBorders>
                  <w:noWrap w:val="0"/>
                  <w:vAlign w:val="center"/>
                </w:tcPr>
                <w:p w14:paraId="60D28772">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rPr>
                    <w:t>本项目排放量</w:t>
                  </w:r>
                  <w:r>
                    <w:rPr>
                      <w:rFonts w:ascii="Times New Roman"/>
                      <w:snapToGrid w:val="0"/>
                      <w:color w:val="000000" w:themeColor="text1"/>
                      <w:spacing w:val="-6"/>
                      <w:kern w:val="21"/>
                      <w:szCs w:val="21"/>
                      <w:highlight w:val="none"/>
                      <w14:textFill>
                        <w14:solidFill>
                          <w14:schemeClr w14:val="tx1"/>
                        </w14:solidFill>
                      </w14:textFill>
                    </w:rPr>
                    <w:t>（固体废物产生量）</w:t>
                  </w:r>
                  <w:r>
                    <w:rPr>
                      <w:rFonts w:hint="eastAsia"/>
                      <w:snapToGrid w:val="0"/>
                      <w:color w:val="000000" w:themeColor="text1"/>
                      <w:spacing w:val="-6"/>
                      <w:kern w:val="21"/>
                      <w:szCs w:val="21"/>
                      <w:highlight w:val="none"/>
                      <w:lang w:eastAsia="zh-CN"/>
                      <w14:textFill>
                        <w14:solidFill>
                          <w14:schemeClr w14:val="tx1"/>
                        </w14:solidFill>
                      </w14:textFill>
                    </w:rPr>
                    <w:t>（</w:t>
                  </w:r>
                  <w:r>
                    <w:rPr>
                      <w:rFonts w:hint="eastAsia" w:ascii="Times New Roman"/>
                      <w:snapToGrid w:val="0"/>
                      <w:color w:val="000000" w:themeColor="text1"/>
                      <w:spacing w:val="-6"/>
                      <w:kern w:val="21"/>
                      <w:szCs w:val="21"/>
                      <w:highlight w:val="none"/>
                      <w:lang w:val="en-US" w:eastAsia="zh-CN"/>
                      <w14:textFill>
                        <w14:solidFill>
                          <w14:schemeClr w14:val="tx1"/>
                        </w14:solidFill>
                      </w14:textFill>
                    </w:rPr>
                    <w:t>t/a</w:t>
                  </w:r>
                  <w:r>
                    <w:rPr>
                      <w:rFonts w:hint="eastAsia"/>
                      <w:snapToGrid w:val="0"/>
                      <w:color w:val="000000" w:themeColor="text1"/>
                      <w:spacing w:val="-6"/>
                      <w:kern w:val="21"/>
                      <w:szCs w:val="21"/>
                      <w:highlight w:val="none"/>
                      <w:lang w:val="en-US" w:eastAsia="zh-CN"/>
                      <w14:textFill>
                        <w14:solidFill>
                          <w14:schemeClr w14:val="tx1"/>
                        </w14:solidFill>
                      </w14:textFill>
                    </w:rPr>
                    <w:t>）</w:t>
                  </w:r>
                </w:p>
              </w:tc>
              <w:tc>
                <w:tcPr>
                  <w:tcW w:w="670" w:type="pct"/>
                  <w:tcBorders>
                    <w:tl2br w:val="nil"/>
                    <w:tr2bl w:val="nil"/>
                  </w:tcBorders>
                  <w:noWrap w:val="0"/>
                  <w:vAlign w:val="center"/>
                </w:tcPr>
                <w:p w14:paraId="3BE85D9D">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eastAsia="zh-CN"/>
                    </w:rPr>
                  </w:pPr>
                  <w:r>
                    <w:rPr>
                      <w:rFonts w:hint="default" w:ascii="Times New Roman" w:hAnsi="Times New Roman" w:eastAsia="宋体" w:cs="Times New Roman"/>
                      <w:color w:val="auto"/>
                      <w:kern w:val="2"/>
                      <w:sz w:val="21"/>
                      <w:szCs w:val="21"/>
                      <w:highlight w:val="none"/>
                    </w:rPr>
                    <w:t>以新带老削减量</w:t>
                  </w:r>
                  <w:r>
                    <w:rPr>
                      <w:rFonts w:hint="eastAsia" w:cs="Times New Roman"/>
                      <w:color w:val="auto"/>
                      <w:kern w:val="2"/>
                      <w:sz w:val="21"/>
                      <w:szCs w:val="21"/>
                      <w:highlight w:val="none"/>
                      <w:lang w:eastAsia="zh-CN"/>
                    </w:rPr>
                    <w:t>（</w:t>
                  </w:r>
                  <w:r>
                    <w:rPr>
                      <w:rFonts w:hint="eastAsia" w:ascii="Times New Roman"/>
                      <w:snapToGrid w:val="0"/>
                      <w:color w:val="000000" w:themeColor="text1"/>
                      <w:spacing w:val="-6"/>
                      <w:kern w:val="21"/>
                      <w:szCs w:val="21"/>
                      <w:highlight w:val="none"/>
                      <w:lang w:val="en-US" w:eastAsia="zh-CN"/>
                      <w14:textFill>
                        <w14:solidFill>
                          <w14:schemeClr w14:val="tx1"/>
                        </w14:solidFill>
                      </w14:textFill>
                    </w:rPr>
                    <w:t>t/a</w:t>
                  </w:r>
                  <w:r>
                    <w:rPr>
                      <w:rFonts w:hint="eastAsia"/>
                      <w:snapToGrid w:val="0"/>
                      <w:color w:val="000000" w:themeColor="text1"/>
                      <w:spacing w:val="-6"/>
                      <w:kern w:val="21"/>
                      <w:szCs w:val="21"/>
                      <w:highlight w:val="none"/>
                      <w:lang w:val="en-US" w:eastAsia="zh-CN"/>
                      <w14:textFill>
                        <w14:solidFill>
                          <w14:schemeClr w14:val="tx1"/>
                        </w14:solidFill>
                      </w14:textFill>
                    </w:rPr>
                    <w:t>）</w:t>
                  </w:r>
                </w:p>
              </w:tc>
              <w:tc>
                <w:tcPr>
                  <w:tcW w:w="670" w:type="pct"/>
                  <w:tcBorders>
                    <w:tl2br w:val="nil"/>
                    <w:tr2bl w:val="nil"/>
                  </w:tcBorders>
                  <w:noWrap w:val="0"/>
                  <w:vAlign w:val="center"/>
                </w:tcPr>
                <w:p w14:paraId="5940504E">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rPr>
                  </w:pPr>
                  <w:r>
                    <w:rPr>
                      <w:rFonts w:hint="eastAsia" w:cs="Times New Roman"/>
                      <w:color w:val="auto"/>
                      <w:kern w:val="2"/>
                      <w:sz w:val="21"/>
                      <w:szCs w:val="21"/>
                      <w:highlight w:val="none"/>
                      <w:lang w:val="en-US" w:eastAsia="zh-CN"/>
                    </w:rPr>
                    <w:t>迁</w:t>
                  </w:r>
                  <w:r>
                    <w:rPr>
                      <w:rFonts w:hint="eastAsia" w:ascii="Times New Roman" w:hAnsi="Times New Roman" w:eastAsia="宋体" w:cs="Times New Roman"/>
                      <w:color w:val="auto"/>
                      <w:kern w:val="2"/>
                      <w:sz w:val="21"/>
                      <w:szCs w:val="21"/>
                      <w:highlight w:val="none"/>
                      <w:lang w:eastAsia="zh-CN"/>
                    </w:rPr>
                    <w:t>建</w:t>
                  </w:r>
                  <w:r>
                    <w:rPr>
                      <w:rFonts w:hint="default" w:ascii="Times New Roman" w:hAnsi="Times New Roman" w:eastAsia="宋体" w:cs="Times New Roman"/>
                      <w:color w:val="auto"/>
                      <w:kern w:val="2"/>
                      <w:sz w:val="21"/>
                      <w:szCs w:val="21"/>
                      <w:highlight w:val="none"/>
                    </w:rPr>
                    <w:t>后全厂排放量</w:t>
                  </w:r>
                  <w:r>
                    <w:rPr>
                      <w:rFonts w:ascii="Times New Roman"/>
                      <w:snapToGrid w:val="0"/>
                      <w:color w:val="000000" w:themeColor="text1"/>
                      <w:spacing w:val="-6"/>
                      <w:kern w:val="21"/>
                      <w:szCs w:val="21"/>
                      <w:highlight w:val="none"/>
                      <w14:textFill>
                        <w14:solidFill>
                          <w14:schemeClr w14:val="tx1"/>
                        </w14:solidFill>
                      </w14:textFill>
                    </w:rPr>
                    <w:t>（固体废物产生量）</w:t>
                  </w:r>
                  <w:r>
                    <w:rPr>
                      <w:rFonts w:hint="eastAsia"/>
                      <w:snapToGrid w:val="0"/>
                      <w:color w:val="000000" w:themeColor="text1"/>
                      <w:spacing w:val="-6"/>
                      <w:kern w:val="21"/>
                      <w:szCs w:val="21"/>
                      <w:highlight w:val="none"/>
                      <w:lang w:eastAsia="zh-CN"/>
                      <w14:textFill>
                        <w14:solidFill>
                          <w14:schemeClr w14:val="tx1"/>
                        </w14:solidFill>
                      </w14:textFill>
                    </w:rPr>
                    <w:t>（</w:t>
                  </w:r>
                  <w:r>
                    <w:rPr>
                      <w:rFonts w:hint="eastAsia" w:ascii="Times New Roman"/>
                      <w:snapToGrid w:val="0"/>
                      <w:color w:val="000000" w:themeColor="text1"/>
                      <w:spacing w:val="-6"/>
                      <w:kern w:val="21"/>
                      <w:szCs w:val="21"/>
                      <w:highlight w:val="none"/>
                      <w:lang w:val="en-US" w:eastAsia="zh-CN"/>
                      <w14:textFill>
                        <w14:solidFill>
                          <w14:schemeClr w14:val="tx1"/>
                        </w14:solidFill>
                      </w14:textFill>
                    </w:rPr>
                    <w:t>t/a</w:t>
                  </w:r>
                  <w:r>
                    <w:rPr>
                      <w:rFonts w:hint="eastAsia"/>
                      <w:snapToGrid w:val="0"/>
                      <w:color w:val="000000" w:themeColor="text1"/>
                      <w:spacing w:val="-6"/>
                      <w:kern w:val="21"/>
                      <w:szCs w:val="21"/>
                      <w:highlight w:val="none"/>
                      <w:lang w:val="en-US" w:eastAsia="zh-CN"/>
                      <w14:textFill>
                        <w14:solidFill>
                          <w14:schemeClr w14:val="tx1"/>
                        </w14:solidFill>
                      </w14:textFill>
                    </w:rPr>
                    <w:t>）</w:t>
                  </w:r>
                </w:p>
              </w:tc>
              <w:tc>
                <w:tcPr>
                  <w:tcW w:w="839" w:type="pct"/>
                  <w:tcBorders>
                    <w:tl2br w:val="nil"/>
                    <w:tr2bl w:val="nil"/>
                  </w:tcBorders>
                  <w:noWrap w:val="0"/>
                  <w:vAlign w:val="center"/>
                </w:tcPr>
                <w:p w14:paraId="38145178">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sz w:val="21"/>
                      <w:szCs w:val="21"/>
                      <w:highlight w:val="none"/>
                    </w:rPr>
                    <w:t>增减量</w:t>
                  </w:r>
                  <w:r>
                    <w:rPr>
                      <w:rFonts w:hint="eastAsia" w:cs="Times New Roman"/>
                      <w:color w:val="auto"/>
                      <w:sz w:val="21"/>
                      <w:szCs w:val="21"/>
                      <w:highlight w:val="none"/>
                      <w:lang w:eastAsia="zh-CN"/>
                    </w:rPr>
                    <w:t>（</w:t>
                  </w:r>
                  <w:r>
                    <w:rPr>
                      <w:rFonts w:hint="eastAsia" w:ascii="Times New Roman"/>
                      <w:snapToGrid w:val="0"/>
                      <w:color w:val="000000" w:themeColor="text1"/>
                      <w:spacing w:val="-6"/>
                      <w:kern w:val="21"/>
                      <w:szCs w:val="21"/>
                      <w:highlight w:val="none"/>
                      <w:lang w:val="en-US" w:eastAsia="zh-CN"/>
                      <w14:textFill>
                        <w14:solidFill>
                          <w14:schemeClr w14:val="tx1"/>
                        </w14:solidFill>
                      </w14:textFill>
                    </w:rPr>
                    <w:t>t/a</w:t>
                  </w:r>
                  <w:r>
                    <w:rPr>
                      <w:rFonts w:hint="eastAsia"/>
                      <w:snapToGrid w:val="0"/>
                      <w:color w:val="000000" w:themeColor="text1"/>
                      <w:spacing w:val="-6"/>
                      <w:kern w:val="21"/>
                      <w:szCs w:val="21"/>
                      <w:highlight w:val="none"/>
                      <w:lang w:val="en-US" w:eastAsia="zh-CN"/>
                      <w14:textFill>
                        <w14:solidFill>
                          <w14:schemeClr w14:val="tx1"/>
                        </w14:solidFill>
                      </w14:textFill>
                    </w:rPr>
                    <w:t>）</w:t>
                  </w:r>
                </w:p>
              </w:tc>
            </w:tr>
            <w:tr w14:paraId="7135B7C4">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45" w:hRule="atLeast"/>
                <w:jc w:val="center"/>
              </w:trPr>
              <w:tc>
                <w:tcPr>
                  <w:tcW w:w="242" w:type="pct"/>
                  <w:vMerge w:val="restart"/>
                  <w:tcBorders>
                    <w:tl2br w:val="nil"/>
                    <w:tr2bl w:val="nil"/>
                  </w:tcBorders>
                  <w:noWrap w:val="0"/>
                  <w:vAlign w:val="center"/>
                </w:tcPr>
                <w:p w14:paraId="13C517E7">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sz w:val="21"/>
                      <w:szCs w:val="21"/>
                      <w:highlight w:val="none"/>
                    </w:rPr>
                    <w:t>废水</w:t>
                  </w:r>
                </w:p>
              </w:tc>
              <w:tc>
                <w:tcPr>
                  <w:tcW w:w="625" w:type="pct"/>
                  <w:gridSpan w:val="2"/>
                  <w:tcBorders>
                    <w:tl2br w:val="nil"/>
                    <w:tr2bl w:val="nil"/>
                  </w:tcBorders>
                  <w:noWrap w:val="0"/>
                  <w:vAlign w:val="center"/>
                </w:tcPr>
                <w:p w14:paraId="0D6589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Times New Roman"/>
                      <w:color w:val="auto"/>
                      <w:sz w:val="21"/>
                      <w:szCs w:val="21"/>
                      <w:highlight w:val="none"/>
                      <w:lang w:eastAsia="zh-CN"/>
                    </w:rPr>
                  </w:pPr>
                  <w:r>
                    <w:rPr>
                      <w:rFonts w:hint="eastAsia" w:cs="Times New Roman"/>
                      <w:i w:val="0"/>
                      <w:iCs w:val="0"/>
                      <w:color w:val="000000"/>
                      <w:kern w:val="0"/>
                      <w:sz w:val="21"/>
                      <w:szCs w:val="21"/>
                      <w:highlight w:val="none"/>
                      <w:u w:val="none"/>
                      <w:lang w:val="en-US" w:eastAsia="zh-CN" w:bidi="ar"/>
                    </w:rPr>
                    <w:t>废</w:t>
                  </w:r>
                  <w:r>
                    <w:rPr>
                      <w:rFonts w:hint="default" w:ascii="Times New Roman" w:hAnsi="Times New Roman" w:eastAsia="宋体" w:cs="Times New Roman"/>
                      <w:i w:val="0"/>
                      <w:iCs w:val="0"/>
                      <w:color w:val="000000"/>
                      <w:kern w:val="0"/>
                      <w:sz w:val="21"/>
                      <w:szCs w:val="21"/>
                      <w:highlight w:val="none"/>
                      <w:u w:val="none"/>
                      <w:lang w:val="en-US" w:eastAsia="zh-CN" w:bidi="ar"/>
                    </w:rPr>
                    <w:t>水量</w:t>
                  </w:r>
                </w:p>
              </w:tc>
              <w:tc>
                <w:tcPr>
                  <w:tcW w:w="807" w:type="pct"/>
                  <w:tcBorders>
                    <w:tl2br w:val="nil"/>
                    <w:tr2bl w:val="nil"/>
                  </w:tcBorders>
                  <w:noWrap w:val="0"/>
                  <w:vAlign w:val="center"/>
                </w:tcPr>
                <w:p w14:paraId="18C6065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29200</w:t>
                  </w:r>
                  <w:r>
                    <w:rPr>
                      <w:rFonts w:hint="eastAsia" w:cs="Times New Roman"/>
                      <w:color w:val="auto"/>
                      <w:szCs w:val="21"/>
                      <w:highlight w:val="none"/>
                      <w:lang w:val="en-US" w:eastAsia="zh-CN"/>
                    </w:rPr>
                    <w:t>*</w:t>
                  </w:r>
                  <w:r>
                    <w:rPr>
                      <w:rFonts w:hint="default" w:ascii="Times New Roman" w:hAnsi="Times New Roman" w:eastAsia="宋体" w:cs="Times New Roman"/>
                      <w:color w:val="auto"/>
                      <w:szCs w:val="21"/>
                      <w:highlight w:val="none"/>
                      <w:lang w:val="en-US" w:eastAsia="zh-CN"/>
                    </w:rPr>
                    <w:t>‬</w:t>
                  </w:r>
                </w:p>
              </w:tc>
              <w:tc>
                <w:tcPr>
                  <w:tcW w:w="471" w:type="pct"/>
                  <w:tcBorders>
                    <w:tl2br w:val="nil"/>
                    <w:tr2bl w:val="nil"/>
                  </w:tcBorders>
                  <w:noWrap w:val="0"/>
                  <w:vAlign w:val="center"/>
                </w:tcPr>
                <w:p w14:paraId="1F15C4AF">
                  <w:pPr>
                    <w:snapToGrid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eastAsia" w:cs="Times New Roman"/>
                      <w:color w:val="auto"/>
                      <w:sz w:val="21"/>
                      <w:szCs w:val="21"/>
                      <w:highlight w:val="none"/>
                      <w:lang w:val="en-US" w:eastAsia="zh-CN"/>
                    </w:rPr>
                    <w:t>/</w:t>
                  </w:r>
                </w:p>
              </w:tc>
              <w:tc>
                <w:tcPr>
                  <w:tcW w:w="670" w:type="pct"/>
                  <w:tcBorders>
                    <w:tl2br w:val="nil"/>
                    <w:tr2bl w:val="nil"/>
                  </w:tcBorders>
                  <w:noWrap w:val="0"/>
                  <w:vAlign w:val="center"/>
                </w:tcPr>
                <w:p w14:paraId="4B6893A6">
                  <w:pPr>
                    <w:widowControl w:val="0"/>
                    <w:autoSpaceDE w:val="0"/>
                    <w:autoSpaceDN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Times New Roman"/>
                      <w:color w:val="000000" w:themeColor="text1"/>
                      <w:kern w:val="2"/>
                      <w:sz w:val="21"/>
                      <w:szCs w:val="21"/>
                      <w:highlight w:val="none"/>
                      <w:lang w:val="en-US" w:eastAsia="zh-CN"/>
                      <w14:textFill>
                        <w14:solidFill>
                          <w14:schemeClr w14:val="tx1"/>
                        </w14:solidFill>
                      </w14:textFill>
                    </w:rPr>
                    <w:t>42451.51</w:t>
                  </w:r>
                </w:p>
              </w:tc>
              <w:tc>
                <w:tcPr>
                  <w:tcW w:w="670" w:type="pct"/>
                  <w:tcBorders>
                    <w:tl2br w:val="nil"/>
                    <w:tr2bl w:val="nil"/>
                  </w:tcBorders>
                  <w:shd w:val="clear" w:color="auto" w:fill="auto"/>
                  <w:noWrap w:val="0"/>
                  <w:vAlign w:val="center"/>
                </w:tcPr>
                <w:p w14:paraId="06360D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Cs w:val="21"/>
                      <w:highlight w:val="none"/>
                      <w:lang w:val="en-US" w:eastAsia="zh-CN"/>
                      <w14:textFill>
                        <w14:solidFill>
                          <w14:schemeClr w14:val="tx1"/>
                        </w14:solidFill>
                      </w14:textFill>
                    </w:rPr>
                    <w:t>29200‬</w:t>
                  </w:r>
                </w:p>
              </w:tc>
              <w:tc>
                <w:tcPr>
                  <w:tcW w:w="670" w:type="pct"/>
                  <w:tcBorders>
                    <w:tl2br w:val="nil"/>
                    <w:tr2bl w:val="nil"/>
                  </w:tcBorders>
                  <w:shd w:val="clear" w:color="auto" w:fill="auto"/>
                  <w:noWrap w:val="0"/>
                  <w:vAlign w:val="center"/>
                </w:tcPr>
                <w:p w14:paraId="50A074BF">
                  <w:pPr>
                    <w:widowControl w:val="0"/>
                    <w:autoSpaceDE w:val="0"/>
                    <w:autoSpaceDN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14:textFill>
                        <w14:solidFill>
                          <w14:schemeClr w14:val="tx1"/>
                        </w14:solidFill>
                      </w14:textFill>
                    </w:rPr>
                    <w:t>42451.51</w:t>
                  </w:r>
                </w:p>
              </w:tc>
              <w:tc>
                <w:tcPr>
                  <w:tcW w:w="839" w:type="pct"/>
                  <w:tcBorders>
                    <w:tl2br w:val="nil"/>
                    <w:tr2bl w:val="nil"/>
                  </w:tcBorders>
                  <w:noWrap w:val="0"/>
                  <w:vAlign w:val="center"/>
                </w:tcPr>
                <w:p w14:paraId="4A145D19">
                  <w:pPr>
                    <w:widowControl w:val="0"/>
                    <w:autoSpaceDE w:val="0"/>
                    <w:autoSpaceDN w:val="0"/>
                    <w:spacing w:line="240" w:lineRule="auto"/>
                    <w:ind w:firstLine="0" w:firstLineChars="0"/>
                    <w:jc w:val="center"/>
                    <w:rPr>
                      <w:rFonts w:hint="default" w:ascii="Times New Roman" w:hAnsi="Times New Roman" w:eastAsia="宋体" w:cs="Times New Roman"/>
                      <w:color w:val="000000" w:themeColor="text1"/>
                      <w:sz w:val="21"/>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highlight w:val="none"/>
                      <w:lang w:val="en-US" w:eastAsia="zh-CN"/>
                      <w14:textFill>
                        <w14:solidFill>
                          <w14:schemeClr w14:val="tx1"/>
                        </w14:solidFill>
                      </w14:textFill>
                    </w:rPr>
                    <w:t>+13251.51‬</w:t>
                  </w:r>
                </w:p>
              </w:tc>
            </w:tr>
            <w:tr w14:paraId="6CCA9886">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40" w:hRule="atLeast"/>
                <w:jc w:val="center"/>
              </w:trPr>
              <w:tc>
                <w:tcPr>
                  <w:tcW w:w="242" w:type="pct"/>
                  <w:vMerge w:val="continue"/>
                  <w:tcBorders>
                    <w:tl2br w:val="nil"/>
                    <w:tr2bl w:val="nil"/>
                  </w:tcBorders>
                  <w:noWrap w:val="0"/>
                  <w:vAlign w:val="center"/>
                </w:tcPr>
                <w:p w14:paraId="5A948C4D">
                  <w:pPr>
                    <w:spacing w:line="240" w:lineRule="auto"/>
                    <w:ind w:firstLine="0" w:firstLineChars="0"/>
                    <w:jc w:val="center"/>
                    <w:rPr>
                      <w:rFonts w:hint="default" w:ascii="Times New Roman" w:hAnsi="Times New Roman" w:eastAsia="宋体" w:cs="Times New Roman"/>
                      <w:color w:val="auto"/>
                      <w:kern w:val="2"/>
                      <w:sz w:val="21"/>
                      <w:szCs w:val="21"/>
                      <w:highlight w:val="none"/>
                    </w:rPr>
                  </w:pPr>
                </w:p>
              </w:tc>
              <w:tc>
                <w:tcPr>
                  <w:tcW w:w="625" w:type="pct"/>
                  <w:gridSpan w:val="2"/>
                  <w:tcBorders>
                    <w:tl2br w:val="nil"/>
                    <w:tr2bl w:val="nil"/>
                  </w:tcBorders>
                  <w:noWrap w:val="0"/>
                  <w:vAlign w:val="center"/>
                </w:tcPr>
                <w:p w14:paraId="1EC7E4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宋体"/>
                      <w:i w:val="0"/>
                      <w:iCs w:val="0"/>
                      <w:color w:val="000000"/>
                      <w:kern w:val="0"/>
                      <w:sz w:val="21"/>
                      <w:szCs w:val="22"/>
                      <w:u w:val="none"/>
                      <w:lang w:val="en-US" w:eastAsia="zh-CN" w:bidi="ar"/>
                    </w:rPr>
                    <w:t>悬浮物</w:t>
                  </w:r>
                </w:p>
              </w:tc>
              <w:tc>
                <w:tcPr>
                  <w:tcW w:w="807" w:type="pct"/>
                  <w:tcBorders>
                    <w:tl2br w:val="nil"/>
                    <w:tr2bl w:val="nil"/>
                  </w:tcBorders>
                  <w:noWrap w:val="0"/>
                  <w:vAlign w:val="center"/>
                </w:tcPr>
                <w:p w14:paraId="122F71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color w:val="auto"/>
                      <w:spacing w:val="-4"/>
                      <w:sz w:val="21"/>
                      <w:szCs w:val="21"/>
                      <w:highlight w:val="none"/>
                      <w:lang w:val="en-US" w:eastAsia="zh-CN"/>
                    </w:rPr>
                  </w:pPr>
                  <w:r>
                    <w:rPr>
                      <w:rFonts w:hint="eastAsia" w:ascii="Times New Roman" w:hAnsi="Times New Roman" w:cs="Times New Roman"/>
                      <w:color w:val="auto"/>
                      <w:spacing w:val="-4"/>
                      <w:sz w:val="21"/>
                      <w:szCs w:val="21"/>
                      <w:highlight w:val="none"/>
                      <w:lang w:val="en-US" w:eastAsia="zh-CN"/>
                    </w:rPr>
                    <w:t>0.2920</w:t>
                  </w:r>
                </w:p>
              </w:tc>
              <w:tc>
                <w:tcPr>
                  <w:tcW w:w="471" w:type="pct"/>
                  <w:tcBorders>
                    <w:tl2br w:val="nil"/>
                    <w:tr2bl w:val="nil"/>
                  </w:tcBorders>
                  <w:noWrap w:val="0"/>
                  <w:vAlign w:val="center"/>
                </w:tcPr>
                <w:p w14:paraId="22BCF1E9">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670" w:type="pct"/>
                  <w:tcBorders>
                    <w:tl2br w:val="nil"/>
                    <w:tr2bl w:val="nil"/>
                  </w:tcBorders>
                  <w:noWrap w:val="0"/>
                  <w:vAlign w:val="center"/>
                </w:tcPr>
                <w:p w14:paraId="286BA270">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Times New Roman"/>
                      <w:color w:val="000000" w:themeColor="text1"/>
                      <w:kern w:val="2"/>
                      <w:sz w:val="21"/>
                      <w:szCs w:val="21"/>
                      <w:highlight w:val="none"/>
                      <w:lang w:val="en-US" w:eastAsia="zh-CN"/>
                      <w14:textFill>
                        <w14:solidFill>
                          <w14:schemeClr w14:val="tx1"/>
                        </w14:solidFill>
                      </w14:textFill>
                    </w:rPr>
                    <w:t>3.7668</w:t>
                  </w:r>
                </w:p>
              </w:tc>
              <w:tc>
                <w:tcPr>
                  <w:tcW w:w="670" w:type="pct"/>
                  <w:tcBorders>
                    <w:tl2br w:val="nil"/>
                    <w:tr2bl w:val="nil"/>
                  </w:tcBorders>
                  <w:shd w:val="clear" w:color="auto" w:fill="auto"/>
                  <w:noWrap w:val="0"/>
                  <w:vAlign w:val="center"/>
                </w:tcPr>
                <w:p w14:paraId="6ADD808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themeColor="text1"/>
                      <w:spacing w:val="-4"/>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pacing w:val="-4"/>
                      <w:sz w:val="21"/>
                      <w:szCs w:val="21"/>
                      <w:highlight w:val="none"/>
                      <w:lang w:val="en-US" w:eastAsia="zh-CN"/>
                      <w14:textFill>
                        <w14:solidFill>
                          <w14:schemeClr w14:val="tx1"/>
                        </w14:solidFill>
                      </w14:textFill>
                    </w:rPr>
                    <w:t>0.2920</w:t>
                  </w:r>
                </w:p>
              </w:tc>
              <w:tc>
                <w:tcPr>
                  <w:tcW w:w="670" w:type="pct"/>
                  <w:tcBorders>
                    <w:tl2br w:val="nil"/>
                    <w:tr2bl w:val="nil"/>
                  </w:tcBorders>
                  <w:shd w:val="clear" w:color="auto" w:fill="auto"/>
                  <w:noWrap w:val="0"/>
                  <w:vAlign w:val="center"/>
                </w:tcPr>
                <w:p w14:paraId="5E48FA98">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14:textFill>
                        <w14:solidFill>
                          <w14:schemeClr w14:val="tx1"/>
                        </w14:solidFill>
                      </w14:textFill>
                    </w:rPr>
                    <w:t>3.7668</w:t>
                  </w:r>
                </w:p>
              </w:tc>
              <w:tc>
                <w:tcPr>
                  <w:tcW w:w="839" w:type="pct"/>
                  <w:tcBorders>
                    <w:tl2br w:val="nil"/>
                    <w:tr2bl w:val="nil"/>
                  </w:tcBorders>
                  <w:noWrap w:val="0"/>
                  <w:vAlign w:val="center"/>
                </w:tcPr>
                <w:p w14:paraId="44BFB35E">
                  <w:pPr>
                    <w:widowControl w:val="0"/>
                    <w:spacing w:line="240" w:lineRule="auto"/>
                    <w:ind w:firstLine="0" w:firstLineChars="0"/>
                    <w:jc w:val="center"/>
                    <w:rPr>
                      <w:rFonts w:hint="default" w:ascii="Times New Roman" w:hAnsi="Times New Roman" w:eastAsia="宋体" w:cs="Times New Roman"/>
                      <w:color w:val="000000" w:themeColor="text1"/>
                      <w:sz w:val="21"/>
                      <w:szCs w:val="18"/>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highlight w:val="none"/>
                      <w:lang w:val="en-US" w:eastAsia="zh-CN"/>
                      <w14:textFill>
                        <w14:solidFill>
                          <w14:schemeClr w14:val="tx1"/>
                        </w14:solidFill>
                      </w14:textFill>
                    </w:rPr>
                    <w:t>+3.4748</w:t>
                  </w:r>
                </w:p>
              </w:tc>
            </w:tr>
            <w:tr w14:paraId="2C7704E4">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40" w:hRule="atLeast"/>
                <w:jc w:val="center"/>
              </w:trPr>
              <w:tc>
                <w:tcPr>
                  <w:tcW w:w="242" w:type="pct"/>
                  <w:vMerge w:val="continue"/>
                  <w:tcBorders>
                    <w:tl2br w:val="nil"/>
                    <w:tr2bl w:val="nil"/>
                  </w:tcBorders>
                  <w:noWrap w:val="0"/>
                  <w:vAlign w:val="center"/>
                </w:tcPr>
                <w:p w14:paraId="6070D82A">
                  <w:pPr>
                    <w:spacing w:line="240" w:lineRule="auto"/>
                    <w:ind w:firstLine="0" w:firstLineChars="0"/>
                    <w:jc w:val="center"/>
                    <w:rPr>
                      <w:rFonts w:hint="default" w:ascii="Times New Roman" w:hAnsi="Times New Roman" w:eastAsia="宋体" w:cs="Times New Roman"/>
                      <w:color w:val="auto"/>
                      <w:kern w:val="2"/>
                      <w:sz w:val="21"/>
                      <w:szCs w:val="21"/>
                      <w:highlight w:val="none"/>
                    </w:rPr>
                  </w:pPr>
                </w:p>
              </w:tc>
              <w:tc>
                <w:tcPr>
                  <w:tcW w:w="625" w:type="pct"/>
                  <w:gridSpan w:val="2"/>
                  <w:tcBorders>
                    <w:tl2br w:val="nil"/>
                    <w:tr2bl w:val="nil"/>
                  </w:tcBorders>
                  <w:noWrap w:val="0"/>
                  <w:vAlign w:val="center"/>
                </w:tcPr>
                <w:p w14:paraId="15565B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宋体"/>
                      <w:i w:val="0"/>
                      <w:iCs w:val="0"/>
                      <w:color w:val="000000"/>
                      <w:kern w:val="0"/>
                      <w:sz w:val="21"/>
                      <w:szCs w:val="22"/>
                      <w:u w:val="none"/>
                      <w:lang w:val="en-US" w:eastAsia="zh-CN" w:bidi="ar"/>
                    </w:rPr>
                    <w:t>COD</w:t>
                  </w:r>
                </w:p>
              </w:tc>
              <w:tc>
                <w:tcPr>
                  <w:tcW w:w="807" w:type="pct"/>
                  <w:tcBorders>
                    <w:tl2br w:val="nil"/>
                    <w:tr2bl w:val="nil"/>
                  </w:tcBorders>
                  <w:noWrap w:val="0"/>
                  <w:vAlign w:val="center"/>
                </w:tcPr>
                <w:p w14:paraId="1823B0B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color w:val="auto"/>
                      <w:spacing w:val="-4"/>
                      <w:sz w:val="21"/>
                      <w:szCs w:val="21"/>
                      <w:highlight w:val="none"/>
                      <w:lang w:val="en-US" w:eastAsia="zh-CN"/>
                    </w:rPr>
                  </w:pPr>
                  <w:r>
                    <w:rPr>
                      <w:rFonts w:hint="eastAsia" w:ascii="Times New Roman" w:hAnsi="Times New Roman" w:cs="Times New Roman"/>
                      <w:color w:val="auto"/>
                      <w:spacing w:val="-4"/>
                      <w:sz w:val="21"/>
                      <w:szCs w:val="21"/>
                      <w:highlight w:val="none"/>
                      <w:lang w:val="en-US" w:eastAsia="zh-CN"/>
                    </w:rPr>
                    <w:t>2.8032</w:t>
                  </w:r>
                </w:p>
              </w:tc>
              <w:tc>
                <w:tcPr>
                  <w:tcW w:w="471" w:type="pct"/>
                  <w:tcBorders>
                    <w:tl2br w:val="nil"/>
                    <w:tr2bl w:val="nil"/>
                  </w:tcBorders>
                  <w:noWrap w:val="0"/>
                  <w:vAlign w:val="center"/>
                </w:tcPr>
                <w:p w14:paraId="551E0682">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670" w:type="pct"/>
                  <w:tcBorders>
                    <w:tl2br w:val="nil"/>
                    <w:tr2bl w:val="nil"/>
                  </w:tcBorders>
                  <w:noWrap w:val="0"/>
                  <w:vAlign w:val="center"/>
                </w:tcPr>
                <w:p w14:paraId="0A53C7ED">
                  <w:pPr>
                    <w:widowControl w:val="0"/>
                    <w:autoSpaceDE w:val="0"/>
                    <w:autoSpaceDN w:val="0"/>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2.1226</w:t>
                  </w:r>
                </w:p>
              </w:tc>
              <w:tc>
                <w:tcPr>
                  <w:tcW w:w="670" w:type="pct"/>
                  <w:tcBorders>
                    <w:tl2br w:val="nil"/>
                    <w:tr2bl w:val="nil"/>
                  </w:tcBorders>
                  <w:shd w:val="clear" w:color="auto" w:fill="auto"/>
                  <w:noWrap w:val="0"/>
                  <w:vAlign w:val="center"/>
                </w:tcPr>
                <w:p w14:paraId="6796C0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themeColor="text1"/>
                      <w:spacing w:val="-4"/>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pacing w:val="-4"/>
                      <w:sz w:val="21"/>
                      <w:szCs w:val="21"/>
                      <w:highlight w:val="none"/>
                      <w:lang w:val="en-US" w:eastAsia="zh-CN"/>
                      <w14:textFill>
                        <w14:solidFill>
                          <w14:schemeClr w14:val="tx1"/>
                        </w14:solidFill>
                      </w14:textFill>
                    </w:rPr>
                    <w:t>2.8032</w:t>
                  </w:r>
                </w:p>
              </w:tc>
              <w:tc>
                <w:tcPr>
                  <w:tcW w:w="670" w:type="pct"/>
                  <w:tcBorders>
                    <w:tl2br w:val="nil"/>
                    <w:tr2bl w:val="nil"/>
                  </w:tcBorders>
                  <w:shd w:val="clear" w:color="auto" w:fill="auto"/>
                  <w:noWrap w:val="0"/>
                  <w:vAlign w:val="center"/>
                </w:tcPr>
                <w:p w14:paraId="69CBCE0F">
                  <w:pPr>
                    <w:widowControl w:val="0"/>
                    <w:autoSpaceDE w:val="0"/>
                    <w:autoSpaceDN w:val="0"/>
                    <w:spacing w:line="240" w:lineRule="auto"/>
                    <w:ind w:firstLine="0" w:firstLine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2.1226</w:t>
                  </w:r>
                </w:p>
              </w:tc>
              <w:tc>
                <w:tcPr>
                  <w:tcW w:w="839" w:type="pct"/>
                  <w:tcBorders>
                    <w:tl2br w:val="nil"/>
                    <w:tr2bl w:val="nil"/>
                  </w:tcBorders>
                  <w:noWrap w:val="0"/>
                  <w:vAlign w:val="center"/>
                </w:tcPr>
                <w:p w14:paraId="4CDA751E">
                  <w:pPr>
                    <w:widowControl w:val="0"/>
                    <w:autoSpaceDE w:val="0"/>
                    <w:autoSpaceDN w:val="0"/>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-0.6806‬</w:t>
                  </w:r>
                </w:p>
              </w:tc>
            </w:tr>
            <w:tr w14:paraId="5C077B65">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40" w:hRule="atLeast"/>
                <w:jc w:val="center"/>
              </w:trPr>
              <w:tc>
                <w:tcPr>
                  <w:tcW w:w="242" w:type="pct"/>
                  <w:vMerge w:val="continue"/>
                  <w:tcBorders>
                    <w:tl2br w:val="nil"/>
                    <w:tr2bl w:val="nil"/>
                  </w:tcBorders>
                  <w:noWrap w:val="0"/>
                  <w:vAlign w:val="center"/>
                </w:tcPr>
                <w:p w14:paraId="6BE702C7">
                  <w:pPr>
                    <w:spacing w:line="240" w:lineRule="auto"/>
                    <w:ind w:firstLine="0" w:firstLineChars="0"/>
                    <w:jc w:val="center"/>
                    <w:rPr>
                      <w:rFonts w:hint="default" w:ascii="Times New Roman" w:hAnsi="Times New Roman" w:eastAsia="宋体" w:cs="Times New Roman"/>
                      <w:color w:val="auto"/>
                      <w:kern w:val="2"/>
                      <w:sz w:val="21"/>
                      <w:szCs w:val="21"/>
                      <w:highlight w:val="none"/>
                    </w:rPr>
                  </w:pPr>
                </w:p>
              </w:tc>
              <w:tc>
                <w:tcPr>
                  <w:tcW w:w="625" w:type="pct"/>
                  <w:gridSpan w:val="2"/>
                  <w:tcBorders>
                    <w:tl2br w:val="nil"/>
                    <w:tr2bl w:val="nil"/>
                  </w:tcBorders>
                  <w:noWrap w:val="0"/>
                  <w:vAlign w:val="center"/>
                </w:tcPr>
                <w:p w14:paraId="40A6B4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pacing w:val="-4"/>
                      <w:sz w:val="21"/>
                      <w:szCs w:val="21"/>
                      <w:highlight w:val="none"/>
                      <w:lang w:val="en-US" w:eastAsia="zh-CN"/>
                    </w:rPr>
                  </w:pPr>
                  <w:r>
                    <w:rPr>
                      <w:rFonts w:hint="eastAsia" w:ascii="Times New Roman" w:hAnsi="Times New Roman" w:eastAsia="宋体" w:cs="宋体"/>
                      <w:i w:val="0"/>
                      <w:iCs w:val="0"/>
                      <w:color w:val="000000"/>
                      <w:kern w:val="0"/>
                      <w:sz w:val="21"/>
                      <w:szCs w:val="22"/>
                      <w:u w:val="none"/>
                      <w:lang w:val="en-US" w:eastAsia="zh-CN" w:bidi="ar"/>
                    </w:rPr>
                    <w:t>氨氮</w:t>
                  </w:r>
                </w:p>
              </w:tc>
              <w:tc>
                <w:tcPr>
                  <w:tcW w:w="807" w:type="pct"/>
                  <w:tcBorders>
                    <w:tl2br w:val="nil"/>
                    <w:tr2bl w:val="nil"/>
                  </w:tcBorders>
                  <w:shd w:val="clear" w:color="auto" w:fill="auto"/>
                  <w:noWrap w:val="0"/>
                  <w:vAlign w:val="center"/>
                </w:tcPr>
                <w:p w14:paraId="67F312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cs="Times New Roman"/>
                      <w:color w:val="auto"/>
                      <w:spacing w:val="-4"/>
                      <w:sz w:val="21"/>
                      <w:szCs w:val="21"/>
                      <w:highlight w:val="none"/>
                      <w:lang w:val="en-US" w:eastAsia="zh-CN"/>
                    </w:rPr>
                  </w:pPr>
                  <w:r>
                    <w:rPr>
                      <w:rFonts w:hint="eastAsia" w:ascii="Times New Roman" w:hAnsi="Times New Roman" w:cs="Times New Roman"/>
                      <w:color w:val="auto"/>
                      <w:spacing w:val="-4"/>
                      <w:sz w:val="21"/>
                      <w:szCs w:val="21"/>
                      <w:highlight w:val="none"/>
                      <w:lang w:val="en-US" w:eastAsia="zh-CN"/>
                    </w:rPr>
                    <w:t>1.2352</w:t>
                  </w:r>
                </w:p>
              </w:tc>
              <w:tc>
                <w:tcPr>
                  <w:tcW w:w="471" w:type="pct"/>
                  <w:tcBorders>
                    <w:tl2br w:val="nil"/>
                    <w:tr2bl w:val="nil"/>
                  </w:tcBorders>
                  <w:noWrap w:val="0"/>
                  <w:vAlign w:val="center"/>
                </w:tcPr>
                <w:p w14:paraId="21EEDC90">
                  <w:pPr>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670" w:type="pct"/>
                  <w:tcBorders>
                    <w:tl2br w:val="nil"/>
                    <w:tr2bl w:val="nil"/>
                  </w:tcBorders>
                  <w:noWrap w:val="0"/>
                  <w:vAlign w:val="center"/>
                </w:tcPr>
                <w:p w14:paraId="49809B6C">
                  <w:pPr>
                    <w:widowControl w:val="0"/>
                    <w:autoSpaceDE w:val="0"/>
                    <w:autoSpaceDN w:val="0"/>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0.2122</w:t>
                  </w:r>
                </w:p>
              </w:tc>
              <w:tc>
                <w:tcPr>
                  <w:tcW w:w="670" w:type="pct"/>
                  <w:tcBorders>
                    <w:tl2br w:val="nil"/>
                    <w:tr2bl w:val="nil"/>
                  </w:tcBorders>
                  <w:shd w:val="clear" w:color="auto" w:fill="auto"/>
                  <w:noWrap w:val="0"/>
                  <w:vAlign w:val="center"/>
                </w:tcPr>
                <w:p w14:paraId="4983FD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themeColor="text1"/>
                      <w:spacing w:val="-4"/>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pacing w:val="-4"/>
                      <w:sz w:val="21"/>
                      <w:szCs w:val="21"/>
                      <w:highlight w:val="none"/>
                      <w:lang w:val="en-US" w:eastAsia="zh-CN"/>
                      <w14:textFill>
                        <w14:solidFill>
                          <w14:schemeClr w14:val="tx1"/>
                        </w14:solidFill>
                      </w14:textFill>
                    </w:rPr>
                    <w:t>1.2352</w:t>
                  </w:r>
                </w:p>
              </w:tc>
              <w:tc>
                <w:tcPr>
                  <w:tcW w:w="670" w:type="pct"/>
                  <w:tcBorders>
                    <w:tl2br w:val="nil"/>
                    <w:tr2bl w:val="nil"/>
                  </w:tcBorders>
                  <w:shd w:val="clear" w:color="auto" w:fill="auto"/>
                  <w:noWrap w:val="0"/>
                  <w:vAlign w:val="center"/>
                </w:tcPr>
                <w:p w14:paraId="56FED3D0">
                  <w:pPr>
                    <w:widowControl w:val="0"/>
                    <w:autoSpaceDE w:val="0"/>
                    <w:autoSpaceDN w:val="0"/>
                    <w:spacing w:line="240" w:lineRule="auto"/>
                    <w:ind w:firstLine="0" w:firstLine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0.2122</w:t>
                  </w:r>
                </w:p>
              </w:tc>
              <w:tc>
                <w:tcPr>
                  <w:tcW w:w="839" w:type="pct"/>
                  <w:tcBorders>
                    <w:tl2br w:val="nil"/>
                    <w:tr2bl w:val="nil"/>
                  </w:tcBorders>
                  <w:noWrap w:val="0"/>
                  <w:vAlign w:val="center"/>
                </w:tcPr>
                <w:p w14:paraId="45937133">
                  <w:pPr>
                    <w:widowControl w:val="0"/>
                    <w:autoSpaceDE w:val="0"/>
                    <w:autoSpaceDN w:val="0"/>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-1.023‬</w:t>
                  </w:r>
                </w:p>
              </w:tc>
            </w:tr>
            <w:tr w14:paraId="39091A01">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40" w:hRule="atLeast"/>
                <w:jc w:val="center"/>
              </w:trPr>
              <w:tc>
                <w:tcPr>
                  <w:tcW w:w="242" w:type="pct"/>
                  <w:vMerge w:val="continue"/>
                  <w:tcBorders>
                    <w:tl2br w:val="nil"/>
                    <w:tr2bl w:val="nil"/>
                  </w:tcBorders>
                  <w:noWrap w:val="0"/>
                  <w:vAlign w:val="center"/>
                </w:tcPr>
                <w:p w14:paraId="556A289C">
                  <w:pPr>
                    <w:spacing w:line="240" w:lineRule="auto"/>
                    <w:ind w:firstLine="0" w:firstLineChars="0"/>
                    <w:jc w:val="center"/>
                    <w:rPr>
                      <w:rFonts w:hint="default" w:ascii="Times New Roman" w:hAnsi="Times New Roman" w:eastAsia="宋体" w:cs="Times New Roman"/>
                      <w:color w:val="auto"/>
                      <w:kern w:val="2"/>
                      <w:sz w:val="21"/>
                      <w:szCs w:val="21"/>
                      <w:highlight w:val="none"/>
                    </w:rPr>
                  </w:pPr>
                </w:p>
              </w:tc>
              <w:tc>
                <w:tcPr>
                  <w:tcW w:w="625" w:type="pct"/>
                  <w:gridSpan w:val="2"/>
                  <w:tcBorders>
                    <w:tl2br w:val="nil"/>
                    <w:tr2bl w:val="nil"/>
                  </w:tcBorders>
                  <w:noWrap w:val="0"/>
                  <w:vAlign w:val="center"/>
                </w:tcPr>
                <w:p w14:paraId="2A47248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宋体"/>
                      <w:i w:val="0"/>
                      <w:iCs w:val="0"/>
                      <w:color w:val="000000"/>
                      <w:kern w:val="0"/>
                      <w:sz w:val="21"/>
                      <w:szCs w:val="22"/>
                      <w:u w:val="none"/>
                      <w:lang w:val="en-US" w:eastAsia="zh-CN" w:bidi="ar"/>
                    </w:rPr>
                  </w:pPr>
                  <w:r>
                    <w:rPr>
                      <w:rFonts w:hint="eastAsia" w:ascii="Times New Roman" w:hAnsi="Times New Roman" w:cs="宋体"/>
                      <w:i w:val="0"/>
                      <w:iCs w:val="0"/>
                      <w:color w:val="000000"/>
                      <w:kern w:val="0"/>
                      <w:sz w:val="21"/>
                      <w:szCs w:val="22"/>
                      <w:u w:val="none"/>
                      <w:lang w:val="en-US" w:eastAsia="zh-CN" w:bidi="ar"/>
                    </w:rPr>
                    <w:t>粪大肠菌群</w:t>
                  </w:r>
                </w:p>
              </w:tc>
              <w:tc>
                <w:tcPr>
                  <w:tcW w:w="807" w:type="pct"/>
                  <w:tcBorders>
                    <w:tl2br w:val="nil"/>
                    <w:tr2bl w:val="nil"/>
                  </w:tcBorders>
                  <w:noWrap w:val="0"/>
                  <w:vAlign w:val="center"/>
                </w:tcPr>
                <w:p w14:paraId="335C502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eastAsia" w:ascii="Times New Roman" w:hAnsi="Times New Roman" w:eastAsia="宋体" w:cs="Times New Roman"/>
                      <w:i w:val="0"/>
                      <w:iCs w:val="0"/>
                      <w:color w:val="000000"/>
                      <w:kern w:val="0"/>
                      <w:sz w:val="21"/>
                      <w:szCs w:val="21"/>
                      <w:highlight w:val="none"/>
                      <w:u w:val="none"/>
                      <w:lang w:val="en-US" w:eastAsia="zh-CN" w:bidi="ar"/>
                    </w:rPr>
                    <w:t>3.796×10</w:t>
                  </w:r>
                  <w:r>
                    <w:rPr>
                      <w:rFonts w:hint="eastAsia" w:ascii="Times New Roman" w:hAnsi="Times New Roman" w:cs="Times New Roman"/>
                      <w:i w:val="0"/>
                      <w:iCs w:val="0"/>
                      <w:color w:val="000000"/>
                      <w:kern w:val="0"/>
                      <w:sz w:val="21"/>
                      <w:szCs w:val="21"/>
                      <w:highlight w:val="none"/>
                      <w:u w:val="none"/>
                      <w:vertAlign w:val="superscript"/>
                      <w:lang w:val="en-US" w:eastAsia="zh-CN" w:bidi="ar"/>
                    </w:rPr>
                    <w:t>9</w:t>
                  </w:r>
                  <w:r>
                    <w:rPr>
                      <w:rFonts w:hint="eastAsia" w:eastAsia="宋体" w:cs="Times New Roman"/>
                      <w:i w:val="0"/>
                      <w:iCs w:val="0"/>
                      <w:color w:val="000000"/>
                      <w:kern w:val="0"/>
                      <w:sz w:val="21"/>
                      <w:szCs w:val="21"/>
                      <w:u w:val="none"/>
                      <w:lang w:val="en-US" w:eastAsia="zh-CN" w:bidi="ar"/>
                    </w:rPr>
                    <w:t>个/a</w:t>
                  </w:r>
                </w:p>
              </w:tc>
              <w:tc>
                <w:tcPr>
                  <w:tcW w:w="471" w:type="pct"/>
                  <w:tcBorders>
                    <w:tl2br w:val="nil"/>
                    <w:tr2bl w:val="nil"/>
                  </w:tcBorders>
                  <w:shd w:val="clear" w:color="auto" w:fill="auto"/>
                  <w:noWrap w:val="0"/>
                  <w:vAlign w:val="center"/>
                </w:tcPr>
                <w:p w14:paraId="64F413EA">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670" w:type="pct"/>
                  <w:tcBorders>
                    <w:tl2br w:val="nil"/>
                    <w:tr2bl w:val="nil"/>
                  </w:tcBorders>
                  <w:shd w:val="clear" w:color="auto" w:fill="auto"/>
                  <w:noWrap w:val="0"/>
                  <w:vAlign w:val="center"/>
                </w:tcPr>
                <w:p w14:paraId="63426606">
                  <w:pPr>
                    <w:widowControl w:val="0"/>
                    <w:autoSpaceDE w:val="0"/>
                    <w:autoSpaceDN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3.024</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w:t>
                  </w:r>
                  <w:r>
                    <w:rPr>
                      <w:rFonts w:hint="eastAsia" w:ascii="Times New Roman" w:hAnsi="Times New Roman"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9</w:t>
                  </w:r>
                  <w:r>
                    <w:rPr>
                      <w:rFonts w:hint="eastAsia" w:eastAsia="宋体" w:cs="Times New Roman"/>
                      <w:i w:val="0"/>
                      <w:iCs w:val="0"/>
                      <w:color w:val="000000" w:themeColor="text1"/>
                      <w:kern w:val="0"/>
                      <w:sz w:val="21"/>
                      <w:szCs w:val="21"/>
                      <w:u w:val="none"/>
                      <w:lang w:val="en-US" w:eastAsia="zh-CN" w:bidi="ar"/>
                      <w14:textFill>
                        <w14:solidFill>
                          <w14:schemeClr w14:val="tx1"/>
                        </w14:solidFill>
                      </w14:textFill>
                    </w:rPr>
                    <w:t>个/a</w:t>
                  </w:r>
                </w:p>
              </w:tc>
              <w:tc>
                <w:tcPr>
                  <w:tcW w:w="670" w:type="pct"/>
                  <w:tcBorders>
                    <w:tl2br w:val="nil"/>
                    <w:tr2bl w:val="nil"/>
                  </w:tcBorders>
                  <w:shd w:val="clear" w:color="auto" w:fill="auto"/>
                  <w:noWrap w:val="0"/>
                  <w:vAlign w:val="center"/>
                </w:tcPr>
                <w:p w14:paraId="5477BCD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3.796×10</w:t>
                  </w:r>
                  <w:r>
                    <w:rPr>
                      <w:rFonts w:hint="eastAsia" w:ascii="Times New Roman" w:hAnsi="Times New Roman"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9</w:t>
                  </w:r>
                  <w:r>
                    <w:rPr>
                      <w:rFonts w:hint="eastAsia" w:eastAsia="宋体" w:cs="Times New Roman"/>
                      <w:i w:val="0"/>
                      <w:iCs w:val="0"/>
                      <w:color w:val="000000" w:themeColor="text1"/>
                      <w:kern w:val="0"/>
                      <w:sz w:val="21"/>
                      <w:szCs w:val="21"/>
                      <w:u w:val="none"/>
                      <w:lang w:val="en-US" w:eastAsia="zh-CN" w:bidi="ar"/>
                      <w14:textFill>
                        <w14:solidFill>
                          <w14:schemeClr w14:val="tx1"/>
                        </w14:solidFill>
                      </w14:textFill>
                    </w:rPr>
                    <w:t>个/a</w:t>
                  </w:r>
                </w:p>
              </w:tc>
              <w:tc>
                <w:tcPr>
                  <w:tcW w:w="670" w:type="pct"/>
                  <w:tcBorders>
                    <w:tl2br w:val="nil"/>
                    <w:tr2bl w:val="nil"/>
                  </w:tcBorders>
                  <w:shd w:val="clear" w:color="auto" w:fill="auto"/>
                  <w:noWrap w:val="0"/>
                  <w:vAlign w:val="center"/>
                </w:tcPr>
                <w:p w14:paraId="0B39BEEA">
                  <w:pPr>
                    <w:widowControl w:val="0"/>
                    <w:autoSpaceDE w:val="0"/>
                    <w:autoSpaceDN w:val="0"/>
                    <w:spacing w:line="240" w:lineRule="auto"/>
                    <w:ind w:firstLine="0" w:firstLine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bidi="ar-SA"/>
                      <w14:textFill>
                        <w14:solidFill>
                          <w14:schemeClr w14:val="tx1"/>
                        </w14:solidFill>
                      </w14:textFill>
                    </w:rPr>
                    <w:t>3.024</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w:t>
                  </w:r>
                  <w:r>
                    <w:rPr>
                      <w:rFonts w:hint="eastAsia" w:ascii="Times New Roman" w:hAnsi="Times New Roman"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9</w:t>
                  </w:r>
                  <w:r>
                    <w:rPr>
                      <w:rFonts w:hint="eastAsia" w:eastAsia="宋体" w:cs="Times New Roman"/>
                      <w:i w:val="0"/>
                      <w:iCs w:val="0"/>
                      <w:color w:val="000000" w:themeColor="text1"/>
                      <w:kern w:val="0"/>
                      <w:sz w:val="21"/>
                      <w:szCs w:val="21"/>
                      <w:u w:val="none"/>
                      <w:lang w:val="en-US" w:eastAsia="zh-CN" w:bidi="ar"/>
                      <w14:textFill>
                        <w14:solidFill>
                          <w14:schemeClr w14:val="tx1"/>
                        </w14:solidFill>
                      </w14:textFill>
                    </w:rPr>
                    <w:t>个/a</w:t>
                  </w:r>
                </w:p>
              </w:tc>
              <w:tc>
                <w:tcPr>
                  <w:tcW w:w="839" w:type="pct"/>
                  <w:tcBorders>
                    <w:tl2br w:val="nil"/>
                    <w:tr2bl w:val="nil"/>
                  </w:tcBorders>
                  <w:shd w:val="clear" w:color="auto" w:fill="auto"/>
                  <w:noWrap w:val="0"/>
                  <w:vAlign w:val="center"/>
                </w:tcPr>
                <w:p w14:paraId="6D821547">
                  <w:pPr>
                    <w:widowControl w:val="0"/>
                    <w:autoSpaceDE w:val="0"/>
                    <w:autoSpaceDN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t>-0.772</w:t>
                  </w:r>
                  <w: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×10</w:t>
                  </w:r>
                  <w:r>
                    <w:rPr>
                      <w:rFonts w:hint="eastAsia" w:ascii="Times New Roman" w:hAnsi="Times New Roman"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9</w:t>
                  </w:r>
                  <w:r>
                    <w:rPr>
                      <w:rFonts w:hint="eastAsia" w:eastAsia="宋体" w:cs="Times New Roman"/>
                      <w:i w:val="0"/>
                      <w:iCs w:val="0"/>
                      <w:color w:val="000000" w:themeColor="text1"/>
                      <w:kern w:val="0"/>
                      <w:sz w:val="21"/>
                      <w:szCs w:val="21"/>
                      <w:u w:val="none"/>
                      <w:lang w:val="en-US" w:eastAsia="zh-CN" w:bidi="ar"/>
                      <w14:textFill>
                        <w14:solidFill>
                          <w14:schemeClr w14:val="tx1"/>
                        </w14:solidFill>
                      </w14:textFill>
                    </w:rPr>
                    <w:t>个/a</w:t>
                  </w:r>
                </w:p>
              </w:tc>
            </w:tr>
            <w:tr w14:paraId="4C6D6B61">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40" w:hRule="atLeast"/>
                <w:jc w:val="center"/>
              </w:trPr>
              <w:tc>
                <w:tcPr>
                  <w:tcW w:w="242" w:type="pct"/>
                  <w:vMerge w:val="restart"/>
                  <w:tcBorders>
                    <w:tl2br w:val="nil"/>
                    <w:tr2bl w:val="nil"/>
                  </w:tcBorders>
                  <w:noWrap w:val="0"/>
                  <w:vAlign w:val="center"/>
                </w:tcPr>
                <w:p w14:paraId="29354210">
                  <w:pPr>
                    <w:widowControl w:val="0"/>
                    <w:spacing w:line="240" w:lineRule="auto"/>
                    <w:ind w:firstLine="0" w:firstLineChars="0"/>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sz w:val="21"/>
                      <w:szCs w:val="21"/>
                      <w:highlight w:val="none"/>
                    </w:rPr>
                    <w:t>废气</w:t>
                  </w:r>
                </w:p>
              </w:tc>
              <w:tc>
                <w:tcPr>
                  <w:tcW w:w="625" w:type="pct"/>
                  <w:gridSpan w:val="2"/>
                  <w:tcBorders>
                    <w:tl2br w:val="nil"/>
                    <w:tr2bl w:val="nil"/>
                  </w:tcBorders>
                  <w:noWrap w:val="0"/>
                  <w:vAlign w:val="center"/>
                </w:tcPr>
                <w:p w14:paraId="0B0F6D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1"/>
                      <w:szCs w:val="21"/>
                      <w:highlight w:val="none"/>
                      <w:lang w:val="en-US" w:eastAsia="zh-CN" w:bidi="he-IL"/>
                    </w:rPr>
                  </w:pPr>
                  <w:r>
                    <w:rPr>
                      <w:rFonts w:hint="eastAsia" w:ascii="Times New Roman" w:hAnsi="Times New Roman" w:cs="Times New Roman"/>
                      <w:color w:val="auto"/>
                      <w:kern w:val="2"/>
                      <w:sz w:val="21"/>
                      <w:szCs w:val="21"/>
                      <w:highlight w:val="none"/>
                      <w:lang w:val="en-US" w:eastAsia="zh-CN" w:bidi="he-IL"/>
                    </w:rPr>
                    <w:t>氨</w:t>
                  </w:r>
                </w:p>
              </w:tc>
              <w:tc>
                <w:tcPr>
                  <w:tcW w:w="807" w:type="pct"/>
                  <w:tcBorders>
                    <w:tl2br w:val="nil"/>
                    <w:tr2bl w:val="nil"/>
                  </w:tcBorders>
                  <w:noWrap w:val="0"/>
                  <w:vAlign w:val="center"/>
                </w:tcPr>
                <w:p w14:paraId="15CAEA3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1"/>
                      <w:szCs w:val="21"/>
                      <w:highlight w:val="none"/>
                      <w:lang w:val="en-US" w:eastAsia="zh-CN" w:bidi="he-IL"/>
                    </w:rPr>
                  </w:pPr>
                  <w:r>
                    <w:rPr>
                      <w:rFonts w:hint="eastAsia" w:ascii="Times New Roman" w:hAnsi="Times New Roman" w:cs="Times New Roman"/>
                      <w:color w:val="auto"/>
                      <w:kern w:val="2"/>
                      <w:sz w:val="21"/>
                      <w:szCs w:val="21"/>
                      <w:highlight w:val="none"/>
                      <w:lang w:val="en-US" w:eastAsia="zh-CN" w:bidi="he-IL"/>
                    </w:rPr>
                    <w:t>/</w:t>
                  </w:r>
                </w:p>
              </w:tc>
              <w:tc>
                <w:tcPr>
                  <w:tcW w:w="471" w:type="pct"/>
                  <w:tcBorders>
                    <w:tl2br w:val="nil"/>
                    <w:tr2bl w:val="nil"/>
                  </w:tcBorders>
                  <w:shd w:val="clear" w:color="auto" w:fill="auto"/>
                  <w:noWrap w:val="0"/>
                  <w:vAlign w:val="center"/>
                </w:tcPr>
                <w:p w14:paraId="67BA40CE">
                  <w:pP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670" w:type="pct"/>
                  <w:tcBorders>
                    <w:tl2br w:val="nil"/>
                    <w:tr2bl w:val="nil"/>
                  </w:tcBorders>
                  <w:noWrap w:val="0"/>
                  <w:vAlign w:val="center"/>
                </w:tcPr>
                <w:p w14:paraId="49F8F6A7">
                  <w:pPr>
                    <w:widowControl w:val="0"/>
                    <w:autoSpaceDE w:val="0"/>
                    <w:autoSpaceDN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he-IL"/>
                      <w14:textFill>
                        <w14:solidFill>
                          <w14:schemeClr w14:val="tx1"/>
                        </w14:solidFill>
                      </w14:textFill>
                    </w:rPr>
                  </w:pPr>
                  <w:r>
                    <w:rPr>
                      <w:rFonts w:hint="eastAsia" w:cs="Times New Roman"/>
                      <w:color w:val="000000" w:themeColor="text1"/>
                      <w:kern w:val="2"/>
                      <w:sz w:val="21"/>
                      <w:szCs w:val="21"/>
                      <w:highlight w:val="none"/>
                      <w:lang w:val="en-US" w:eastAsia="zh-CN" w:bidi="he-IL"/>
                      <w14:textFill>
                        <w14:solidFill>
                          <w14:schemeClr w14:val="tx1"/>
                        </w14:solidFill>
                      </w14:textFill>
                    </w:rPr>
                    <w:t>0.002533</w:t>
                  </w:r>
                </w:p>
              </w:tc>
              <w:tc>
                <w:tcPr>
                  <w:tcW w:w="670" w:type="pct"/>
                  <w:tcBorders>
                    <w:tl2br w:val="nil"/>
                    <w:tr2bl w:val="nil"/>
                  </w:tcBorders>
                  <w:shd w:val="clear" w:color="auto" w:fill="auto"/>
                  <w:noWrap w:val="0"/>
                  <w:vAlign w:val="center"/>
                </w:tcPr>
                <w:p w14:paraId="48EB24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000000" w:themeColor="text1"/>
                      <w:kern w:val="2"/>
                      <w:sz w:val="21"/>
                      <w:szCs w:val="21"/>
                      <w:highlight w:val="none"/>
                      <w:lang w:val="en-US" w:eastAsia="zh-CN" w:bidi="he-IL"/>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bidi="he-IL"/>
                      <w14:textFill>
                        <w14:solidFill>
                          <w14:schemeClr w14:val="tx1"/>
                        </w14:solidFill>
                      </w14:textFill>
                    </w:rPr>
                    <w:t>/</w:t>
                  </w:r>
                </w:p>
              </w:tc>
              <w:tc>
                <w:tcPr>
                  <w:tcW w:w="670" w:type="pct"/>
                  <w:tcBorders>
                    <w:tl2br w:val="nil"/>
                    <w:tr2bl w:val="nil"/>
                  </w:tcBorders>
                  <w:shd w:val="clear" w:color="auto" w:fill="auto"/>
                  <w:noWrap w:val="0"/>
                  <w:vAlign w:val="center"/>
                </w:tcPr>
                <w:p w14:paraId="17EF4159">
                  <w:pPr>
                    <w:widowControl w:val="0"/>
                    <w:autoSpaceDE w:val="0"/>
                    <w:autoSpaceDN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he-IL"/>
                      <w14:textFill>
                        <w14:solidFill>
                          <w14:schemeClr w14:val="tx1"/>
                        </w14:solidFill>
                      </w14:textFill>
                    </w:rPr>
                  </w:pPr>
                  <w:r>
                    <w:rPr>
                      <w:rFonts w:hint="eastAsia" w:cs="Times New Roman"/>
                      <w:color w:val="000000" w:themeColor="text1"/>
                      <w:kern w:val="2"/>
                      <w:sz w:val="21"/>
                      <w:szCs w:val="21"/>
                      <w:highlight w:val="none"/>
                      <w:lang w:val="en-US" w:eastAsia="zh-CN" w:bidi="he-IL"/>
                      <w14:textFill>
                        <w14:solidFill>
                          <w14:schemeClr w14:val="tx1"/>
                        </w14:solidFill>
                      </w14:textFill>
                    </w:rPr>
                    <w:t>0.002533</w:t>
                  </w:r>
                </w:p>
              </w:tc>
              <w:tc>
                <w:tcPr>
                  <w:tcW w:w="839" w:type="pct"/>
                  <w:tcBorders>
                    <w:tl2br w:val="nil"/>
                    <w:tr2bl w:val="nil"/>
                  </w:tcBorders>
                  <w:shd w:val="clear" w:color="auto" w:fill="auto"/>
                  <w:noWrap w:val="0"/>
                  <w:vAlign w:val="center"/>
                </w:tcPr>
                <w:p w14:paraId="49EB8E1C">
                  <w:pPr>
                    <w:widowControl w:val="0"/>
                    <w:autoSpaceDE w:val="0"/>
                    <w:autoSpaceDN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he-IL"/>
                      <w14:textFill>
                        <w14:solidFill>
                          <w14:schemeClr w14:val="tx1"/>
                        </w14:solidFill>
                      </w14:textFill>
                    </w:rPr>
                  </w:pPr>
                  <w:r>
                    <w:rPr>
                      <w:rFonts w:hint="eastAsia" w:cs="Times New Roman"/>
                      <w:color w:val="000000" w:themeColor="text1"/>
                      <w:kern w:val="0"/>
                      <w:sz w:val="21"/>
                      <w:szCs w:val="18"/>
                      <w:highlight w:val="none"/>
                      <w:lang w:val="en-US" w:eastAsia="zh-CN" w:bidi="he-IL"/>
                      <w14:textFill>
                        <w14:solidFill>
                          <w14:schemeClr w14:val="tx1"/>
                        </w14:solidFill>
                      </w14:textFill>
                    </w:rPr>
                    <w:t>+</w:t>
                  </w:r>
                  <w:r>
                    <w:rPr>
                      <w:rFonts w:hint="eastAsia" w:cs="Times New Roman"/>
                      <w:color w:val="000000" w:themeColor="text1"/>
                      <w:kern w:val="2"/>
                      <w:sz w:val="21"/>
                      <w:szCs w:val="21"/>
                      <w:highlight w:val="none"/>
                      <w:lang w:val="en-US" w:eastAsia="zh-CN" w:bidi="he-IL"/>
                      <w14:textFill>
                        <w14:solidFill>
                          <w14:schemeClr w14:val="tx1"/>
                        </w14:solidFill>
                      </w14:textFill>
                    </w:rPr>
                    <w:t>0.002533</w:t>
                  </w:r>
                </w:p>
              </w:tc>
            </w:tr>
            <w:tr w14:paraId="7FDF1F90">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40" w:hRule="atLeast"/>
                <w:jc w:val="center"/>
              </w:trPr>
              <w:tc>
                <w:tcPr>
                  <w:tcW w:w="242" w:type="pct"/>
                  <w:vMerge w:val="continue"/>
                  <w:tcBorders>
                    <w:tl2br w:val="nil"/>
                    <w:tr2bl w:val="nil"/>
                  </w:tcBorders>
                  <w:noWrap w:val="0"/>
                  <w:vAlign w:val="center"/>
                </w:tcPr>
                <w:p w14:paraId="0A46DBEB">
                  <w:pPr>
                    <w:widowControl w:val="0"/>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625" w:type="pct"/>
                  <w:gridSpan w:val="2"/>
                  <w:tcBorders>
                    <w:tl2br w:val="nil"/>
                    <w:tr2bl w:val="nil"/>
                  </w:tcBorders>
                  <w:noWrap w:val="0"/>
                  <w:vAlign w:val="center"/>
                </w:tcPr>
                <w:p w14:paraId="7E2810A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1"/>
                      <w:szCs w:val="21"/>
                      <w:highlight w:val="none"/>
                      <w:lang w:val="en-US" w:eastAsia="zh-CN" w:bidi="he-IL"/>
                    </w:rPr>
                  </w:pPr>
                  <w:r>
                    <w:rPr>
                      <w:rFonts w:hint="eastAsia" w:ascii="Times New Roman" w:hAnsi="Times New Roman" w:cs="Times New Roman"/>
                      <w:color w:val="auto"/>
                      <w:kern w:val="2"/>
                      <w:sz w:val="21"/>
                      <w:szCs w:val="21"/>
                      <w:highlight w:val="none"/>
                      <w:lang w:val="en-US" w:eastAsia="zh-CN" w:bidi="he-IL"/>
                    </w:rPr>
                    <w:t>硫化氢</w:t>
                  </w:r>
                </w:p>
              </w:tc>
              <w:tc>
                <w:tcPr>
                  <w:tcW w:w="807" w:type="pct"/>
                  <w:tcBorders>
                    <w:tl2br w:val="nil"/>
                    <w:tr2bl w:val="nil"/>
                  </w:tcBorders>
                  <w:noWrap w:val="0"/>
                  <w:vAlign w:val="center"/>
                </w:tcPr>
                <w:p w14:paraId="6E4C9AB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1"/>
                      <w:szCs w:val="21"/>
                      <w:highlight w:val="none"/>
                      <w:lang w:val="en-US" w:eastAsia="zh-CN" w:bidi="he-IL"/>
                    </w:rPr>
                  </w:pPr>
                  <w:r>
                    <w:rPr>
                      <w:rFonts w:hint="eastAsia" w:ascii="Times New Roman" w:hAnsi="Times New Roman" w:cs="Times New Roman"/>
                      <w:color w:val="auto"/>
                      <w:kern w:val="2"/>
                      <w:sz w:val="21"/>
                      <w:szCs w:val="21"/>
                      <w:highlight w:val="none"/>
                      <w:lang w:val="en-US" w:eastAsia="zh-CN" w:bidi="he-IL"/>
                    </w:rPr>
                    <w:t>/</w:t>
                  </w:r>
                </w:p>
              </w:tc>
              <w:tc>
                <w:tcPr>
                  <w:tcW w:w="471" w:type="pct"/>
                  <w:tcBorders>
                    <w:tl2br w:val="nil"/>
                    <w:tr2bl w:val="nil"/>
                  </w:tcBorders>
                  <w:shd w:val="clear" w:color="auto" w:fill="auto"/>
                  <w:noWrap w:val="0"/>
                  <w:vAlign w:val="center"/>
                </w:tcPr>
                <w:p w14:paraId="0E83E6DC">
                  <w:pP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670" w:type="pct"/>
                  <w:tcBorders>
                    <w:tl2br w:val="nil"/>
                    <w:tr2bl w:val="nil"/>
                  </w:tcBorders>
                  <w:noWrap w:val="0"/>
                  <w:vAlign w:val="center"/>
                </w:tcPr>
                <w:p w14:paraId="16D94A6E">
                  <w:pPr>
                    <w:widowControl w:val="0"/>
                    <w:autoSpaceDE w:val="0"/>
                    <w:autoSpaceDN w:val="0"/>
                    <w:spacing w:line="240" w:lineRule="auto"/>
                    <w:ind w:firstLine="0" w:firstLineChars="0"/>
                    <w:jc w:val="center"/>
                    <w:rPr>
                      <w:rFonts w:hint="default" w:cs="Times New Roman"/>
                      <w:bCs/>
                      <w:color w:val="000000" w:themeColor="text1"/>
                      <w:sz w:val="21"/>
                      <w:szCs w:val="21"/>
                      <w:highlight w:val="none"/>
                      <w:lang w:val="en-US" w:eastAsia="zh-CN"/>
                      <w14:textFill>
                        <w14:solidFill>
                          <w14:schemeClr w14:val="tx1"/>
                        </w14:solidFill>
                      </w14:textFill>
                    </w:rPr>
                  </w:pPr>
                  <w:r>
                    <w:rPr>
                      <w:rFonts w:hint="eastAsia" w:cs="Times New Roman"/>
                      <w:bCs/>
                      <w:color w:val="000000" w:themeColor="text1"/>
                      <w:sz w:val="21"/>
                      <w:szCs w:val="21"/>
                      <w:highlight w:val="none"/>
                      <w:lang w:val="en-US" w:eastAsia="zh-CN"/>
                      <w14:textFill>
                        <w14:solidFill>
                          <w14:schemeClr w14:val="tx1"/>
                        </w14:solidFill>
                      </w14:textFill>
                    </w:rPr>
                    <w:t>0.0000964</w:t>
                  </w:r>
                </w:p>
              </w:tc>
              <w:tc>
                <w:tcPr>
                  <w:tcW w:w="670" w:type="pct"/>
                  <w:tcBorders>
                    <w:tl2br w:val="nil"/>
                    <w:tr2bl w:val="nil"/>
                  </w:tcBorders>
                  <w:shd w:val="clear" w:color="auto" w:fill="auto"/>
                  <w:noWrap w:val="0"/>
                  <w:vAlign w:val="center"/>
                </w:tcPr>
                <w:p w14:paraId="1D24B71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000000" w:themeColor="text1"/>
                      <w:kern w:val="2"/>
                      <w:sz w:val="21"/>
                      <w:szCs w:val="21"/>
                      <w:highlight w:val="none"/>
                      <w:lang w:val="en-US" w:eastAsia="zh-CN" w:bidi="he-IL"/>
                      <w14:textFill>
                        <w14:solidFill>
                          <w14:schemeClr w14:val="tx1"/>
                        </w14:solidFill>
                      </w14:textFill>
                    </w:rPr>
                  </w:pPr>
                  <w:r>
                    <w:rPr>
                      <w:rFonts w:hint="eastAsia" w:ascii="Times New Roman" w:hAnsi="Times New Roman" w:cs="Times New Roman"/>
                      <w:color w:val="000000" w:themeColor="text1"/>
                      <w:kern w:val="2"/>
                      <w:sz w:val="21"/>
                      <w:szCs w:val="21"/>
                      <w:highlight w:val="none"/>
                      <w:lang w:val="en-US" w:eastAsia="zh-CN" w:bidi="he-IL"/>
                      <w14:textFill>
                        <w14:solidFill>
                          <w14:schemeClr w14:val="tx1"/>
                        </w14:solidFill>
                      </w14:textFill>
                    </w:rPr>
                    <w:t>/</w:t>
                  </w:r>
                </w:p>
              </w:tc>
              <w:tc>
                <w:tcPr>
                  <w:tcW w:w="670" w:type="pct"/>
                  <w:tcBorders>
                    <w:tl2br w:val="nil"/>
                    <w:tr2bl w:val="nil"/>
                  </w:tcBorders>
                  <w:shd w:val="clear" w:color="auto" w:fill="auto"/>
                  <w:noWrap w:val="0"/>
                  <w:vAlign w:val="center"/>
                </w:tcPr>
                <w:p w14:paraId="373D58F3">
                  <w:pPr>
                    <w:widowControl w:val="0"/>
                    <w:autoSpaceDE w:val="0"/>
                    <w:autoSpaceDN w:val="0"/>
                    <w:spacing w:line="240" w:lineRule="auto"/>
                    <w:ind w:firstLine="0" w:firstLineChars="0"/>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cs="Times New Roman"/>
                      <w:bCs/>
                      <w:color w:val="000000" w:themeColor="text1"/>
                      <w:sz w:val="21"/>
                      <w:szCs w:val="21"/>
                      <w:highlight w:val="none"/>
                      <w:lang w:val="en-US" w:eastAsia="zh-CN"/>
                      <w14:textFill>
                        <w14:solidFill>
                          <w14:schemeClr w14:val="tx1"/>
                        </w14:solidFill>
                      </w14:textFill>
                    </w:rPr>
                    <w:t>0.0000964</w:t>
                  </w:r>
                </w:p>
              </w:tc>
              <w:tc>
                <w:tcPr>
                  <w:tcW w:w="839" w:type="pct"/>
                  <w:tcBorders>
                    <w:tl2br w:val="nil"/>
                    <w:tr2bl w:val="nil"/>
                  </w:tcBorders>
                  <w:shd w:val="clear" w:color="auto" w:fill="auto"/>
                  <w:noWrap w:val="0"/>
                  <w:vAlign w:val="center"/>
                </w:tcPr>
                <w:p w14:paraId="3B6ED20A">
                  <w:pPr>
                    <w:widowControl w:val="0"/>
                    <w:autoSpaceDE w:val="0"/>
                    <w:autoSpaceDN w:val="0"/>
                    <w:spacing w:line="240" w:lineRule="auto"/>
                    <w:ind w:firstLine="0" w:firstLineChars="0"/>
                    <w:jc w:val="center"/>
                    <w:rPr>
                      <w:rFonts w:hint="default" w:ascii="Times New Roman" w:hAnsi="Times New Roman" w:eastAsia="宋体" w:cs="Times New Roman"/>
                      <w:bCs/>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0"/>
                      <w:sz w:val="21"/>
                      <w:szCs w:val="18"/>
                      <w:highlight w:val="none"/>
                      <w:lang w:val="en-US" w:eastAsia="zh-CN" w:bidi="he-IL"/>
                      <w14:textFill>
                        <w14:solidFill>
                          <w14:schemeClr w14:val="tx1"/>
                        </w14:solidFill>
                      </w14:textFill>
                    </w:rPr>
                    <w:t>+</w:t>
                  </w:r>
                  <w:r>
                    <w:rPr>
                      <w:rFonts w:hint="eastAsia" w:cs="Times New Roman"/>
                      <w:bCs/>
                      <w:color w:val="000000" w:themeColor="text1"/>
                      <w:sz w:val="21"/>
                      <w:szCs w:val="21"/>
                      <w:highlight w:val="none"/>
                      <w:lang w:val="en-US" w:eastAsia="zh-CN"/>
                      <w14:textFill>
                        <w14:solidFill>
                          <w14:schemeClr w14:val="tx1"/>
                        </w14:solidFill>
                      </w14:textFill>
                    </w:rPr>
                    <w:t>0.0000964</w:t>
                  </w:r>
                </w:p>
              </w:tc>
            </w:tr>
            <w:tr w14:paraId="01183E0C">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22" w:hRule="atLeast"/>
                <w:jc w:val="center"/>
              </w:trPr>
              <w:tc>
                <w:tcPr>
                  <w:tcW w:w="242" w:type="pct"/>
                  <w:vMerge w:val="restart"/>
                  <w:tcBorders>
                    <w:tl2br w:val="nil"/>
                    <w:tr2bl w:val="nil"/>
                  </w:tcBorders>
                  <w:noWrap w:val="0"/>
                  <w:vAlign w:val="center"/>
                </w:tcPr>
                <w:p w14:paraId="11C11A2F">
                  <w:pPr>
                    <w:widowControl w:val="0"/>
                    <w:spacing w:line="240" w:lineRule="auto"/>
                    <w:ind w:firstLine="0" w:firstLineChars="0"/>
                    <w:jc w:val="center"/>
                    <w:rPr>
                      <w:rFonts w:hint="eastAsia" w:ascii="Times New Roman" w:hAnsi="Times New Roman" w:eastAsia="宋体" w:cs="Times New Roman"/>
                      <w:color w:val="auto"/>
                      <w:kern w:val="2"/>
                      <w:sz w:val="21"/>
                      <w:szCs w:val="21"/>
                      <w:highlight w:val="none"/>
                      <w:lang w:eastAsia="zh-CN"/>
                    </w:rPr>
                  </w:pPr>
                  <w:r>
                    <w:rPr>
                      <w:rFonts w:hint="eastAsia" w:cs="Times New Roman"/>
                      <w:color w:val="auto"/>
                      <w:sz w:val="21"/>
                      <w:szCs w:val="21"/>
                      <w:highlight w:val="none"/>
                      <w:lang w:val="en-US" w:eastAsia="zh-CN"/>
                    </w:rPr>
                    <w:t>固体废物</w:t>
                  </w:r>
                </w:p>
              </w:tc>
              <w:tc>
                <w:tcPr>
                  <w:tcW w:w="625" w:type="pct"/>
                  <w:gridSpan w:val="2"/>
                  <w:tcBorders>
                    <w:tl2br w:val="nil"/>
                    <w:tr2bl w:val="nil"/>
                  </w:tcBorders>
                  <w:noWrap w:val="0"/>
                  <w:vAlign w:val="center"/>
                </w:tcPr>
                <w:p w14:paraId="308B2C3C">
                  <w:pPr>
                    <w:widowControl w:val="0"/>
                    <w:snapToGrid w:val="0"/>
                    <w:spacing w:line="240" w:lineRule="auto"/>
                    <w:ind w:firstLine="0" w:firstLineChars="0"/>
                    <w:jc w:val="center"/>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sz w:val="21"/>
                      <w:szCs w:val="21"/>
                      <w:highlight w:val="none"/>
                    </w:rPr>
                    <w:t>生活垃圾</w:t>
                  </w:r>
                </w:p>
              </w:tc>
              <w:tc>
                <w:tcPr>
                  <w:tcW w:w="807" w:type="pct"/>
                  <w:tcBorders>
                    <w:tl2br w:val="nil"/>
                    <w:tr2bl w:val="nil"/>
                  </w:tcBorders>
                  <w:noWrap w:val="0"/>
                  <w:vAlign w:val="center"/>
                </w:tcPr>
                <w:p w14:paraId="5A87B865">
                  <w:pPr>
                    <w:widowControl w:val="0"/>
                    <w:autoSpaceDE w:val="0"/>
                    <w:autoSpaceDN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49.</w:t>
                  </w:r>
                  <w:r>
                    <w:rPr>
                      <w:rFonts w:hint="eastAsia" w:cs="Times New Roman"/>
                      <w:color w:val="000000"/>
                      <w:sz w:val="21"/>
                      <w:szCs w:val="21"/>
                      <w:highlight w:val="none"/>
                      <w:lang w:val="en-US" w:eastAsia="zh-CN"/>
                    </w:rPr>
                    <w:t>3</w:t>
                  </w:r>
                </w:p>
              </w:tc>
              <w:tc>
                <w:tcPr>
                  <w:tcW w:w="471" w:type="pct"/>
                  <w:tcBorders>
                    <w:tl2br w:val="nil"/>
                    <w:tr2bl w:val="nil"/>
                  </w:tcBorders>
                  <w:noWrap w:val="0"/>
                  <w:vAlign w:val="center"/>
                </w:tcPr>
                <w:p w14:paraId="1EC00425">
                  <w:pPr>
                    <w:widowControl w:val="0"/>
                    <w:autoSpaceDE w:val="0"/>
                    <w:autoSpaceDN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w:t>
                  </w:r>
                </w:p>
              </w:tc>
              <w:tc>
                <w:tcPr>
                  <w:tcW w:w="670" w:type="pct"/>
                  <w:tcBorders>
                    <w:tl2br w:val="nil"/>
                    <w:tr2bl w:val="nil"/>
                  </w:tcBorders>
                  <w:noWrap w:val="0"/>
                  <w:vAlign w:val="center"/>
                </w:tcPr>
                <w:p w14:paraId="10A48227">
                  <w:pPr>
                    <w:widowControl w:val="0"/>
                    <w:autoSpaceDE w:val="0"/>
                    <w:autoSpaceDN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宋体"/>
                      <w:color w:val="000000" w:themeColor="text1"/>
                      <w:highlight w:val="none"/>
                      <w:lang w:val="en-US" w:eastAsia="zh-CN"/>
                      <w14:textFill>
                        <w14:solidFill>
                          <w14:schemeClr w14:val="tx1"/>
                        </w14:solidFill>
                      </w14:textFill>
                    </w:rPr>
                    <w:t>123.37</w:t>
                  </w:r>
                </w:p>
              </w:tc>
              <w:tc>
                <w:tcPr>
                  <w:tcW w:w="670" w:type="pct"/>
                  <w:tcBorders>
                    <w:tl2br w:val="nil"/>
                    <w:tr2bl w:val="nil"/>
                  </w:tcBorders>
                  <w:noWrap w:val="0"/>
                  <w:vAlign w:val="center"/>
                </w:tcPr>
                <w:p w14:paraId="448A8794">
                  <w:pPr>
                    <w:spacing w:line="240" w:lineRule="auto"/>
                    <w:ind w:firstLine="0" w:firstLineChars="0"/>
                    <w:jc w:val="center"/>
                    <w:rPr>
                      <w:rFonts w:hint="default" w:cs="Times New Roman"/>
                      <w:color w:val="000000" w:themeColor="text1"/>
                      <w:kern w:val="0"/>
                      <w:sz w:val="21"/>
                      <w:szCs w:val="18"/>
                      <w:highlight w:val="none"/>
                      <w:lang w:val="en-US" w:eastAsia="zh-CN" w:bidi="he-IL"/>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49.</w:t>
                  </w:r>
                  <w:r>
                    <w:rPr>
                      <w:rFonts w:hint="eastAsia" w:cs="Times New Roman"/>
                      <w:color w:val="000000" w:themeColor="text1"/>
                      <w:sz w:val="21"/>
                      <w:szCs w:val="21"/>
                      <w:highlight w:val="none"/>
                      <w:lang w:val="en-US" w:eastAsia="zh-CN"/>
                      <w14:textFill>
                        <w14:solidFill>
                          <w14:schemeClr w14:val="tx1"/>
                        </w14:solidFill>
                      </w14:textFill>
                    </w:rPr>
                    <w:t>3</w:t>
                  </w:r>
                </w:p>
              </w:tc>
              <w:tc>
                <w:tcPr>
                  <w:tcW w:w="670" w:type="pct"/>
                  <w:tcBorders>
                    <w:tl2br w:val="nil"/>
                    <w:tr2bl w:val="nil"/>
                  </w:tcBorders>
                  <w:noWrap w:val="0"/>
                  <w:vAlign w:val="center"/>
                </w:tcPr>
                <w:p w14:paraId="08E89C41">
                  <w:pPr>
                    <w:spacing w:line="240" w:lineRule="auto"/>
                    <w:ind w:firstLine="0" w:firstLineChars="0"/>
                    <w:jc w:val="center"/>
                    <w:rPr>
                      <w:rFonts w:hint="default" w:ascii="Times New Roman" w:hAnsi="Times New Roman" w:eastAsia="宋体" w:cs="Times New Roman"/>
                      <w:color w:val="000000" w:themeColor="text1"/>
                      <w:kern w:val="0"/>
                      <w:sz w:val="21"/>
                      <w:szCs w:val="18"/>
                      <w:highlight w:val="none"/>
                      <w:lang w:val="en-US" w:eastAsia="zh-CN" w:bidi="he-IL"/>
                      <w14:textFill>
                        <w14:solidFill>
                          <w14:schemeClr w14:val="tx1"/>
                        </w14:solidFill>
                      </w14:textFill>
                    </w:rPr>
                  </w:pPr>
                  <w:r>
                    <w:rPr>
                      <w:rFonts w:hint="eastAsia" w:cs="宋体"/>
                      <w:color w:val="000000" w:themeColor="text1"/>
                      <w:highlight w:val="none"/>
                      <w:lang w:val="en-US" w:eastAsia="zh-CN"/>
                      <w14:textFill>
                        <w14:solidFill>
                          <w14:schemeClr w14:val="tx1"/>
                        </w14:solidFill>
                      </w14:textFill>
                    </w:rPr>
                    <w:t>123.37</w:t>
                  </w:r>
                </w:p>
              </w:tc>
              <w:tc>
                <w:tcPr>
                  <w:tcW w:w="839" w:type="pct"/>
                  <w:tcBorders>
                    <w:tl2br w:val="nil"/>
                    <w:tr2bl w:val="nil"/>
                  </w:tcBorders>
                  <w:noWrap w:val="0"/>
                  <w:vAlign w:val="center"/>
                </w:tcPr>
                <w:p w14:paraId="008F231F">
                  <w:pPr>
                    <w:widowControl w:val="0"/>
                    <w:autoSpaceDE w:val="0"/>
                    <w:autoSpaceDN w:val="0"/>
                    <w:spacing w:line="240" w:lineRule="auto"/>
                    <w:ind w:firstLine="0" w:firstLineChars="0"/>
                    <w:jc w:val="center"/>
                    <w:rPr>
                      <w:rFonts w:hint="default" w:ascii="Times New Roman" w:hAnsi="Times New Roman" w:eastAsia="宋体" w:cs="Times New Roman"/>
                      <w:color w:val="000000" w:themeColor="text1"/>
                      <w:kern w:val="0"/>
                      <w:sz w:val="21"/>
                      <w:szCs w:val="18"/>
                      <w:highlight w:val="none"/>
                      <w:lang w:val="en-US" w:eastAsia="zh-CN" w:bidi="he-IL"/>
                      <w14:textFill>
                        <w14:solidFill>
                          <w14:schemeClr w14:val="tx1"/>
                        </w14:solidFill>
                      </w14:textFill>
                    </w:rPr>
                  </w:pPr>
                  <w:r>
                    <w:rPr>
                      <w:rFonts w:hint="eastAsia" w:cs="Times New Roman"/>
                      <w:color w:val="000000" w:themeColor="text1"/>
                      <w:kern w:val="0"/>
                      <w:sz w:val="21"/>
                      <w:szCs w:val="18"/>
                      <w:highlight w:val="none"/>
                      <w:lang w:val="en-US" w:eastAsia="zh-CN" w:bidi="he-IL"/>
                      <w14:textFill>
                        <w14:solidFill>
                          <w14:schemeClr w14:val="tx1"/>
                        </w14:solidFill>
                      </w14:textFill>
                    </w:rPr>
                    <w:t>+74.07</w:t>
                  </w:r>
                </w:p>
              </w:tc>
            </w:tr>
            <w:tr w14:paraId="66B270EE">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40" w:hRule="atLeast"/>
                <w:jc w:val="center"/>
              </w:trPr>
              <w:tc>
                <w:tcPr>
                  <w:tcW w:w="242" w:type="pct"/>
                  <w:vMerge w:val="continue"/>
                  <w:tcBorders>
                    <w:tl2br w:val="nil"/>
                    <w:tr2bl w:val="nil"/>
                  </w:tcBorders>
                  <w:noWrap w:val="0"/>
                  <w:vAlign w:val="center"/>
                </w:tcPr>
                <w:p w14:paraId="0E9B2FFB">
                  <w:pPr>
                    <w:spacing w:line="240" w:lineRule="auto"/>
                    <w:ind w:firstLine="0" w:firstLineChars="0"/>
                    <w:jc w:val="center"/>
                    <w:rPr>
                      <w:rFonts w:hint="default" w:ascii="Times New Roman" w:hAnsi="Times New Roman" w:eastAsia="宋体" w:cs="Times New Roman"/>
                      <w:color w:val="auto"/>
                      <w:kern w:val="2"/>
                      <w:sz w:val="21"/>
                      <w:szCs w:val="21"/>
                      <w:highlight w:val="none"/>
                    </w:rPr>
                  </w:pPr>
                </w:p>
              </w:tc>
              <w:tc>
                <w:tcPr>
                  <w:tcW w:w="242" w:type="pct"/>
                  <w:tcBorders>
                    <w:tl2br w:val="nil"/>
                    <w:tr2bl w:val="nil"/>
                  </w:tcBorders>
                  <w:noWrap w:val="0"/>
                  <w:vAlign w:val="center"/>
                </w:tcPr>
                <w:p w14:paraId="293DB173">
                  <w:pPr>
                    <w:spacing w:line="240" w:lineRule="auto"/>
                    <w:ind w:firstLine="0" w:firstLineChars="0"/>
                    <w:jc w:val="center"/>
                    <w:rPr>
                      <w:rFonts w:hint="default"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一般工业固废</w:t>
                  </w:r>
                </w:p>
              </w:tc>
              <w:tc>
                <w:tcPr>
                  <w:tcW w:w="383" w:type="pct"/>
                  <w:tcBorders>
                    <w:tl2br w:val="nil"/>
                    <w:tr2bl w:val="nil"/>
                  </w:tcBorders>
                  <w:noWrap w:val="0"/>
                  <w:vAlign w:val="center"/>
                </w:tcPr>
                <w:p w14:paraId="6B3DD761">
                  <w:pPr>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废包装材料</w:t>
                  </w:r>
                </w:p>
              </w:tc>
              <w:tc>
                <w:tcPr>
                  <w:tcW w:w="807" w:type="pct"/>
                  <w:tcBorders>
                    <w:tl2br w:val="nil"/>
                    <w:tr2bl w:val="nil"/>
                  </w:tcBorders>
                  <w:noWrap w:val="0"/>
                  <w:vAlign w:val="center"/>
                </w:tcPr>
                <w:p w14:paraId="5AAF9521">
                  <w:pPr>
                    <w:widowControl w:val="0"/>
                    <w:autoSpaceDE w:val="0"/>
                    <w:autoSpaceDN w:val="0"/>
                    <w:spacing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1.0</w:t>
                  </w:r>
                </w:p>
              </w:tc>
              <w:tc>
                <w:tcPr>
                  <w:tcW w:w="471" w:type="pct"/>
                  <w:tcBorders>
                    <w:tl2br w:val="nil"/>
                    <w:tr2bl w:val="nil"/>
                  </w:tcBorders>
                  <w:noWrap w:val="0"/>
                  <w:vAlign w:val="center"/>
                </w:tcPr>
                <w:p w14:paraId="58088C44">
                  <w:pPr>
                    <w:widowControl w:val="0"/>
                    <w:autoSpaceDE w:val="0"/>
                    <w:autoSpaceDN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w:t>
                  </w:r>
                </w:p>
              </w:tc>
              <w:tc>
                <w:tcPr>
                  <w:tcW w:w="670" w:type="pct"/>
                  <w:tcBorders>
                    <w:tl2br w:val="nil"/>
                    <w:tr2bl w:val="nil"/>
                  </w:tcBorders>
                  <w:noWrap w:val="0"/>
                  <w:vAlign w:val="center"/>
                </w:tcPr>
                <w:p w14:paraId="4655849A">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14:textFill>
                        <w14:solidFill>
                          <w14:schemeClr w14:val="tx1"/>
                        </w14:solidFill>
                      </w14:textFill>
                    </w:rPr>
                  </w:pPr>
                  <w:r>
                    <w:rPr>
                      <w:rFonts w:hint="eastAsia" w:cs="Times New Roman"/>
                      <w:color w:val="000000" w:themeColor="text1"/>
                      <w:kern w:val="2"/>
                      <w:sz w:val="21"/>
                      <w:szCs w:val="21"/>
                      <w:highlight w:val="none"/>
                      <w:lang w:val="en-US" w:eastAsia="zh-CN"/>
                      <w14:textFill>
                        <w14:solidFill>
                          <w14:schemeClr w14:val="tx1"/>
                        </w14:solidFill>
                      </w14:textFill>
                    </w:rPr>
                    <w:t>1.5</w:t>
                  </w:r>
                </w:p>
              </w:tc>
              <w:tc>
                <w:tcPr>
                  <w:tcW w:w="670" w:type="pct"/>
                  <w:tcBorders>
                    <w:tl2br w:val="nil"/>
                    <w:tr2bl w:val="nil"/>
                  </w:tcBorders>
                  <w:shd w:val="clear" w:color="auto" w:fill="auto"/>
                  <w:noWrap w:val="0"/>
                  <w:vAlign w:val="center"/>
                </w:tcPr>
                <w:p w14:paraId="6B13243E">
                  <w:pPr>
                    <w:widowControl w:val="0"/>
                    <w:autoSpaceDE w:val="0"/>
                    <w:autoSpaceDN w:val="0"/>
                    <w:spacing w:line="240" w:lineRule="auto"/>
                    <w:ind w:firstLine="0" w:firstLineChars="0"/>
                    <w:jc w:val="center"/>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14:textFill>
                        <w14:solidFill>
                          <w14:schemeClr w14:val="tx1"/>
                        </w14:solidFill>
                      </w14:textFill>
                    </w:rPr>
                    <w:t>1.0</w:t>
                  </w:r>
                </w:p>
              </w:tc>
              <w:tc>
                <w:tcPr>
                  <w:tcW w:w="670" w:type="pct"/>
                  <w:tcBorders>
                    <w:tl2br w:val="nil"/>
                    <w:tr2bl w:val="nil"/>
                  </w:tcBorders>
                  <w:shd w:val="clear" w:color="auto" w:fill="auto"/>
                  <w:noWrap w:val="0"/>
                  <w:vAlign w:val="center"/>
                </w:tcPr>
                <w:p w14:paraId="71F3E5B9">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kern w:val="2"/>
                      <w:sz w:val="21"/>
                      <w:szCs w:val="21"/>
                      <w:highlight w:val="none"/>
                      <w:lang w:val="en-US" w:eastAsia="zh-CN"/>
                      <w14:textFill>
                        <w14:solidFill>
                          <w14:schemeClr w14:val="tx1"/>
                        </w14:solidFill>
                      </w14:textFill>
                    </w:rPr>
                    <w:t>1.5</w:t>
                  </w:r>
                </w:p>
              </w:tc>
              <w:tc>
                <w:tcPr>
                  <w:tcW w:w="839" w:type="pct"/>
                  <w:tcBorders>
                    <w:tl2br w:val="nil"/>
                    <w:tr2bl w:val="nil"/>
                  </w:tcBorders>
                  <w:noWrap w:val="0"/>
                  <w:vAlign w:val="center"/>
                </w:tcPr>
                <w:p w14:paraId="10E78EC7">
                  <w:pPr>
                    <w:widowControl w:val="0"/>
                    <w:autoSpaceDE w:val="0"/>
                    <w:autoSpaceDN w:val="0"/>
                    <w:spacing w:line="240" w:lineRule="auto"/>
                    <w:ind w:firstLine="0" w:firstLineChars="0"/>
                    <w:jc w:val="center"/>
                    <w:rPr>
                      <w:rFonts w:hint="default" w:ascii="Times New Roman" w:hAnsi="Times New Roman" w:eastAsia="宋体" w:cs="Times New Roman"/>
                      <w:color w:val="000000" w:themeColor="text1"/>
                      <w:kern w:val="0"/>
                      <w:sz w:val="21"/>
                      <w:szCs w:val="18"/>
                      <w:highlight w:val="none"/>
                      <w:lang w:val="en-US" w:eastAsia="zh-CN" w:bidi="he-IL"/>
                      <w14:textFill>
                        <w14:solidFill>
                          <w14:schemeClr w14:val="tx1"/>
                        </w14:solidFill>
                      </w14:textFill>
                    </w:rPr>
                  </w:pPr>
                  <w:r>
                    <w:rPr>
                      <w:rFonts w:hint="eastAsia" w:cs="Times New Roman"/>
                      <w:color w:val="000000" w:themeColor="text1"/>
                      <w:kern w:val="0"/>
                      <w:sz w:val="21"/>
                      <w:szCs w:val="18"/>
                      <w:highlight w:val="none"/>
                      <w:lang w:val="en-US" w:eastAsia="zh-CN" w:bidi="he-IL"/>
                      <w14:textFill>
                        <w14:solidFill>
                          <w14:schemeClr w14:val="tx1"/>
                        </w14:solidFill>
                      </w14:textFill>
                    </w:rPr>
                    <w:t>+0.5</w:t>
                  </w:r>
                </w:p>
              </w:tc>
            </w:tr>
            <w:tr w14:paraId="2D00259F">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65" w:hRule="atLeast"/>
                <w:jc w:val="center"/>
              </w:trPr>
              <w:tc>
                <w:tcPr>
                  <w:tcW w:w="242" w:type="pct"/>
                  <w:vMerge w:val="continue"/>
                  <w:tcBorders>
                    <w:tl2br w:val="nil"/>
                    <w:tr2bl w:val="nil"/>
                  </w:tcBorders>
                  <w:noWrap w:val="0"/>
                  <w:vAlign w:val="center"/>
                </w:tcPr>
                <w:p w14:paraId="6672220F">
                  <w:pPr>
                    <w:spacing w:line="240" w:lineRule="auto"/>
                    <w:ind w:firstLine="0" w:firstLineChars="0"/>
                    <w:jc w:val="center"/>
                    <w:rPr>
                      <w:rFonts w:hint="default" w:ascii="Times New Roman" w:hAnsi="Times New Roman" w:eastAsia="宋体" w:cs="Times New Roman"/>
                      <w:color w:val="auto"/>
                      <w:kern w:val="2"/>
                      <w:sz w:val="21"/>
                      <w:szCs w:val="21"/>
                      <w:highlight w:val="none"/>
                    </w:rPr>
                  </w:pPr>
                </w:p>
              </w:tc>
              <w:tc>
                <w:tcPr>
                  <w:tcW w:w="242" w:type="pct"/>
                  <w:vMerge w:val="restart"/>
                  <w:tcBorders>
                    <w:tl2br w:val="nil"/>
                    <w:tr2bl w:val="nil"/>
                  </w:tcBorders>
                  <w:noWrap w:val="0"/>
                  <w:vAlign w:val="center"/>
                </w:tcPr>
                <w:p w14:paraId="16712A6C">
                  <w:pPr>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危险废物</w:t>
                  </w:r>
                </w:p>
              </w:tc>
              <w:tc>
                <w:tcPr>
                  <w:tcW w:w="383" w:type="pct"/>
                  <w:tcBorders>
                    <w:tl2br w:val="nil"/>
                    <w:tr2bl w:val="nil"/>
                  </w:tcBorders>
                  <w:noWrap w:val="0"/>
                  <w:vAlign w:val="center"/>
                </w:tcPr>
                <w:p w14:paraId="6FB44A5E">
                  <w:pPr>
                    <w:spacing w:line="240" w:lineRule="auto"/>
                    <w:ind w:firstLine="0" w:firstLineChars="0"/>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医疗废物</w:t>
                  </w:r>
                </w:p>
              </w:tc>
              <w:tc>
                <w:tcPr>
                  <w:tcW w:w="807" w:type="pct"/>
                  <w:tcBorders>
                    <w:tl2br w:val="nil"/>
                    <w:tr2bl w:val="nil"/>
                  </w:tcBorders>
                  <w:noWrap w:val="0"/>
                  <w:vAlign w:val="center"/>
                </w:tcPr>
                <w:p w14:paraId="1B5E22A7">
                  <w:pPr>
                    <w:keepNext w:val="0"/>
                    <w:keepLines/>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2.7</w:t>
                  </w:r>
                </w:p>
              </w:tc>
              <w:tc>
                <w:tcPr>
                  <w:tcW w:w="471" w:type="pct"/>
                  <w:tcBorders>
                    <w:tl2br w:val="nil"/>
                    <w:tr2bl w:val="nil"/>
                  </w:tcBorders>
                  <w:noWrap w:val="0"/>
                  <w:vAlign w:val="center"/>
                </w:tcPr>
                <w:p w14:paraId="5591C6B2">
                  <w:pPr>
                    <w:widowControl w:val="0"/>
                    <w:autoSpaceDE w:val="0"/>
                    <w:autoSpaceDN w:val="0"/>
                    <w:spacing w:line="240" w:lineRule="auto"/>
                    <w:ind w:firstLine="0" w:firstLineChars="0"/>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w:t>
                  </w:r>
                </w:p>
              </w:tc>
              <w:tc>
                <w:tcPr>
                  <w:tcW w:w="670" w:type="pct"/>
                  <w:tcBorders>
                    <w:tl2br w:val="nil"/>
                    <w:tr2bl w:val="nil"/>
                  </w:tcBorders>
                  <w:noWrap w:val="0"/>
                  <w:vAlign w:val="center"/>
                </w:tcPr>
                <w:p w14:paraId="194CC71E">
                  <w:pPr>
                    <w:widowControl w:val="0"/>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78.84</w:t>
                  </w:r>
                </w:p>
              </w:tc>
              <w:tc>
                <w:tcPr>
                  <w:tcW w:w="670" w:type="pct"/>
                  <w:tcBorders>
                    <w:tl2br w:val="nil"/>
                    <w:tr2bl w:val="nil"/>
                  </w:tcBorders>
                  <w:shd w:val="clear" w:color="auto" w:fill="auto"/>
                  <w:noWrap w:val="0"/>
                  <w:vAlign w:val="center"/>
                </w:tcPr>
                <w:p w14:paraId="747F747A">
                  <w:pPr>
                    <w:keepNext w:val="0"/>
                    <w:keepLines/>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2.7</w:t>
                  </w:r>
                </w:p>
              </w:tc>
              <w:tc>
                <w:tcPr>
                  <w:tcW w:w="670" w:type="pct"/>
                  <w:tcBorders>
                    <w:tl2br w:val="nil"/>
                    <w:tr2bl w:val="nil"/>
                  </w:tcBorders>
                  <w:shd w:val="clear" w:color="auto" w:fill="auto"/>
                  <w:noWrap w:val="0"/>
                  <w:vAlign w:val="center"/>
                </w:tcPr>
                <w:p w14:paraId="4196C2DA">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78.84</w:t>
                  </w:r>
                </w:p>
              </w:tc>
              <w:tc>
                <w:tcPr>
                  <w:tcW w:w="839" w:type="pct"/>
                  <w:tcBorders>
                    <w:tl2br w:val="nil"/>
                    <w:tr2bl w:val="nil"/>
                  </w:tcBorders>
                  <w:noWrap w:val="0"/>
                  <w:vAlign w:val="center"/>
                </w:tcPr>
                <w:p w14:paraId="005B83DA">
                  <w:pPr>
                    <w:widowControl w:val="0"/>
                    <w:autoSpaceDE w:val="0"/>
                    <w:autoSpaceDN w:val="0"/>
                    <w:spacing w:line="240" w:lineRule="auto"/>
                    <w:ind w:firstLine="0" w:firstLineChars="0"/>
                    <w:jc w:val="center"/>
                    <w:rPr>
                      <w:rFonts w:hint="default" w:ascii="Times New Roman" w:hAnsi="Times New Roman" w:eastAsia="宋体" w:cs="Times New Roman"/>
                      <w:color w:val="000000" w:themeColor="text1"/>
                      <w:kern w:val="0"/>
                      <w:sz w:val="21"/>
                      <w:szCs w:val="18"/>
                      <w:highlight w:val="none"/>
                      <w:lang w:val="en-US" w:eastAsia="zh-CN" w:bidi="he-IL"/>
                      <w14:textFill>
                        <w14:solidFill>
                          <w14:schemeClr w14:val="tx1"/>
                        </w14:solidFill>
                      </w14:textFill>
                    </w:rPr>
                  </w:pPr>
                  <w:r>
                    <w:rPr>
                      <w:rFonts w:hint="eastAsia" w:cs="Times New Roman"/>
                      <w:color w:val="000000" w:themeColor="text1"/>
                      <w:kern w:val="0"/>
                      <w:sz w:val="21"/>
                      <w:szCs w:val="18"/>
                      <w:highlight w:val="none"/>
                      <w:lang w:val="en-US" w:eastAsia="zh-CN" w:bidi="he-IL"/>
                      <w14:textFill>
                        <w14:solidFill>
                          <w14:schemeClr w14:val="tx1"/>
                        </w14:solidFill>
                      </w14:textFill>
                    </w:rPr>
                    <w:t>+76.14</w:t>
                  </w:r>
                </w:p>
              </w:tc>
            </w:tr>
            <w:tr w14:paraId="73129790">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65" w:hRule="atLeast"/>
                <w:jc w:val="center"/>
              </w:trPr>
              <w:tc>
                <w:tcPr>
                  <w:tcW w:w="242" w:type="pct"/>
                  <w:vMerge w:val="continue"/>
                  <w:tcBorders>
                    <w:tl2br w:val="nil"/>
                    <w:tr2bl w:val="nil"/>
                  </w:tcBorders>
                  <w:noWrap w:val="0"/>
                  <w:vAlign w:val="center"/>
                </w:tcPr>
                <w:p w14:paraId="0A27B90F">
                  <w:pPr>
                    <w:spacing w:line="240" w:lineRule="auto"/>
                    <w:ind w:firstLine="0" w:firstLineChars="0"/>
                    <w:jc w:val="center"/>
                    <w:rPr>
                      <w:rFonts w:hint="default" w:ascii="Times New Roman" w:hAnsi="Times New Roman" w:eastAsia="宋体" w:cs="Times New Roman"/>
                      <w:color w:val="auto"/>
                      <w:kern w:val="2"/>
                      <w:sz w:val="21"/>
                      <w:szCs w:val="21"/>
                      <w:highlight w:val="none"/>
                    </w:rPr>
                  </w:pPr>
                </w:p>
              </w:tc>
              <w:tc>
                <w:tcPr>
                  <w:tcW w:w="242" w:type="pct"/>
                  <w:vMerge w:val="continue"/>
                  <w:tcBorders>
                    <w:tl2br w:val="nil"/>
                    <w:tr2bl w:val="nil"/>
                  </w:tcBorders>
                  <w:noWrap w:val="0"/>
                  <w:vAlign w:val="center"/>
                </w:tcPr>
                <w:p w14:paraId="2D5D0A1F">
                  <w:pPr>
                    <w:spacing w:line="240" w:lineRule="auto"/>
                    <w:ind w:firstLine="0" w:firstLineChars="0"/>
                    <w:jc w:val="center"/>
                    <w:rPr>
                      <w:rFonts w:hint="default" w:ascii="Times New Roman" w:hAnsi="Times New Roman" w:eastAsia="宋体" w:cs="Times New Roman"/>
                      <w:color w:val="auto"/>
                      <w:sz w:val="21"/>
                      <w:szCs w:val="21"/>
                      <w:highlight w:val="none"/>
                      <w:lang w:eastAsia="zh-CN"/>
                    </w:rPr>
                  </w:pPr>
                </w:p>
              </w:tc>
              <w:tc>
                <w:tcPr>
                  <w:tcW w:w="383" w:type="pct"/>
                  <w:tcBorders>
                    <w:tl2br w:val="nil"/>
                    <w:tr2bl w:val="nil"/>
                  </w:tcBorders>
                  <w:noWrap w:val="0"/>
                  <w:vAlign w:val="center"/>
                </w:tcPr>
                <w:p w14:paraId="4836E197">
                  <w:pPr>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废活性炭</w:t>
                  </w:r>
                </w:p>
              </w:tc>
              <w:tc>
                <w:tcPr>
                  <w:tcW w:w="807" w:type="pct"/>
                  <w:tcBorders>
                    <w:tl2br w:val="nil"/>
                    <w:tr2bl w:val="nil"/>
                  </w:tcBorders>
                  <w:noWrap w:val="0"/>
                  <w:vAlign w:val="center"/>
                </w:tcPr>
                <w:p w14:paraId="485D9101">
                  <w:pPr>
                    <w:keepNext w:val="0"/>
                    <w:keepLines/>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w:t>
                  </w:r>
                </w:p>
              </w:tc>
              <w:tc>
                <w:tcPr>
                  <w:tcW w:w="471" w:type="pct"/>
                  <w:tcBorders>
                    <w:tl2br w:val="nil"/>
                    <w:tr2bl w:val="nil"/>
                  </w:tcBorders>
                  <w:noWrap w:val="0"/>
                  <w:vAlign w:val="center"/>
                </w:tcPr>
                <w:p w14:paraId="64CBC585">
                  <w:pPr>
                    <w:widowControl w:val="0"/>
                    <w:autoSpaceDE w:val="0"/>
                    <w:autoSpaceDN w:val="0"/>
                    <w:spacing w:line="240" w:lineRule="auto"/>
                    <w:ind w:firstLine="0" w:firstLine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670" w:type="pct"/>
                  <w:tcBorders>
                    <w:tl2br w:val="nil"/>
                    <w:tr2bl w:val="nil"/>
                  </w:tcBorders>
                  <w:noWrap w:val="0"/>
                  <w:vAlign w:val="center"/>
                </w:tcPr>
                <w:p w14:paraId="5BEC90CE">
                  <w:pPr>
                    <w:widowControl w:val="0"/>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0.01577</w:t>
                  </w:r>
                </w:p>
              </w:tc>
              <w:tc>
                <w:tcPr>
                  <w:tcW w:w="670" w:type="pct"/>
                  <w:tcBorders>
                    <w:tl2br w:val="nil"/>
                    <w:tr2bl w:val="nil"/>
                  </w:tcBorders>
                  <w:shd w:val="clear" w:color="auto" w:fill="auto"/>
                  <w:noWrap w:val="0"/>
                  <w:vAlign w:val="center"/>
                </w:tcPr>
                <w:p w14:paraId="6DD21984">
                  <w:pPr>
                    <w:keepNext w:val="0"/>
                    <w:keepLines/>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0</w:t>
                  </w:r>
                </w:p>
              </w:tc>
              <w:tc>
                <w:tcPr>
                  <w:tcW w:w="670" w:type="pct"/>
                  <w:tcBorders>
                    <w:tl2br w:val="nil"/>
                    <w:tr2bl w:val="nil"/>
                  </w:tcBorders>
                  <w:shd w:val="clear" w:color="auto" w:fill="auto"/>
                  <w:noWrap w:val="0"/>
                  <w:vAlign w:val="center"/>
                </w:tcPr>
                <w:p w14:paraId="4CFB545F">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0.01577</w:t>
                  </w:r>
                </w:p>
              </w:tc>
              <w:tc>
                <w:tcPr>
                  <w:tcW w:w="839" w:type="pct"/>
                  <w:tcBorders>
                    <w:tl2br w:val="nil"/>
                    <w:tr2bl w:val="nil"/>
                  </w:tcBorders>
                  <w:noWrap w:val="0"/>
                  <w:vAlign w:val="center"/>
                </w:tcPr>
                <w:p w14:paraId="1FEB15AA">
                  <w:pPr>
                    <w:widowControl w:val="0"/>
                    <w:autoSpaceDE w:val="0"/>
                    <w:autoSpaceDN w:val="0"/>
                    <w:spacing w:line="240" w:lineRule="auto"/>
                    <w:ind w:firstLine="0" w:firstLineChars="0"/>
                    <w:jc w:val="center"/>
                    <w:rPr>
                      <w:rFonts w:hint="default" w:ascii="Times New Roman" w:hAnsi="Times New Roman" w:eastAsia="宋体" w:cs="Times New Roman"/>
                      <w:color w:val="000000" w:themeColor="text1"/>
                      <w:kern w:val="0"/>
                      <w:sz w:val="21"/>
                      <w:szCs w:val="18"/>
                      <w:highlight w:val="none"/>
                      <w:lang w:val="en-US" w:eastAsia="zh-CN" w:bidi="he-IL"/>
                      <w14:textFill>
                        <w14:solidFill>
                          <w14:schemeClr w14:val="tx1"/>
                        </w14:solidFill>
                      </w14:textFill>
                    </w:rPr>
                  </w:pPr>
                  <w:r>
                    <w:rPr>
                      <w:rFonts w:hint="eastAsia" w:cs="Times New Roman"/>
                      <w:color w:val="000000" w:themeColor="text1"/>
                      <w:kern w:val="0"/>
                      <w:sz w:val="21"/>
                      <w:szCs w:val="18"/>
                      <w:highlight w:val="none"/>
                      <w:lang w:val="en-US" w:eastAsia="zh-CN" w:bidi="he-IL"/>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0.01577</w:t>
                  </w:r>
                </w:p>
              </w:tc>
            </w:tr>
            <w:tr w14:paraId="15DAA6CE">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65" w:hRule="atLeast"/>
                <w:jc w:val="center"/>
              </w:trPr>
              <w:tc>
                <w:tcPr>
                  <w:tcW w:w="242" w:type="pct"/>
                  <w:vMerge w:val="continue"/>
                  <w:tcBorders>
                    <w:tl2br w:val="nil"/>
                    <w:tr2bl w:val="nil"/>
                  </w:tcBorders>
                  <w:noWrap w:val="0"/>
                  <w:vAlign w:val="center"/>
                </w:tcPr>
                <w:p w14:paraId="50ADD5DB">
                  <w:pPr>
                    <w:spacing w:line="240" w:lineRule="auto"/>
                    <w:ind w:firstLine="0" w:firstLineChars="0"/>
                    <w:jc w:val="center"/>
                    <w:rPr>
                      <w:rFonts w:hint="default" w:ascii="Times New Roman" w:hAnsi="Times New Roman" w:eastAsia="宋体" w:cs="Times New Roman"/>
                      <w:color w:val="auto"/>
                      <w:kern w:val="2"/>
                      <w:sz w:val="21"/>
                      <w:szCs w:val="21"/>
                      <w:highlight w:val="none"/>
                    </w:rPr>
                  </w:pPr>
                </w:p>
              </w:tc>
              <w:tc>
                <w:tcPr>
                  <w:tcW w:w="242" w:type="pct"/>
                  <w:vMerge w:val="continue"/>
                  <w:tcBorders>
                    <w:tl2br w:val="nil"/>
                    <w:tr2bl w:val="nil"/>
                  </w:tcBorders>
                  <w:noWrap w:val="0"/>
                  <w:vAlign w:val="center"/>
                </w:tcPr>
                <w:p w14:paraId="589D887E">
                  <w:pPr>
                    <w:spacing w:line="240" w:lineRule="auto"/>
                    <w:ind w:firstLine="0" w:firstLineChars="0"/>
                    <w:jc w:val="center"/>
                    <w:rPr>
                      <w:rFonts w:hint="default" w:ascii="Times New Roman" w:hAnsi="Times New Roman" w:eastAsia="宋体" w:cs="Times New Roman"/>
                      <w:color w:val="auto"/>
                      <w:sz w:val="21"/>
                      <w:szCs w:val="21"/>
                      <w:highlight w:val="none"/>
                      <w:lang w:eastAsia="zh-CN"/>
                    </w:rPr>
                  </w:pPr>
                </w:p>
              </w:tc>
              <w:tc>
                <w:tcPr>
                  <w:tcW w:w="383" w:type="pct"/>
                  <w:tcBorders>
                    <w:tl2br w:val="nil"/>
                    <w:tr2bl w:val="nil"/>
                  </w:tcBorders>
                  <w:noWrap w:val="0"/>
                  <w:vAlign w:val="center"/>
                </w:tcPr>
                <w:p w14:paraId="4311297E">
                  <w:pPr>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污水处理设施污泥</w:t>
                  </w:r>
                </w:p>
              </w:tc>
              <w:tc>
                <w:tcPr>
                  <w:tcW w:w="807" w:type="pct"/>
                  <w:tcBorders>
                    <w:tl2br w:val="nil"/>
                    <w:tr2bl w:val="nil"/>
                  </w:tcBorders>
                  <w:noWrap w:val="0"/>
                  <w:vAlign w:val="center"/>
                </w:tcPr>
                <w:p w14:paraId="5B694976">
                  <w:pPr>
                    <w:keepNext w:val="0"/>
                    <w:keepLines/>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1.5</w:t>
                  </w:r>
                </w:p>
              </w:tc>
              <w:tc>
                <w:tcPr>
                  <w:tcW w:w="471" w:type="pct"/>
                  <w:tcBorders>
                    <w:tl2br w:val="nil"/>
                    <w:tr2bl w:val="nil"/>
                  </w:tcBorders>
                  <w:noWrap w:val="0"/>
                  <w:vAlign w:val="center"/>
                </w:tcPr>
                <w:p w14:paraId="09D7DF74">
                  <w:pPr>
                    <w:widowControl w:val="0"/>
                    <w:autoSpaceDE w:val="0"/>
                    <w:autoSpaceDN w:val="0"/>
                    <w:spacing w:line="240" w:lineRule="auto"/>
                    <w:ind w:firstLine="0" w:firstLineChars="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670" w:type="pct"/>
                  <w:tcBorders>
                    <w:tl2br w:val="nil"/>
                    <w:tr2bl w:val="nil"/>
                  </w:tcBorders>
                  <w:noWrap w:val="0"/>
                  <w:vAlign w:val="center"/>
                </w:tcPr>
                <w:p w14:paraId="4140069A">
                  <w:pPr>
                    <w:widowControl w:val="0"/>
                    <w:spacing w:line="240" w:lineRule="auto"/>
                    <w:ind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4.245</w:t>
                  </w:r>
                </w:p>
              </w:tc>
              <w:tc>
                <w:tcPr>
                  <w:tcW w:w="670" w:type="pct"/>
                  <w:tcBorders>
                    <w:tl2br w:val="nil"/>
                    <w:tr2bl w:val="nil"/>
                  </w:tcBorders>
                  <w:shd w:val="clear" w:color="auto" w:fill="auto"/>
                  <w:noWrap w:val="0"/>
                  <w:vAlign w:val="center"/>
                </w:tcPr>
                <w:p w14:paraId="5AA32C4C">
                  <w:pPr>
                    <w:keepNext w:val="0"/>
                    <w:keepLines/>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leftChars="0" w:right="0" w:rightChars="0"/>
                    <w:jc w:val="center"/>
                    <w:textAlignment w:val="auto"/>
                    <w:rPr>
                      <w:rFonts w:hint="eastAsia"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1.5</w:t>
                  </w:r>
                </w:p>
              </w:tc>
              <w:tc>
                <w:tcPr>
                  <w:tcW w:w="670" w:type="pct"/>
                  <w:tcBorders>
                    <w:tl2br w:val="nil"/>
                    <w:tr2bl w:val="nil"/>
                  </w:tcBorders>
                  <w:shd w:val="clear" w:color="auto" w:fill="auto"/>
                  <w:noWrap w:val="0"/>
                  <w:vAlign w:val="center"/>
                </w:tcPr>
                <w:p w14:paraId="56D5E167">
                  <w:pPr>
                    <w:widowControl w:val="0"/>
                    <w:spacing w:line="240" w:lineRule="auto"/>
                    <w:ind w:firstLine="0" w:firstLineChars="0"/>
                    <w:jc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4.245</w:t>
                  </w:r>
                </w:p>
              </w:tc>
              <w:tc>
                <w:tcPr>
                  <w:tcW w:w="839" w:type="pct"/>
                  <w:tcBorders>
                    <w:tl2br w:val="nil"/>
                    <w:tr2bl w:val="nil"/>
                  </w:tcBorders>
                  <w:noWrap w:val="0"/>
                  <w:vAlign w:val="center"/>
                </w:tcPr>
                <w:p w14:paraId="0D540BB5">
                  <w:pPr>
                    <w:widowControl w:val="0"/>
                    <w:autoSpaceDE w:val="0"/>
                    <w:autoSpaceDN w:val="0"/>
                    <w:spacing w:line="240" w:lineRule="auto"/>
                    <w:ind w:firstLine="0" w:firstLineChars="0"/>
                    <w:jc w:val="center"/>
                    <w:rPr>
                      <w:rFonts w:hint="default" w:ascii="Times New Roman" w:hAnsi="Times New Roman" w:eastAsia="宋体" w:cs="Times New Roman"/>
                      <w:color w:val="000000" w:themeColor="text1"/>
                      <w:kern w:val="0"/>
                      <w:sz w:val="21"/>
                      <w:szCs w:val="18"/>
                      <w:highlight w:val="none"/>
                      <w:lang w:val="en-US" w:eastAsia="zh-CN" w:bidi="he-IL"/>
                      <w14:textFill>
                        <w14:solidFill>
                          <w14:schemeClr w14:val="tx1"/>
                        </w14:solidFill>
                      </w14:textFill>
                    </w:rPr>
                  </w:pPr>
                  <w:r>
                    <w:rPr>
                      <w:rFonts w:hint="eastAsia" w:cs="Times New Roman"/>
                      <w:color w:val="000000" w:themeColor="text1"/>
                      <w:kern w:val="0"/>
                      <w:sz w:val="21"/>
                      <w:szCs w:val="18"/>
                      <w:highlight w:val="none"/>
                      <w:lang w:val="en-US" w:eastAsia="zh-CN" w:bidi="he-IL"/>
                      <w14:textFill>
                        <w14:solidFill>
                          <w14:schemeClr w14:val="tx1"/>
                        </w14:solidFill>
                      </w14:textFill>
                    </w:rPr>
                    <w:t>+2.745</w:t>
                  </w:r>
                </w:p>
              </w:tc>
            </w:tr>
            <w:tr w14:paraId="360540A3">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365" w:hRule="atLeast"/>
                <w:jc w:val="center"/>
              </w:trPr>
              <w:tc>
                <w:tcPr>
                  <w:tcW w:w="5000" w:type="pct"/>
                  <w:gridSpan w:val="9"/>
                  <w:tcBorders>
                    <w:tl2br w:val="nil"/>
                    <w:tr2bl w:val="nil"/>
                  </w:tcBorders>
                  <w:noWrap w:val="0"/>
                  <w:vAlign w:val="center"/>
                </w:tcPr>
                <w:p w14:paraId="7974D038">
                  <w:pPr>
                    <w:widowControl w:val="0"/>
                    <w:autoSpaceDE w:val="0"/>
                    <w:autoSpaceDN w:val="0"/>
                    <w:spacing w:line="240" w:lineRule="auto"/>
                    <w:ind w:firstLine="0" w:firstLineChars="0"/>
                    <w:jc w:val="center"/>
                    <w:rPr>
                      <w:rFonts w:hint="default" w:eastAsia="宋体" w:cs="Times New Roman"/>
                      <w:color w:val="auto"/>
                      <w:kern w:val="0"/>
                      <w:sz w:val="21"/>
                      <w:szCs w:val="18"/>
                      <w:highlight w:val="none"/>
                      <w:lang w:val="en-US" w:eastAsia="zh-CN" w:bidi="he-IL"/>
                    </w:rPr>
                  </w:pPr>
                  <w:r>
                    <w:rPr>
                      <w:rFonts w:hint="eastAsia" w:cs="Times New Roman"/>
                      <w:color w:val="auto"/>
                      <w:kern w:val="0"/>
                      <w:sz w:val="21"/>
                      <w:szCs w:val="18"/>
                      <w:highlight w:val="none"/>
                      <w:lang w:val="en-US" w:eastAsia="zh-CN" w:bidi="he-IL"/>
                    </w:rPr>
                    <w:t>*注：</w:t>
                  </w:r>
                  <w:r>
                    <w:rPr>
                      <w:rFonts w:hint="default" w:ascii="Times New Roman" w:hAnsi="Times New Roman" w:eastAsia="宋体" w:cs="Times New Roman"/>
                      <w:color w:val="auto"/>
                      <w:kern w:val="2"/>
                      <w:sz w:val="21"/>
                      <w:szCs w:val="21"/>
                      <w:highlight w:val="none"/>
                    </w:rPr>
                    <w:t>现有工程</w:t>
                  </w:r>
                  <w:r>
                    <w:rPr>
                      <w:rFonts w:hint="eastAsia" w:cs="Times New Roman"/>
                      <w:color w:val="auto"/>
                      <w:kern w:val="2"/>
                      <w:sz w:val="21"/>
                      <w:szCs w:val="21"/>
                      <w:highlight w:val="none"/>
                      <w:lang w:val="en-US" w:eastAsia="zh-CN"/>
                    </w:rPr>
                    <w:t>废水量为现有工程污水处理站处理规模×工作时长，即80t/d×356d=</w:t>
                  </w:r>
                  <w:r>
                    <w:rPr>
                      <w:rFonts w:hint="default" w:ascii="Times New Roman" w:hAnsi="Times New Roman" w:eastAsia="宋体" w:cs="Times New Roman"/>
                      <w:color w:val="auto"/>
                      <w:szCs w:val="21"/>
                      <w:highlight w:val="none"/>
                      <w:lang w:val="en-US" w:eastAsia="zh-CN"/>
                    </w:rPr>
                    <w:t>29200</w:t>
                  </w:r>
                  <w:r>
                    <w:rPr>
                      <w:rFonts w:hint="eastAsia" w:cs="Times New Roman"/>
                      <w:color w:val="auto"/>
                      <w:szCs w:val="21"/>
                      <w:highlight w:val="none"/>
                      <w:lang w:val="en-US" w:eastAsia="zh-CN"/>
                    </w:rPr>
                    <w:t>t/a</w:t>
                  </w:r>
                </w:p>
              </w:tc>
            </w:tr>
          </w:tbl>
          <w:p w14:paraId="392613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Cs/>
                <w:color w:val="auto"/>
                <w:sz w:val="24"/>
                <w:szCs w:val="28"/>
                <w:highlight w:val="none"/>
                <w:lang w:val="en-US" w:eastAsia="zh-CN"/>
              </w:rPr>
            </w:pPr>
          </w:p>
        </w:tc>
      </w:tr>
    </w:tbl>
    <w:p w14:paraId="2A19C989">
      <w:pPr>
        <w:pStyle w:val="30"/>
        <w:adjustRightInd w:val="0"/>
        <w:snapToGrid w:val="0"/>
        <w:spacing w:before="0" w:beforeAutospacing="0" w:after="0" w:afterAutospacing="0"/>
        <w:jc w:val="center"/>
        <w:rPr>
          <w:rFonts w:cs="宋体"/>
          <w:color w:val="auto"/>
          <w:sz w:val="21"/>
          <w:szCs w:val="21"/>
          <w:highlight w:val="none"/>
        </w:rPr>
        <w:sectPr>
          <w:pgSz w:w="11906" w:h="16838"/>
          <w:pgMar w:top="1531" w:right="1304" w:bottom="1531" w:left="1304" w:header="851" w:footer="1077" w:gutter="0"/>
          <w:pgBorders>
            <w:top w:val="none" w:sz="0" w:space="0"/>
            <w:left w:val="none" w:sz="0" w:space="0"/>
            <w:bottom w:val="none" w:sz="0" w:space="0"/>
            <w:right w:val="none" w:sz="0" w:space="0"/>
          </w:pgBorders>
          <w:pgNumType w:fmt="decimal"/>
          <w:cols w:space="0" w:num="1"/>
          <w:docGrid w:linePitch="312" w:charSpace="0"/>
        </w:sectPr>
      </w:pPr>
    </w:p>
    <w:p w14:paraId="7E6354A7">
      <w:pPr>
        <w:pStyle w:val="2"/>
        <w:numPr>
          <w:ilvl w:val="0"/>
          <w:numId w:val="1"/>
        </w:numPr>
        <w:bidi w:val="0"/>
        <w:ind w:left="432" w:leftChars="0" w:hanging="432" w:firstLineChars="0"/>
        <w:rPr>
          <w:rFonts w:hint="eastAsia"/>
          <w:color w:val="auto"/>
          <w:highlight w:val="none"/>
        </w:rPr>
      </w:pPr>
      <w:bookmarkStart w:id="20" w:name="_Toc25824"/>
      <w:bookmarkStart w:id="21" w:name="_Toc19680"/>
      <w:bookmarkStart w:id="22" w:name="_Toc24049"/>
      <w:bookmarkStart w:id="23" w:name="_Toc6808"/>
      <w:bookmarkStart w:id="24" w:name="_Toc26415"/>
      <w:r>
        <w:rPr>
          <w:rFonts w:hint="eastAsia"/>
          <w:color w:val="auto"/>
          <w:highlight w:val="none"/>
        </w:rPr>
        <w:t>区域环境质量现状、环境保护目标及评价标准</w:t>
      </w:r>
      <w:bookmarkEnd w:id="20"/>
      <w:bookmarkEnd w:id="21"/>
      <w:bookmarkEnd w:id="22"/>
      <w:bookmarkEnd w:id="23"/>
      <w:bookmarkEnd w:id="24"/>
    </w:p>
    <w:tbl>
      <w:tblPr>
        <w:tblStyle w:val="34"/>
        <w:tblW w:w="928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3"/>
        <w:gridCol w:w="8864"/>
      </w:tblGrid>
      <w:tr w14:paraId="3FF3FF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6" w:type="dxa"/>
            <w:vAlign w:val="center"/>
          </w:tcPr>
          <w:p w14:paraId="004551CD">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区域</w:t>
            </w:r>
          </w:p>
          <w:p w14:paraId="5424B324">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环境</w:t>
            </w:r>
          </w:p>
          <w:p w14:paraId="7521AF75">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质量</w:t>
            </w:r>
          </w:p>
          <w:p w14:paraId="5EC18EA8">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现状</w:t>
            </w:r>
          </w:p>
        </w:tc>
        <w:tc>
          <w:tcPr>
            <w:tcW w:w="8461" w:type="dxa"/>
            <w:vAlign w:val="center"/>
          </w:tcPr>
          <w:p w14:paraId="01BA5FE6">
            <w:pPr>
              <w:pStyle w:val="3"/>
              <w:numPr>
                <w:ilvl w:val="1"/>
                <w:numId w:val="1"/>
              </w:numPr>
              <w:bidi w:val="0"/>
              <w:ind w:left="0" w:leftChars="0" w:firstLine="0" w:firstLineChars="0"/>
              <w:rPr>
                <w:color w:val="auto"/>
                <w:highlight w:val="none"/>
              </w:rPr>
            </w:pPr>
            <w:bookmarkStart w:id="25" w:name="_Toc12042"/>
            <w:r>
              <w:rPr>
                <w:rFonts w:hint="eastAsia"/>
                <w:color w:val="auto"/>
                <w:highlight w:val="none"/>
              </w:rPr>
              <w:t>区域环境质量现状</w:t>
            </w:r>
            <w:bookmarkEnd w:id="25"/>
          </w:p>
          <w:p w14:paraId="32A35DBB">
            <w:pPr>
              <w:pStyle w:val="4"/>
              <w:numPr>
                <w:ilvl w:val="2"/>
                <w:numId w:val="1"/>
              </w:numPr>
              <w:bidi w:val="0"/>
              <w:ind w:left="720" w:leftChars="0" w:hanging="720" w:firstLineChars="0"/>
              <w:rPr>
                <w:rFonts w:hint="eastAsia"/>
                <w:color w:val="auto"/>
                <w:highlight w:val="none"/>
                <w:lang w:val="en-US" w:eastAsia="zh-CN"/>
              </w:rPr>
            </w:pPr>
            <w:r>
              <w:rPr>
                <w:rFonts w:hint="eastAsia"/>
                <w:color w:val="auto"/>
                <w:highlight w:val="none"/>
                <w:lang w:val="en-US" w:eastAsia="zh-CN"/>
              </w:rPr>
              <w:t>地表水环境质量现状</w:t>
            </w:r>
          </w:p>
          <w:p w14:paraId="4EF403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w:t>
            </w:r>
            <w:r>
              <w:rPr>
                <w:rFonts w:hint="default" w:ascii="Times New Roman" w:hAnsi="Times New Roman" w:eastAsia="宋体" w:cs="Times New Roman"/>
                <w:color w:val="auto"/>
                <w:kern w:val="2"/>
                <w:sz w:val="24"/>
                <w:szCs w:val="20"/>
                <w:highlight w:val="none"/>
                <w:lang w:val="en-US" w:eastAsia="zh-CN" w:bidi="ar-SA"/>
              </w:rPr>
              <w:t>1</w:t>
            </w:r>
            <w:r>
              <w:rPr>
                <w:rFonts w:hint="eastAsia" w:ascii="Times New Roman" w:hAnsi="Times New Roman" w:eastAsia="宋体" w:cs="Times New Roman"/>
                <w:color w:val="auto"/>
                <w:kern w:val="2"/>
                <w:sz w:val="24"/>
                <w:szCs w:val="20"/>
                <w:highlight w:val="none"/>
                <w:lang w:val="en-US" w:eastAsia="zh-CN" w:bidi="ar-SA"/>
              </w:rPr>
              <w:t>）地表水功能区划</w:t>
            </w:r>
          </w:p>
          <w:p w14:paraId="6719CDBB">
            <w:pPr>
              <w:pStyle w:val="46"/>
              <w:keepNext w:val="0"/>
              <w:keepLines w:val="0"/>
              <w:pageBreakBefore w:val="0"/>
              <w:widowControl w:val="0"/>
              <w:shd w:val="clear"/>
              <w:kinsoku/>
              <w:wordWrap/>
              <w:overflowPunct/>
              <w:topLinePunct w:val="0"/>
              <w:autoSpaceDE w:val="0"/>
              <w:autoSpaceDN w:val="0"/>
              <w:bidi w:val="0"/>
              <w:adjustRightInd/>
              <w:snapToGrid/>
              <w:ind w:firstLine="480"/>
              <w:textAlignment w:val="auto"/>
              <w:rPr>
                <w:rFonts w:hint="default"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本项目废水排入</w:t>
            </w:r>
            <w:r>
              <w:rPr>
                <w:rFonts w:hint="eastAsia" w:cs="Times New Roman"/>
                <w:color w:val="auto"/>
                <w:kern w:val="2"/>
                <w:sz w:val="24"/>
                <w:szCs w:val="20"/>
                <w:highlight w:val="none"/>
                <w:lang w:val="en-US" w:eastAsia="zh-CN" w:bidi="ar-SA"/>
              </w:rPr>
              <w:t>罗源城区污水处理厂</w:t>
            </w:r>
            <w:r>
              <w:rPr>
                <w:rFonts w:hint="eastAsia" w:ascii="Times New Roman" w:hAnsi="Times New Roman" w:eastAsia="宋体" w:cs="Times New Roman"/>
                <w:color w:val="auto"/>
                <w:kern w:val="2"/>
                <w:sz w:val="24"/>
                <w:szCs w:val="20"/>
                <w:highlight w:val="none"/>
                <w:lang w:val="en-US" w:eastAsia="zh-CN" w:bidi="ar-SA"/>
              </w:rPr>
              <w:t>，</w:t>
            </w:r>
            <w:r>
              <w:rPr>
                <w:rFonts w:hint="eastAsia" w:cs="Times New Roman"/>
                <w:color w:val="auto"/>
                <w:kern w:val="2"/>
                <w:sz w:val="24"/>
                <w:szCs w:val="20"/>
                <w:highlight w:val="none"/>
                <w:lang w:val="en-US" w:eastAsia="zh-CN" w:bidi="ar-SA"/>
              </w:rPr>
              <w:t>罗源城区污水处理厂</w:t>
            </w:r>
            <w:r>
              <w:rPr>
                <w:rFonts w:hint="eastAsia" w:ascii="Times New Roman" w:hAnsi="Times New Roman" w:eastAsia="宋体" w:cs="Times New Roman"/>
                <w:color w:val="auto"/>
                <w:kern w:val="2"/>
                <w:sz w:val="24"/>
                <w:szCs w:val="20"/>
                <w:highlight w:val="none"/>
                <w:lang w:val="en-US" w:eastAsia="zh-CN" w:bidi="ar-SA"/>
              </w:rPr>
              <w:t>尾水达到《城镇污水处理厂污染物排放标准》</w:t>
            </w:r>
            <w:r>
              <w:rPr>
                <w:rFonts w:hint="eastAsia" w:cs="Times New Roman"/>
                <w:color w:val="auto"/>
                <w:kern w:val="2"/>
                <w:sz w:val="24"/>
                <w:szCs w:val="20"/>
                <w:highlight w:val="none"/>
                <w:lang w:val="en-US" w:eastAsia="zh-CN" w:bidi="ar-SA"/>
              </w:rPr>
              <w:t>（GB 18918</w:t>
            </w:r>
            <w:r>
              <w:rPr>
                <w:rFonts w:hint="eastAsia" w:ascii="Times New Roman" w:hAnsi="Times New Roman" w:eastAsia="宋体" w:cs="Times New Roman"/>
                <w:color w:val="auto"/>
                <w:kern w:val="2"/>
                <w:sz w:val="24"/>
                <w:szCs w:val="20"/>
                <w:highlight w:val="none"/>
                <w:lang w:val="en-US" w:eastAsia="zh-CN" w:bidi="ar-SA"/>
              </w:rPr>
              <w:t>-2002</w:t>
            </w:r>
            <w:r>
              <w:rPr>
                <w:rFonts w:hint="eastAsia" w:cs="Times New Roman"/>
                <w:color w:val="auto"/>
                <w:kern w:val="2"/>
                <w:sz w:val="24"/>
                <w:szCs w:val="20"/>
                <w:highlight w:val="none"/>
                <w:lang w:val="en-US" w:eastAsia="zh-CN" w:bidi="ar-SA"/>
              </w:rPr>
              <w:t>）</w:t>
            </w:r>
            <w:r>
              <w:rPr>
                <w:rFonts w:hint="eastAsia" w:ascii="Times New Roman" w:hAnsi="Times New Roman" w:eastAsia="宋体" w:cs="Times New Roman"/>
                <w:color w:val="auto"/>
                <w:kern w:val="2"/>
                <w:sz w:val="24"/>
                <w:szCs w:val="20"/>
                <w:highlight w:val="none"/>
                <w:lang w:val="en-US" w:eastAsia="zh-CN" w:bidi="ar-SA"/>
              </w:rPr>
              <w:t>一级A标准后排放至</w:t>
            </w:r>
            <w:r>
              <w:rPr>
                <w:rFonts w:hint="eastAsia" w:cs="Times New Roman"/>
                <w:color w:val="auto"/>
                <w:kern w:val="2"/>
                <w:sz w:val="24"/>
                <w:szCs w:val="20"/>
                <w:highlight w:val="none"/>
                <w:lang w:val="en-US" w:eastAsia="zh-CN" w:bidi="ar-SA"/>
              </w:rPr>
              <w:t>起步溪</w:t>
            </w:r>
            <w:r>
              <w:rPr>
                <w:rFonts w:hint="eastAsia" w:ascii="Times New Roman" w:hAnsi="Times New Roman" w:eastAsia="宋体" w:cs="Times New Roman"/>
                <w:color w:val="auto"/>
                <w:kern w:val="2"/>
                <w:sz w:val="24"/>
                <w:szCs w:val="20"/>
                <w:highlight w:val="none"/>
                <w:lang w:val="en-US" w:eastAsia="zh-CN" w:bidi="ar-SA"/>
              </w:rPr>
              <w:t>，</w:t>
            </w:r>
            <w:r>
              <w:rPr>
                <w:rFonts w:hint="eastAsia" w:cs="Times New Roman"/>
                <w:color w:val="auto"/>
                <w:kern w:val="2"/>
                <w:sz w:val="24"/>
                <w:szCs w:val="20"/>
                <w:highlight w:val="none"/>
                <w:lang w:val="en-US" w:eastAsia="zh-CN" w:bidi="ar-SA"/>
              </w:rPr>
              <w:t>起步溪</w:t>
            </w:r>
            <w:r>
              <w:rPr>
                <w:rFonts w:hint="eastAsia" w:ascii="Times New Roman" w:hAnsi="Times New Roman" w:eastAsia="宋体" w:cs="Times New Roman"/>
                <w:color w:val="auto"/>
                <w:kern w:val="2"/>
                <w:sz w:val="24"/>
                <w:szCs w:val="20"/>
                <w:highlight w:val="none"/>
                <w:lang w:val="en-US" w:eastAsia="zh-CN" w:bidi="ar-SA"/>
              </w:rPr>
              <w:t>水质执行《地表水环境质量标准》</w:t>
            </w:r>
            <w:r>
              <w:rPr>
                <w:rFonts w:hint="eastAsia" w:cs="Times New Roman"/>
                <w:color w:val="auto"/>
                <w:kern w:val="2"/>
                <w:sz w:val="24"/>
                <w:szCs w:val="20"/>
                <w:highlight w:val="none"/>
                <w:lang w:val="en-US" w:eastAsia="zh-CN" w:bidi="ar-SA"/>
              </w:rPr>
              <w:t>（</w:t>
            </w:r>
            <w:r>
              <w:rPr>
                <w:rFonts w:hint="eastAsia" w:ascii="Times New Roman" w:hAnsi="Times New Roman" w:eastAsia="宋体" w:cs="Times New Roman"/>
                <w:color w:val="auto"/>
                <w:kern w:val="2"/>
                <w:sz w:val="24"/>
                <w:szCs w:val="20"/>
                <w:highlight w:val="none"/>
                <w:lang w:val="en-US" w:eastAsia="zh-CN" w:bidi="ar-SA"/>
              </w:rPr>
              <w:t>GB3838-2002</w:t>
            </w:r>
            <w:r>
              <w:rPr>
                <w:rFonts w:hint="eastAsia" w:cs="Times New Roman"/>
                <w:color w:val="auto"/>
                <w:kern w:val="2"/>
                <w:sz w:val="24"/>
                <w:szCs w:val="20"/>
                <w:highlight w:val="none"/>
                <w:lang w:val="en-US" w:eastAsia="zh-CN" w:bidi="ar-SA"/>
              </w:rPr>
              <w:t>）</w:t>
            </w:r>
            <w:r>
              <w:rPr>
                <w:rFonts w:hint="eastAsia" w:ascii="Times New Roman" w:hAnsi="Times New Roman" w:eastAsia="宋体" w:cs="Times New Roman"/>
                <w:color w:val="auto"/>
                <w:kern w:val="2"/>
                <w:sz w:val="24"/>
                <w:szCs w:val="20"/>
                <w:highlight w:val="none"/>
                <w:lang w:val="en-US" w:eastAsia="zh-CN" w:bidi="ar-SA"/>
              </w:rPr>
              <w:t>中</w:t>
            </w:r>
            <w:r>
              <w:rPr>
                <w:rFonts w:hint="default" w:ascii="Times New Roman" w:hAnsi="Times New Roman" w:eastAsia="宋体" w:cs="Times New Roman"/>
                <w:color w:val="auto"/>
                <w:kern w:val="2"/>
                <w:sz w:val="24"/>
                <w:szCs w:val="20"/>
                <w:highlight w:val="none"/>
                <w:lang w:val="en-US" w:eastAsia="zh-CN" w:bidi="ar-SA"/>
              </w:rPr>
              <w:t>Ⅳ</w:t>
            </w:r>
            <w:r>
              <w:rPr>
                <w:rFonts w:hint="eastAsia" w:ascii="Times New Roman" w:hAnsi="Times New Roman" w:eastAsia="宋体" w:cs="Times New Roman"/>
                <w:color w:val="auto"/>
                <w:kern w:val="2"/>
                <w:sz w:val="24"/>
                <w:szCs w:val="20"/>
                <w:highlight w:val="none"/>
                <w:lang w:val="en-US" w:eastAsia="zh-CN" w:bidi="ar-SA"/>
              </w:rPr>
              <w:t>类标准，水质执行《地表水环境质量标准》</w:t>
            </w:r>
            <w:r>
              <w:rPr>
                <w:rFonts w:hint="eastAsia" w:cs="Times New Roman"/>
                <w:color w:val="auto"/>
                <w:kern w:val="2"/>
                <w:sz w:val="24"/>
                <w:szCs w:val="20"/>
                <w:highlight w:val="none"/>
                <w:lang w:val="en-US" w:eastAsia="zh-CN" w:bidi="ar-SA"/>
              </w:rPr>
              <w:t>（</w:t>
            </w:r>
            <w:r>
              <w:rPr>
                <w:rFonts w:hint="eastAsia" w:ascii="Times New Roman" w:hAnsi="Times New Roman" w:eastAsia="宋体" w:cs="Times New Roman"/>
                <w:color w:val="auto"/>
                <w:kern w:val="2"/>
                <w:sz w:val="24"/>
                <w:szCs w:val="20"/>
                <w:highlight w:val="none"/>
                <w:lang w:val="en-US" w:eastAsia="zh-CN" w:bidi="ar-SA"/>
              </w:rPr>
              <w:t>GB3838-2002</w:t>
            </w:r>
            <w:r>
              <w:rPr>
                <w:rFonts w:hint="eastAsia" w:cs="Times New Roman"/>
                <w:color w:val="auto"/>
                <w:kern w:val="2"/>
                <w:sz w:val="24"/>
                <w:szCs w:val="20"/>
                <w:highlight w:val="none"/>
                <w:lang w:val="en-US" w:eastAsia="zh-CN" w:bidi="ar-SA"/>
              </w:rPr>
              <w:t>）</w:t>
            </w:r>
            <w:r>
              <w:rPr>
                <w:rFonts w:hint="default" w:ascii="Times New Roman" w:hAnsi="Times New Roman" w:eastAsia="宋体" w:cs="Times New Roman"/>
                <w:color w:val="auto"/>
                <w:kern w:val="2"/>
                <w:sz w:val="24"/>
                <w:szCs w:val="20"/>
                <w:highlight w:val="none"/>
                <w:lang w:val="en-US" w:eastAsia="zh-CN" w:bidi="ar-SA"/>
              </w:rPr>
              <w:t>Ⅳ</w:t>
            </w:r>
            <w:r>
              <w:rPr>
                <w:rFonts w:hint="eastAsia" w:ascii="Times New Roman" w:hAnsi="Times New Roman" w:eastAsia="宋体" w:cs="Times New Roman"/>
                <w:color w:val="auto"/>
                <w:kern w:val="2"/>
                <w:sz w:val="24"/>
                <w:szCs w:val="20"/>
                <w:highlight w:val="none"/>
                <w:lang w:val="en-US" w:eastAsia="zh-CN" w:bidi="ar-SA"/>
              </w:rPr>
              <w:t>类</w:t>
            </w:r>
            <w:r>
              <w:rPr>
                <w:rFonts w:hint="eastAsia" w:cs="Times New Roman"/>
                <w:color w:val="auto"/>
                <w:kern w:val="2"/>
                <w:sz w:val="24"/>
                <w:szCs w:val="20"/>
                <w:highlight w:val="none"/>
                <w:lang w:val="en-US" w:eastAsia="zh-CN" w:bidi="ar-SA"/>
              </w:rPr>
              <w:t>标准</w:t>
            </w:r>
            <w:r>
              <w:rPr>
                <w:rFonts w:hint="eastAsia" w:ascii="Times New Roman" w:hAnsi="Times New Roman" w:eastAsia="宋体" w:cs="Times New Roman"/>
                <w:color w:val="auto"/>
                <w:kern w:val="2"/>
                <w:sz w:val="24"/>
                <w:szCs w:val="20"/>
                <w:highlight w:val="none"/>
                <w:lang w:val="en-US" w:eastAsia="zh-CN" w:bidi="ar-SA"/>
              </w:rPr>
              <w:t>，具体详见表3.1-1。</w:t>
            </w:r>
          </w:p>
          <w:p w14:paraId="2C3BB64A">
            <w:pPr>
              <w:pStyle w:val="44"/>
              <w:keepNext/>
              <w:keepLines/>
              <w:pageBreakBefore w:val="0"/>
              <w:widowControl w:val="0"/>
              <w:numPr>
                <w:ilvl w:val="7"/>
                <w:numId w:val="10"/>
              </w:numPr>
              <w:tabs>
                <w:tab w:val="left" w:pos="0"/>
              </w:tabs>
              <w:kinsoku/>
              <w:wordWrap/>
              <w:overflowPunct/>
              <w:topLinePunct w:val="0"/>
              <w:autoSpaceDE/>
              <w:autoSpaceDN/>
              <w:bidi w:val="0"/>
              <w:adjustRightInd/>
              <w:snapToGrid/>
              <w:spacing w:before="0" w:after="0"/>
              <w:ind w:left="630" w:leftChars="0" w:firstLineChars="0"/>
              <w:textAlignment w:val="auto"/>
              <w:rPr>
                <w:rFonts w:hint="eastAsia" w:ascii="Times New Roman" w:hAnsi="Times New Roman" w:eastAsia="宋体"/>
                <w:color w:val="auto"/>
                <w:highlight w:val="none"/>
              </w:rPr>
            </w:pPr>
            <w:bookmarkStart w:id="26" w:name="_Ref6142"/>
            <w:r>
              <w:rPr>
                <w:rFonts w:hint="eastAsia" w:ascii="Times New Roman" w:hAnsi="Times New Roman" w:eastAsia="宋体"/>
                <w:color w:val="auto"/>
                <w:highlight w:val="none"/>
              </w:rPr>
              <w:t xml:space="preserve"> </w:t>
            </w:r>
            <w:bookmarkEnd w:id="26"/>
            <w:r>
              <w:rPr>
                <w:rFonts w:hint="eastAsia" w:ascii="Times New Roman" w:hAnsi="Times New Roman" w:eastAsia="宋体"/>
                <w:color w:val="auto"/>
                <w:highlight w:val="none"/>
              </w:rPr>
              <w:t>地表水环境质量标准（摘录） 单位：mg/L（除pH外）</w:t>
            </w:r>
          </w:p>
          <w:tbl>
            <w:tblPr>
              <w:tblStyle w:val="34"/>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942"/>
              <w:gridCol w:w="2909"/>
              <w:gridCol w:w="1240"/>
              <w:gridCol w:w="1204"/>
              <w:gridCol w:w="1171"/>
              <w:gridCol w:w="1179"/>
            </w:tblGrid>
            <w:tr w14:paraId="789D4C4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545" w:type="pct"/>
                  <w:tcBorders>
                    <w:bottom w:val="single" w:color="000000" w:sz="12" w:space="0"/>
                  </w:tcBorders>
                  <w:vAlign w:val="center"/>
                </w:tcPr>
                <w:p w14:paraId="17A498BE">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8"/>
                      <w:sz w:val="21"/>
                    </w:rPr>
                    <w:t>序号</w:t>
                  </w:r>
                </w:p>
              </w:tc>
              <w:tc>
                <w:tcPr>
                  <w:tcW w:w="1682" w:type="pct"/>
                  <w:tcBorders>
                    <w:bottom w:val="single" w:color="000000" w:sz="12" w:space="0"/>
                  </w:tcBorders>
                  <w:vAlign w:val="center"/>
                </w:tcPr>
                <w:p w14:paraId="7CDE8727">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8"/>
                      <w:sz w:val="21"/>
                    </w:rPr>
                    <w:t>项目</w:t>
                  </w:r>
                </w:p>
              </w:tc>
              <w:tc>
                <w:tcPr>
                  <w:tcW w:w="717" w:type="pct"/>
                  <w:tcBorders>
                    <w:bottom w:val="single" w:color="000000" w:sz="12" w:space="0"/>
                  </w:tcBorders>
                  <w:vAlign w:val="center"/>
                </w:tcPr>
                <w:p w14:paraId="4099B962">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6"/>
                      <w:sz w:val="21"/>
                    </w:rPr>
                    <w:t>Ⅱ类</w:t>
                  </w:r>
                </w:p>
              </w:tc>
              <w:tc>
                <w:tcPr>
                  <w:tcW w:w="696" w:type="pct"/>
                  <w:tcBorders>
                    <w:bottom w:val="single" w:color="000000" w:sz="12" w:space="0"/>
                  </w:tcBorders>
                  <w:shd w:val="clear" w:color="auto" w:fill="auto"/>
                  <w:vAlign w:val="center"/>
                </w:tcPr>
                <w:p w14:paraId="14126355">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8"/>
                      <w:sz w:val="21"/>
                    </w:rPr>
                    <w:t>Ⅲ类</w:t>
                  </w:r>
                </w:p>
              </w:tc>
              <w:tc>
                <w:tcPr>
                  <w:tcW w:w="677" w:type="pct"/>
                  <w:tcBorders>
                    <w:bottom w:val="single" w:color="000000" w:sz="12" w:space="0"/>
                  </w:tcBorders>
                  <w:shd w:val="clear" w:color="auto" w:fill="D7D7D7" w:themeFill="background1" w:themeFillShade="D8"/>
                  <w:vAlign w:val="center"/>
                </w:tcPr>
                <w:p w14:paraId="2105552C">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6"/>
                      <w:sz w:val="21"/>
                    </w:rPr>
                    <w:t>Ⅳ类</w:t>
                  </w:r>
                </w:p>
              </w:tc>
              <w:tc>
                <w:tcPr>
                  <w:tcW w:w="680" w:type="pct"/>
                  <w:tcBorders>
                    <w:bottom w:val="single" w:color="000000" w:sz="12" w:space="0"/>
                  </w:tcBorders>
                  <w:shd w:val="clear" w:color="auto" w:fill="auto"/>
                  <w:vAlign w:val="center"/>
                </w:tcPr>
                <w:p w14:paraId="27E073AB">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6"/>
                      <w:sz w:val="21"/>
                    </w:rPr>
                    <w:t>Ⅴ类</w:t>
                  </w:r>
                </w:p>
              </w:tc>
            </w:tr>
            <w:tr w14:paraId="0402F1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545" w:type="pct"/>
                  <w:tcBorders>
                    <w:top w:val="single" w:color="000000" w:sz="12" w:space="0"/>
                    <w:tl2br w:val="nil"/>
                    <w:tr2bl w:val="nil"/>
                  </w:tcBorders>
                  <w:vAlign w:val="center"/>
                </w:tcPr>
                <w:p w14:paraId="309B46E2">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10"/>
                      <w:sz w:val="21"/>
                    </w:rPr>
                    <w:t>1</w:t>
                  </w:r>
                </w:p>
              </w:tc>
              <w:tc>
                <w:tcPr>
                  <w:tcW w:w="1682" w:type="pct"/>
                  <w:tcBorders>
                    <w:top w:val="single" w:color="000000" w:sz="12" w:space="0"/>
                    <w:tl2br w:val="nil"/>
                    <w:tr2bl w:val="nil"/>
                  </w:tcBorders>
                  <w:vAlign w:val="center"/>
                </w:tcPr>
                <w:p w14:paraId="3652E3CD">
                  <w:pPr>
                    <w:pStyle w:val="97"/>
                    <w:keepNext w:val="0"/>
                    <w:keepLines w:val="0"/>
                    <w:pageBreakBefore w:val="0"/>
                    <w:widowControl w:val="0"/>
                    <w:kinsoku/>
                    <w:wordWrap/>
                    <w:overflowPunct/>
                    <w:topLinePunct w:val="0"/>
                    <w:autoSpaceDE/>
                    <w:autoSpaceDN/>
                    <w:bidi w:val="0"/>
                    <w:adjustRightInd/>
                    <w:snapToGrid/>
                    <w:ind w:left="0" w:right="0"/>
                    <w:textAlignment w:val="auto"/>
                    <w:rPr>
                      <w:rFonts w:ascii="Times New Roman" w:hAnsi="Times New Roman" w:eastAsia="宋体"/>
                      <w:color w:val="auto"/>
                      <w:sz w:val="21"/>
                    </w:rPr>
                  </w:pPr>
                  <w:r>
                    <w:rPr>
                      <w:rFonts w:ascii="Times New Roman" w:hAnsi="Times New Roman" w:eastAsia="宋体"/>
                      <w:color w:val="auto"/>
                      <w:spacing w:val="-2"/>
                      <w:sz w:val="21"/>
                    </w:rPr>
                    <w:t>pH</w:t>
                  </w:r>
                  <w:r>
                    <w:rPr>
                      <w:rFonts w:hint="eastAsia" w:ascii="Times New Roman" w:hAnsi="Times New Roman" w:eastAsia="宋体"/>
                      <w:color w:val="auto"/>
                      <w:spacing w:val="-2"/>
                      <w:sz w:val="21"/>
                      <w:lang w:eastAsia="zh-CN"/>
                    </w:rPr>
                    <w:t>（</w:t>
                  </w:r>
                  <w:r>
                    <w:rPr>
                      <w:rFonts w:ascii="Times New Roman" w:hAnsi="Times New Roman" w:eastAsia="宋体"/>
                      <w:color w:val="auto"/>
                      <w:spacing w:val="-2"/>
                      <w:sz w:val="21"/>
                    </w:rPr>
                    <w:t>无量纲</w:t>
                  </w:r>
                  <w:r>
                    <w:rPr>
                      <w:rFonts w:hint="eastAsia" w:ascii="Times New Roman" w:hAnsi="Times New Roman" w:eastAsia="宋体"/>
                      <w:color w:val="auto"/>
                      <w:spacing w:val="-2"/>
                      <w:sz w:val="21"/>
                      <w:lang w:eastAsia="zh-CN"/>
                    </w:rPr>
                    <w:t>）</w:t>
                  </w:r>
                </w:p>
              </w:tc>
              <w:tc>
                <w:tcPr>
                  <w:tcW w:w="2772" w:type="pct"/>
                  <w:gridSpan w:val="4"/>
                  <w:tcBorders>
                    <w:top w:val="single" w:color="000000" w:sz="12" w:space="0"/>
                    <w:tl2br w:val="nil"/>
                    <w:tr2bl w:val="nil"/>
                  </w:tcBorders>
                  <w:shd w:val="clear" w:color="auto" w:fill="D7D7D7" w:themeFill="background1" w:themeFillShade="D8"/>
                  <w:vAlign w:val="center"/>
                </w:tcPr>
                <w:p w14:paraId="31CB822B">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5"/>
                      <w:sz w:val="21"/>
                    </w:rPr>
                    <w:t>6</w:t>
                  </w:r>
                  <w:r>
                    <w:rPr>
                      <w:rFonts w:hint="eastAsia" w:ascii="Times New Roman" w:hAnsi="Times New Roman" w:eastAsia="宋体"/>
                      <w:color w:val="auto"/>
                      <w:spacing w:val="-5"/>
                      <w:sz w:val="21"/>
                      <w:lang w:eastAsia="zh-CN"/>
                    </w:rPr>
                    <w:t>~</w:t>
                  </w:r>
                  <w:r>
                    <w:rPr>
                      <w:rFonts w:ascii="Times New Roman" w:hAnsi="Times New Roman" w:eastAsia="宋体"/>
                      <w:color w:val="auto"/>
                      <w:spacing w:val="-5"/>
                      <w:sz w:val="21"/>
                    </w:rPr>
                    <w:t>9</w:t>
                  </w:r>
                </w:p>
              </w:tc>
            </w:tr>
            <w:tr w14:paraId="186213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545" w:type="pct"/>
                  <w:tcBorders>
                    <w:tl2br w:val="nil"/>
                    <w:tr2bl w:val="nil"/>
                  </w:tcBorders>
                  <w:vAlign w:val="center"/>
                </w:tcPr>
                <w:p w14:paraId="7FBB5177">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10"/>
                      <w:sz w:val="21"/>
                    </w:rPr>
                    <w:t>2</w:t>
                  </w:r>
                </w:p>
              </w:tc>
              <w:tc>
                <w:tcPr>
                  <w:tcW w:w="1682" w:type="pct"/>
                  <w:tcBorders>
                    <w:tl2br w:val="nil"/>
                    <w:tr2bl w:val="nil"/>
                  </w:tcBorders>
                  <w:vAlign w:val="center"/>
                </w:tcPr>
                <w:p w14:paraId="520D3B3C">
                  <w:pPr>
                    <w:pStyle w:val="97"/>
                    <w:keepNext w:val="0"/>
                    <w:keepLines w:val="0"/>
                    <w:pageBreakBefore w:val="0"/>
                    <w:widowControl w:val="0"/>
                    <w:kinsoku/>
                    <w:wordWrap/>
                    <w:overflowPunct/>
                    <w:topLinePunct w:val="0"/>
                    <w:autoSpaceDE/>
                    <w:autoSpaceDN/>
                    <w:bidi w:val="0"/>
                    <w:adjustRightInd/>
                    <w:snapToGrid/>
                    <w:ind w:left="0" w:right="0"/>
                    <w:textAlignment w:val="auto"/>
                    <w:rPr>
                      <w:rFonts w:ascii="Times New Roman" w:hAnsi="Times New Roman" w:eastAsia="宋体"/>
                      <w:color w:val="auto"/>
                      <w:sz w:val="21"/>
                    </w:rPr>
                  </w:pPr>
                  <w:r>
                    <w:rPr>
                      <w:rFonts w:ascii="Times New Roman" w:hAnsi="Times New Roman" w:eastAsia="宋体"/>
                      <w:color w:val="auto"/>
                      <w:sz w:val="21"/>
                    </w:rPr>
                    <w:t>溶解氧</w:t>
                  </w:r>
                  <w:r>
                    <w:rPr>
                      <w:rFonts w:hint="eastAsia" w:ascii="Times New Roman" w:hAnsi="Times New Roman" w:eastAsia="宋体"/>
                      <w:color w:val="auto"/>
                      <w:sz w:val="21"/>
                      <w:lang w:eastAsia="zh-CN"/>
                    </w:rPr>
                    <w:t>（</w:t>
                  </w:r>
                  <w:r>
                    <w:rPr>
                      <w:rFonts w:ascii="Times New Roman" w:hAnsi="Times New Roman" w:eastAsia="宋体"/>
                      <w:color w:val="auto"/>
                      <w:sz w:val="21"/>
                    </w:rPr>
                    <w:t>DO</w:t>
                  </w:r>
                  <w:r>
                    <w:rPr>
                      <w:rFonts w:hint="eastAsia" w:ascii="Times New Roman" w:hAnsi="Times New Roman" w:eastAsia="宋体"/>
                      <w:color w:val="auto"/>
                      <w:sz w:val="21"/>
                      <w:lang w:eastAsia="zh-CN"/>
                    </w:rPr>
                    <w:t>）</w:t>
                  </w:r>
                  <w:r>
                    <w:rPr>
                      <w:rFonts w:ascii="Times New Roman" w:hAnsi="Times New Roman" w:eastAsia="宋体"/>
                      <w:color w:val="auto"/>
                      <w:spacing w:val="-9"/>
                      <w:sz w:val="21"/>
                    </w:rPr>
                    <w:t>≥</w:t>
                  </w:r>
                </w:p>
              </w:tc>
              <w:tc>
                <w:tcPr>
                  <w:tcW w:w="717" w:type="pct"/>
                  <w:tcBorders>
                    <w:tl2br w:val="nil"/>
                    <w:tr2bl w:val="nil"/>
                  </w:tcBorders>
                  <w:vAlign w:val="center"/>
                </w:tcPr>
                <w:p w14:paraId="7616103E">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10"/>
                      <w:sz w:val="21"/>
                    </w:rPr>
                    <w:t>6</w:t>
                  </w:r>
                </w:p>
              </w:tc>
              <w:tc>
                <w:tcPr>
                  <w:tcW w:w="696" w:type="pct"/>
                  <w:tcBorders>
                    <w:tl2br w:val="nil"/>
                    <w:tr2bl w:val="nil"/>
                  </w:tcBorders>
                  <w:shd w:val="clear" w:color="auto" w:fill="auto"/>
                  <w:vAlign w:val="center"/>
                </w:tcPr>
                <w:p w14:paraId="29166B3E">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10"/>
                      <w:sz w:val="21"/>
                    </w:rPr>
                    <w:t>5</w:t>
                  </w:r>
                </w:p>
              </w:tc>
              <w:tc>
                <w:tcPr>
                  <w:tcW w:w="677" w:type="pct"/>
                  <w:tcBorders>
                    <w:tl2br w:val="nil"/>
                    <w:tr2bl w:val="nil"/>
                  </w:tcBorders>
                  <w:shd w:val="clear" w:color="auto" w:fill="D7D7D7" w:themeFill="background1" w:themeFillShade="D8"/>
                  <w:vAlign w:val="center"/>
                </w:tcPr>
                <w:p w14:paraId="03724485">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10"/>
                      <w:sz w:val="21"/>
                    </w:rPr>
                    <w:t>3</w:t>
                  </w:r>
                </w:p>
              </w:tc>
              <w:tc>
                <w:tcPr>
                  <w:tcW w:w="680" w:type="pct"/>
                  <w:tcBorders>
                    <w:tl2br w:val="nil"/>
                    <w:tr2bl w:val="nil"/>
                  </w:tcBorders>
                  <w:shd w:val="clear" w:color="auto" w:fill="auto"/>
                  <w:vAlign w:val="center"/>
                </w:tcPr>
                <w:p w14:paraId="6A5C5F3E">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10"/>
                      <w:sz w:val="21"/>
                    </w:rPr>
                    <w:t>2</w:t>
                  </w:r>
                </w:p>
              </w:tc>
            </w:tr>
            <w:tr w14:paraId="41DE5DB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545" w:type="pct"/>
                  <w:tcBorders>
                    <w:tl2br w:val="nil"/>
                    <w:tr2bl w:val="nil"/>
                  </w:tcBorders>
                  <w:vAlign w:val="center"/>
                </w:tcPr>
                <w:p w14:paraId="1C2F7535">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10"/>
                      <w:sz w:val="21"/>
                    </w:rPr>
                    <w:t>3</w:t>
                  </w:r>
                </w:p>
              </w:tc>
              <w:tc>
                <w:tcPr>
                  <w:tcW w:w="1682" w:type="pct"/>
                  <w:tcBorders>
                    <w:tl2br w:val="nil"/>
                    <w:tr2bl w:val="nil"/>
                  </w:tcBorders>
                  <w:vAlign w:val="center"/>
                </w:tcPr>
                <w:p w14:paraId="20E5AE14">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position w:val="2"/>
                      <w:sz w:val="21"/>
                    </w:rPr>
                  </w:pPr>
                  <w:r>
                    <w:rPr>
                      <w:rFonts w:ascii="Times New Roman" w:hAnsi="Times New Roman" w:eastAsia="宋体"/>
                      <w:color w:val="auto"/>
                      <w:spacing w:val="-2"/>
                      <w:position w:val="2"/>
                      <w:sz w:val="21"/>
                    </w:rPr>
                    <w:t>COD</w:t>
                  </w:r>
                  <w:r>
                    <w:rPr>
                      <w:rFonts w:ascii="Times New Roman" w:hAnsi="Times New Roman" w:eastAsia="宋体"/>
                      <w:color w:val="auto"/>
                      <w:spacing w:val="-2"/>
                      <w:sz w:val="13"/>
                    </w:rPr>
                    <w:t>Mn</w:t>
                  </w:r>
                  <w:r>
                    <w:rPr>
                      <w:rFonts w:ascii="Times New Roman" w:hAnsi="Times New Roman" w:eastAsia="宋体"/>
                      <w:color w:val="auto"/>
                      <w:spacing w:val="-2"/>
                      <w:position w:val="2"/>
                      <w:sz w:val="21"/>
                    </w:rPr>
                    <w:t>≤</w:t>
                  </w:r>
                </w:p>
              </w:tc>
              <w:tc>
                <w:tcPr>
                  <w:tcW w:w="717" w:type="pct"/>
                  <w:tcBorders>
                    <w:tl2br w:val="nil"/>
                    <w:tr2bl w:val="nil"/>
                  </w:tcBorders>
                  <w:vAlign w:val="center"/>
                </w:tcPr>
                <w:p w14:paraId="3D25A146">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10"/>
                      <w:sz w:val="21"/>
                    </w:rPr>
                    <w:t>4</w:t>
                  </w:r>
                </w:p>
              </w:tc>
              <w:tc>
                <w:tcPr>
                  <w:tcW w:w="696" w:type="pct"/>
                  <w:tcBorders>
                    <w:tl2br w:val="nil"/>
                    <w:tr2bl w:val="nil"/>
                  </w:tcBorders>
                  <w:shd w:val="clear" w:color="auto" w:fill="auto"/>
                  <w:vAlign w:val="center"/>
                </w:tcPr>
                <w:p w14:paraId="6082F800">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10"/>
                      <w:sz w:val="21"/>
                    </w:rPr>
                    <w:t>6</w:t>
                  </w:r>
                </w:p>
              </w:tc>
              <w:tc>
                <w:tcPr>
                  <w:tcW w:w="677" w:type="pct"/>
                  <w:tcBorders>
                    <w:tl2br w:val="nil"/>
                    <w:tr2bl w:val="nil"/>
                  </w:tcBorders>
                  <w:shd w:val="clear" w:color="auto" w:fill="D7D7D7" w:themeFill="background1" w:themeFillShade="D8"/>
                  <w:vAlign w:val="center"/>
                </w:tcPr>
                <w:p w14:paraId="5AF8D484">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5"/>
                      <w:sz w:val="21"/>
                    </w:rPr>
                    <w:t>10</w:t>
                  </w:r>
                </w:p>
              </w:tc>
              <w:tc>
                <w:tcPr>
                  <w:tcW w:w="680" w:type="pct"/>
                  <w:tcBorders>
                    <w:tl2br w:val="nil"/>
                    <w:tr2bl w:val="nil"/>
                  </w:tcBorders>
                  <w:shd w:val="clear" w:color="auto" w:fill="auto"/>
                  <w:vAlign w:val="center"/>
                </w:tcPr>
                <w:p w14:paraId="45AE977A">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5"/>
                      <w:sz w:val="21"/>
                    </w:rPr>
                    <w:t>15</w:t>
                  </w:r>
                </w:p>
              </w:tc>
            </w:tr>
            <w:tr w14:paraId="26B474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545" w:type="pct"/>
                  <w:tcBorders>
                    <w:tl2br w:val="nil"/>
                    <w:tr2bl w:val="nil"/>
                  </w:tcBorders>
                  <w:vAlign w:val="center"/>
                </w:tcPr>
                <w:p w14:paraId="576072EA">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10"/>
                      <w:sz w:val="21"/>
                    </w:rPr>
                    <w:t>4</w:t>
                  </w:r>
                </w:p>
              </w:tc>
              <w:tc>
                <w:tcPr>
                  <w:tcW w:w="1682" w:type="pct"/>
                  <w:tcBorders>
                    <w:tl2br w:val="nil"/>
                    <w:tr2bl w:val="nil"/>
                  </w:tcBorders>
                  <w:vAlign w:val="center"/>
                </w:tcPr>
                <w:p w14:paraId="77057E6D">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5"/>
                      <w:sz w:val="21"/>
                    </w:rPr>
                    <w:t>DO≤</w:t>
                  </w:r>
                </w:p>
              </w:tc>
              <w:tc>
                <w:tcPr>
                  <w:tcW w:w="717" w:type="pct"/>
                  <w:tcBorders>
                    <w:tl2br w:val="nil"/>
                    <w:tr2bl w:val="nil"/>
                  </w:tcBorders>
                  <w:vAlign w:val="center"/>
                </w:tcPr>
                <w:p w14:paraId="4472704A">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10"/>
                      <w:sz w:val="21"/>
                    </w:rPr>
                    <w:t>6</w:t>
                  </w:r>
                </w:p>
              </w:tc>
              <w:tc>
                <w:tcPr>
                  <w:tcW w:w="696" w:type="pct"/>
                  <w:tcBorders>
                    <w:tl2br w:val="nil"/>
                    <w:tr2bl w:val="nil"/>
                  </w:tcBorders>
                  <w:shd w:val="clear" w:color="auto" w:fill="auto"/>
                  <w:vAlign w:val="center"/>
                </w:tcPr>
                <w:p w14:paraId="73F569D6">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10"/>
                      <w:sz w:val="21"/>
                    </w:rPr>
                    <w:t>5</w:t>
                  </w:r>
                </w:p>
              </w:tc>
              <w:tc>
                <w:tcPr>
                  <w:tcW w:w="677" w:type="pct"/>
                  <w:tcBorders>
                    <w:tl2br w:val="nil"/>
                    <w:tr2bl w:val="nil"/>
                  </w:tcBorders>
                  <w:shd w:val="clear" w:color="auto" w:fill="D7D7D7" w:themeFill="background1" w:themeFillShade="D8"/>
                  <w:vAlign w:val="center"/>
                </w:tcPr>
                <w:p w14:paraId="6BFF266A">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10"/>
                      <w:sz w:val="21"/>
                    </w:rPr>
                    <w:t>3</w:t>
                  </w:r>
                </w:p>
              </w:tc>
              <w:tc>
                <w:tcPr>
                  <w:tcW w:w="680" w:type="pct"/>
                  <w:tcBorders>
                    <w:tl2br w:val="nil"/>
                    <w:tr2bl w:val="nil"/>
                  </w:tcBorders>
                  <w:shd w:val="clear" w:color="auto" w:fill="auto"/>
                  <w:vAlign w:val="center"/>
                </w:tcPr>
                <w:p w14:paraId="61F5FD2E">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10"/>
                      <w:sz w:val="21"/>
                    </w:rPr>
                    <w:t>2</w:t>
                  </w:r>
                </w:p>
              </w:tc>
            </w:tr>
            <w:tr w14:paraId="17BB01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545" w:type="pct"/>
                  <w:tcBorders>
                    <w:tl2br w:val="nil"/>
                    <w:tr2bl w:val="nil"/>
                  </w:tcBorders>
                  <w:vAlign w:val="center"/>
                </w:tcPr>
                <w:p w14:paraId="3E1B7808">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10"/>
                      <w:sz w:val="21"/>
                    </w:rPr>
                    <w:t>5</w:t>
                  </w:r>
                </w:p>
              </w:tc>
              <w:tc>
                <w:tcPr>
                  <w:tcW w:w="1682" w:type="pct"/>
                  <w:tcBorders>
                    <w:tl2br w:val="nil"/>
                    <w:tr2bl w:val="nil"/>
                  </w:tcBorders>
                  <w:vAlign w:val="center"/>
                </w:tcPr>
                <w:p w14:paraId="6137BF9A">
                  <w:pPr>
                    <w:pStyle w:val="97"/>
                    <w:keepNext w:val="0"/>
                    <w:keepLines w:val="0"/>
                    <w:pageBreakBefore w:val="0"/>
                    <w:widowControl w:val="0"/>
                    <w:kinsoku/>
                    <w:wordWrap/>
                    <w:overflowPunct/>
                    <w:topLinePunct w:val="0"/>
                    <w:autoSpaceDE/>
                    <w:autoSpaceDN/>
                    <w:bidi w:val="0"/>
                    <w:adjustRightInd/>
                    <w:snapToGrid/>
                    <w:ind w:left="0" w:right="0"/>
                    <w:textAlignment w:val="auto"/>
                    <w:rPr>
                      <w:rFonts w:ascii="Times New Roman" w:hAnsi="Times New Roman" w:eastAsia="宋体"/>
                      <w:color w:val="auto"/>
                      <w:position w:val="2"/>
                      <w:sz w:val="21"/>
                    </w:rPr>
                  </w:pPr>
                  <w:r>
                    <w:rPr>
                      <w:rFonts w:ascii="Times New Roman" w:hAnsi="Times New Roman" w:eastAsia="宋体"/>
                      <w:color w:val="auto"/>
                      <w:spacing w:val="-2"/>
                      <w:position w:val="2"/>
                      <w:sz w:val="21"/>
                    </w:rPr>
                    <w:t>NH</w:t>
                  </w:r>
                  <w:r>
                    <w:rPr>
                      <w:rFonts w:ascii="Times New Roman" w:hAnsi="Times New Roman" w:eastAsia="宋体"/>
                      <w:color w:val="auto"/>
                      <w:spacing w:val="-2"/>
                      <w:sz w:val="13"/>
                    </w:rPr>
                    <w:t>3</w:t>
                  </w:r>
                  <w:r>
                    <w:rPr>
                      <w:rFonts w:ascii="Times New Roman" w:hAnsi="Times New Roman" w:eastAsia="宋体"/>
                      <w:color w:val="auto"/>
                      <w:spacing w:val="-2"/>
                      <w:position w:val="2"/>
                      <w:sz w:val="21"/>
                    </w:rPr>
                    <w:t>-</w:t>
                  </w:r>
                  <w:r>
                    <w:rPr>
                      <w:rFonts w:ascii="Times New Roman" w:hAnsi="Times New Roman" w:eastAsia="宋体"/>
                      <w:color w:val="auto"/>
                      <w:spacing w:val="-5"/>
                      <w:position w:val="2"/>
                      <w:sz w:val="21"/>
                    </w:rPr>
                    <w:t>N≤</w:t>
                  </w:r>
                </w:p>
              </w:tc>
              <w:tc>
                <w:tcPr>
                  <w:tcW w:w="717" w:type="pct"/>
                  <w:tcBorders>
                    <w:tl2br w:val="nil"/>
                    <w:tr2bl w:val="nil"/>
                  </w:tcBorders>
                  <w:vAlign w:val="center"/>
                </w:tcPr>
                <w:p w14:paraId="4EB55538">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5"/>
                      <w:sz w:val="21"/>
                    </w:rPr>
                    <w:t>0.5</w:t>
                  </w:r>
                </w:p>
              </w:tc>
              <w:tc>
                <w:tcPr>
                  <w:tcW w:w="696" w:type="pct"/>
                  <w:tcBorders>
                    <w:tl2br w:val="nil"/>
                    <w:tr2bl w:val="nil"/>
                  </w:tcBorders>
                  <w:shd w:val="clear" w:color="auto" w:fill="auto"/>
                  <w:vAlign w:val="center"/>
                </w:tcPr>
                <w:p w14:paraId="749826A2">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5"/>
                      <w:sz w:val="21"/>
                    </w:rPr>
                    <w:t>1.0</w:t>
                  </w:r>
                </w:p>
              </w:tc>
              <w:tc>
                <w:tcPr>
                  <w:tcW w:w="677" w:type="pct"/>
                  <w:tcBorders>
                    <w:tl2br w:val="nil"/>
                    <w:tr2bl w:val="nil"/>
                  </w:tcBorders>
                  <w:shd w:val="clear" w:color="auto" w:fill="D7D7D7" w:themeFill="background1" w:themeFillShade="D8"/>
                  <w:vAlign w:val="center"/>
                </w:tcPr>
                <w:p w14:paraId="4496092F">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5"/>
                      <w:sz w:val="21"/>
                    </w:rPr>
                    <w:t>1.5</w:t>
                  </w:r>
                </w:p>
              </w:tc>
              <w:tc>
                <w:tcPr>
                  <w:tcW w:w="680" w:type="pct"/>
                  <w:tcBorders>
                    <w:tl2br w:val="nil"/>
                    <w:tr2bl w:val="nil"/>
                  </w:tcBorders>
                  <w:shd w:val="clear" w:color="auto" w:fill="auto"/>
                  <w:vAlign w:val="center"/>
                </w:tcPr>
                <w:p w14:paraId="0259864C">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5"/>
                      <w:sz w:val="21"/>
                    </w:rPr>
                    <w:t>2.0</w:t>
                  </w:r>
                </w:p>
              </w:tc>
            </w:tr>
            <w:tr w14:paraId="730B627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545" w:type="pct"/>
                  <w:tcBorders>
                    <w:tl2br w:val="nil"/>
                    <w:tr2bl w:val="nil"/>
                  </w:tcBorders>
                  <w:vAlign w:val="center"/>
                </w:tcPr>
                <w:p w14:paraId="65DD1F43">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10"/>
                      <w:sz w:val="21"/>
                    </w:rPr>
                    <w:t>6</w:t>
                  </w:r>
                </w:p>
              </w:tc>
              <w:tc>
                <w:tcPr>
                  <w:tcW w:w="1682" w:type="pct"/>
                  <w:tcBorders>
                    <w:tl2br w:val="nil"/>
                    <w:tr2bl w:val="nil"/>
                  </w:tcBorders>
                  <w:vAlign w:val="center"/>
                </w:tcPr>
                <w:p w14:paraId="0B80911C">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position w:val="2"/>
                      <w:sz w:val="21"/>
                    </w:rPr>
                  </w:pPr>
                  <w:r>
                    <w:rPr>
                      <w:rFonts w:ascii="Times New Roman" w:hAnsi="Times New Roman" w:eastAsia="宋体"/>
                      <w:color w:val="auto"/>
                      <w:spacing w:val="-2"/>
                      <w:position w:val="2"/>
                      <w:sz w:val="21"/>
                    </w:rPr>
                    <w:t>BOD</w:t>
                  </w:r>
                  <w:r>
                    <w:rPr>
                      <w:rFonts w:ascii="Times New Roman" w:hAnsi="Times New Roman" w:eastAsia="宋体"/>
                      <w:color w:val="auto"/>
                      <w:spacing w:val="-2"/>
                      <w:sz w:val="13"/>
                    </w:rPr>
                    <w:t>5</w:t>
                  </w:r>
                  <w:r>
                    <w:rPr>
                      <w:rFonts w:ascii="Times New Roman" w:hAnsi="Times New Roman" w:eastAsia="宋体"/>
                      <w:color w:val="auto"/>
                      <w:spacing w:val="-2"/>
                      <w:position w:val="2"/>
                      <w:sz w:val="21"/>
                    </w:rPr>
                    <w:t>≤</w:t>
                  </w:r>
                </w:p>
              </w:tc>
              <w:tc>
                <w:tcPr>
                  <w:tcW w:w="717" w:type="pct"/>
                  <w:tcBorders>
                    <w:tl2br w:val="nil"/>
                    <w:tr2bl w:val="nil"/>
                  </w:tcBorders>
                  <w:vAlign w:val="center"/>
                </w:tcPr>
                <w:p w14:paraId="1FACA916">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10"/>
                      <w:sz w:val="21"/>
                    </w:rPr>
                    <w:t>3</w:t>
                  </w:r>
                </w:p>
              </w:tc>
              <w:tc>
                <w:tcPr>
                  <w:tcW w:w="696" w:type="pct"/>
                  <w:tcBorders>
                    <w:tl2br w:val="nil"/>
                    <w:tr2bl w:val="nil"/>
                  </w:tcBorders>
                  <w:shd w:val="clear" w:color="auto" w:fill="auto"/>
                  <w:vAlign w:val="center"/>
                </w:tcPr>
                <w:p w14:paraId="74EAC8EA">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10"/>
                      <w:sz w:val="21"/>
                    </w:rPr>
                    <w:t>4</w:t>
                  </w:r>
                </w:p>
              </w:tc>
              <w:tc>
                <w:tcPr>
                  <w:tcW w:w="677" w:type="pct"/>
                  <w:tcBorders>
                    <w:tl2br w:val="nil"/>
                    <w:tr2bl w:val="nil"/>
                  </w:tcBorders>
                  <w:shd w:val="clear" w:color="auto" w:fill="D7D7D7" w:themeFill="background1" w:themeFillShade="D8"/>
                  <w:vAlign w:val="center"/>
                </w:tcPr>
                <w:p w14:paraId="3D7D1FFE">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10"/>
                      <w:sz w:val="21"/>
                    </w:rPr>
                    <w:t>6</w:t>
                  </w:r>
                </w:p>
              </w:tc>
              <w:tc>
                <w:tcPr>
                  <w:tcW w:w="680" w:type="pct"/>
                  <w:tcBorders>
                    <w:tl2br w:val="nil"/>
                    <w:tr2bl w:val="nil"/>
                  </w:tcBorders>
                  <w:shd w:val="clear" w:color="auto" w:fill="auto"/>
                  <w:vAlign w:val="center"/>
                </w:tcPr>
                <w:p w14:paraId="6DDA0DBF">
                  <w:pPr>
                    <w:pStyle w:val="97"/>
                    <w:keepNext w:val="0"/>
                    <w:keepLines w:val="0"/>
                    <w:pageBreakBefore w:val="0"/>
                    <w:widowControl w:val="0"/>
                    <w:kinsoku/>
                    <w:wordWrap/>
                    <w:overflowPunct/>
                    <w:topLinePunct w:val="0"/>
                    <w:autoSpaceDE/>
                    <w:autoSpaceDN/>
                    <w:bidi w:val="0"/>
                    <w:adjustRightInd/>
                    <w:snapToGrid/>
                    <w:ind w:left="0" w:right="0"/>
                    <w:jc w:val="center"/>
                    <w:textAlignment w:val="auto"/>
                    <w:rPr>
                      <w:rFonts w:ascii="Times New Roman" w:hAnsi="Times New Roman" w:eastAsia="宋体"/>
                      <w:color w:val="auto"/>
                      <w:sz w:val="21"/>
                    </w:rPr>
                  </w:pPr>
                  <w:r>
                    <w:rPr>
                      <w:rFonts w:ascii="Times New Roman" w:hAnsi="Times New Roman" w:eastAsia="宋体"/>
                      <w:color w:val="auto"/>
                      <w:spacing w:val="-5"/>
                      <w:sz w:val="21"/>
                    </w:rPr>
                    <w:t>10</w:t>
                  </w:r>
                </w:p>
              </w:tc>
            </w:tr>
          </w:tbl>
          <w:p w14:paraId="3C7E50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w:t>
            </w:r>
            <w:r>
              <w:rPr>
                <w:rFonts w:hint="default" w:ascii="Times New Roman" w:hAnsi="Times New Roman" w:eastAsia="宋体" w:cs="Times New Roman"/>
                <w:color w:val="auto"/>
                <w:kern w:val="2"/>
                <w:sz w:val="24"/>
                <w:szCs w:val="20"/>
                <w:highlight w:val="none"/>
                <w:lang w:val="en-US" w:eastAsia="zh-CN" w:bidi="ar-SA"/>
              </w:rPr>
              <w:t>2</w:t>
            </w:r>
            <w:r>
              <w:rPr>
                <w:rFonts w:hint="eastAsia" w:ascii="Times New Roman" w:hAnsi="Times New Roman" w:eastAsia="宋体" w:cs="Times New Roman"/>
                <w:color w:val="auto"/>
                <w:kern w:val="2"/>
                <w:sz w:val="24"/>
                <w:szCs w:val="20"/>
                <w:highlight w:val="none"/>
                <w:lang w:val="en-US" w:eastAsia="zh-CN" w:bidi="ar-SA"/>
              </w:rPr>
              <w:t>）地表水环境现状</w:t>
            </w:r>
          </w:p>
          <w:p w14:paraId="77192F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cs="Times New Roman"/>
                <w:color w:val="auto"/>
                <w:kern w:val="2"/>
                <w:sz w:val="24"/>
                <w:szCs w:val="20"/>
                <w:highlight w:val="none"/>
                <w:lang w:val="en-US" w:eastAsia="zh-CN" w:bidi="ar-SA"/>
              </w:rPr>
              <w:t>①</w:t>
            </w:r>
            <w:r>
              <w:rPr>
                <w:rFonts w:hint="eastAsia" w:ascii="Times New Roman" w:hAnsi="Times New Roman" w:eastAsia="宋体" w:cs="Times New Roman"/>
                <w:color w:val="auto"/>
                <w:kern w:val="2"/>
                <w:sz w:val="24"/>
                <w:szCs w:val="20"/>
                <w:highlight w:val="none"/>
                <w:lang w:val="en-US" w:eastAsia="zh-CN" w:bidi="ar-SA"/>
              </w:rPr>
              <w:t>地表水水质现状调查</w:t>
            </w:r>
          </w:p>
          <w:p w14:paraId="399C7A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为了解项目地表水水质环境质量现状，根据福建省生态环境厅网站发布的福建省主要流域水环境质量状况</w:t>
            </w:r>
            <w:r>
              <w:rPr>
                <w:rFonts w:hint="eastAsia" w:cs="Times New Roman"/>
                <w:color w:val="auto"/>
                <w:kern w:val="2"/>
                <w:sz w:val="24"/>
                <w:szCs w:val="20"/>
                <w:highlight w:val="none"/>
                <w:lang w:val="en-US" w:eastAsia="zh-CN" w:bidi="ar-SA"/>
              </w:rPr>
              <w:t>（</w:t>
            </w:r>
            <w:r>
              <w:rPr>
                <w:rFonts w:hint="eastAsia" w:ascii="Times New Roman" w:hAnsi="Times New Roman" w:eastAsia="宋体" w:cs="Times New Roman"/>
                <w:color w:val="auto"/>
                <w:kern w:val="2"/>
                <w:sz w:val="24"/>
                <w:szCs w:val="20"/>
                <w:highlight w:val="none"/>
                <w:lang w:val="en-US" w:eastAsia="zh-CN" w:bidi="ar-SA"/>
              </w:rPr>
              <w:t>202</w:t>
            </w:r>
            <w:r>
              <w:rPr>
                <w:rFonts w:hint="eastAsia" w:cs="Times New Roman"/>
                <w:color w:val="auto"/>
                <w:kern w:val="2"/>
                <w:sz w:val="24"/>
                <w:szCs w:val="20"/>
                <w:highlight w:val="none"/>
                <w:lang w:val="en-US" w:eastAsia="zh-CN" w:bidi="ar-SA"/>
              </w:rPr>
              <w:t>5</w:t>
            </w:r>
            <w:r>
              <w:rPr>
                <w:rFonts w:hint="eastAsia" w:ascii="Times New Roman" w:hAnsi="Times New Roman" w:eastAsia="宋体" w:cs="Times New Roman"/>
                <w:color w:val="auto"/>
                <w:kern w:val="2"/>
                <w:sz w:val="24"/>
                <w:szCs w:val="20"/>
                <w:highlight w:val="none"/>
                <w:lang w:val="en-US" w:eastAsia="zh-CN" w:bidi="ar-SA"/>
              </w:rPr>
              <w:t>年</w:t>
            </w:r>
            <w:r>
              <w:rPr>
                <w:rFonts w:hint="eastAsia" w:cs="Times New Roman"/>
                <w:color w:val="auto"/>
                <w:kern w:val="2"/>
                <w:sz w:val="24"/>
                <w:szCs w:val="20"/>
                <w:highlight w:val="none"/>
                <w:lang w:val="en-US" w:eastAsia="zh-CN" w:bidi="ar-SA"/>
              </w:rPr>
              <w:t>），</w:t>
            </w:r>
            <w:r>
              <w:rPr>
                <w:rFonts w:hint="eastAsia" w:ascii="Times New Roman" w:hAnsi="Times New Roman" w:eastAsia="宋体" w:cs="Times New Roman"/>
                <w:color w:val="auto"/>
                <w:kern w:val="2"/>
                <w:sz w:val="24"/>
                <w:szCs w:val="20"/>
                <w:highlight w:val="none"/>
                <w:lang w:val="en-US" w:eastAsia="zh-CN" w:bidi="ar-SA"/>
              </w:rPr>
              <w:t>2025年1-12月，全省主要流域总体水质为优，国控断面Ⅰ～Ⅲ类水质比例100％,Ⅰ～Ⅱ类水质比例84.8％；国控及省控断面Ⅰ～Ⅲ类水质比例100％，其中Ⅰ～Ⅱ类水质比例83.5％，各类水质比例如下：Ⅰ类占4.5％，Ⅱ类占78.9％，Ⅲ类占16.5％，无Ⅳ类、Ⅴ类和劣Ⅴ类水</w:t>
            </w:r>
            <w:r>
              <w:rPr>
                <w:rFonts w:hint="eastAsia" w:cs="Times New Roman"/>
                <w:color w:val="auto"/>
                <w:kern w:val="2"/>
                <w:sz w:val="24"/>
                <w:szCs w:val="20"/>
                <w:highlight w:val="none"/>
                <w:lang w:val="en-US" w:eastAsia="zh-CN" w:bidi="ar-SA"/>
              </w:rPr>
              <w:t>（</w:t>
            </w:r>
            <w:r>
              <w:rPr>
                <w:rFonts w:hint="eastAsia" w:ascii="Times New Roman" w:hAnsi="Times New Roman" w:eastAsia="宋体" w:cs="Times New Roman"/>
                <w:color w:val="auto"/>
                <w:kern w:val="2"/>
                <w:sz w:val="24"/>
                <w:szCs w:val="20"/>
                <w:highlight w:val="none"/>
                <w:lang w:val="en-US" w:eastAsia="zh-CN" w:bidi="ar-SA"/>
              </w:rPr>
              <w:t>详见</w:t>
            </w:r>
            <w:r>
              <w:rPr>
                <w:rFonts w:hint="eastAsia" w:cs="Times New Roman"/>
                <w:color w:val="auto"/>
                <w:kern w:val="2"/>
                <w:sz w:val="24"/>
                <w:szCs w:val="20"/>
                <w:highlight w:val="none"/>
                <w:lang w:val="en-US" w:eastAsia="zh-CN" w:bidi="ar-SA"/>
              </w:rPr>
              <w:t>图3.1-1）</w:t>
            </w:r>
            <w:r>
              <w:rPr>
                <w:rFonts w:hint="eastAsia" w:ascii="Times New Roman" w:hAnsi="Times New Roman" w:eastAsia="宋体" w:cs="Times New Roman"/>
                <w:color w:val="auto"/>
                <w:kern w:val="2"/>
                <w:sz w:val="24"/>
                <w:szCs w:val="20"/>
                <w:highlight w:val="none"/>
                <w:lang w:val="en-US" w:eastAsia="zh-CN" w:bidi="ar-SA"/>
              </w:rPr>
              <w:t>。</w:t>
            </w:r>
          </w:p>
          <w:p w14:paraId="73700E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由此，可知</w:t>
            </w:r>
            <w:r>
              <w:rPr>
                <w:rFonts w:hint="eastAsia" w:cs="Times New Roman"/>
                <w:color w:val="auto"/>
                <w:kern w:val="2"/>
                <w:sz w:val="24"/>
                <w:szCs w:val="20"/>
                <w:highlight w:val="none"/>
                <w:lang w:val="en-US" w:eastAsia="zh-CN" w:bidi="ar-SA"/>
              </w:rPr>
              <w:t>起步溪</w:t>
            </w:r>
            <w:r>
              <w:rPr>
                <w:rFonts w:hint="eastAsia" w:ascii="Times New Roman" w:hAnsi="Times New Roman" w:eastAsia="宋体" w:cs="Times New Roman"/>
                <w:color w:val="auto"/>
                <w:kern w:val="2"/>
                <w:sz w:val="24"/>
                <w:szCs w:val="20"/>
                <w:highlight w:val="none"/>
                <w:lang w:val="en-US" w:eastAsia="zh-CN" w:bidi="ar-SA"/>
              </w:rPr>
              <w:t>水质可达到《地表水环境质量标准》</w:t>
            </w:r>
            <w:r>
              <w:rPr>
                <w:rFonts w:hint="eastAsia" w:cs="Times New Roman"/>
                <w:color w:val="auto"/>
                <w:kern w:val="2"/>
                <w:sz w:val="24"/>
                <w:szCs w:val="20"/>
                <w:highlight w:val="none"/>
                <w:lang w:val="en-US" w:eastAsia="zh-CN" w:bidi="ar-SA"/>
              </w:rPr>
              <w:t>（</w:t>
            </w:r>
            <w:r>
              <w:rPr>
                <w:rFonts w:hint="eastAsia" w:ascii="Times New Roman" w:hAnsi="Times New Roman" w:eastAsia="宋体" w:cs="Times New Roman"/>
                <w:color w:val="auto"/>
                <w:kern w:val="2"/>
                <w:sz w:val="24"/>
                <w:szCs w:val="20"/>
                <w:highlight w:val="none"/>
                <w:lang w:val="en-US" w:eastAsia="zh-CN" w:bidi="ar-SA"/>
              </w:rPr>
              <w:t>GB3838-2002</w:t>
            </w:r>
            <w:r>
              <w:rPr>
                <w:rFonts w:hint="eastAsia" w:cs="Times New Roman"/>
                <w:color w:val="auto"/>
                <w:kern w:val="2"/>
                <w:sz w:val="24"/>
                <w:szCs w:val="20"/>
                <w:highlight w:val="none"/>
                <w:lang w:val="en-US" w:eastAsia="zh-CN" w:bidi="ar-SA"/>
              </w:rPr>
              <w:t>）</w:t>
            </w:r>
            <w:r>
              <w:rPr>
                <w:rFonts w:hint="default" w:ascii="Times New Roman" w:hAnsi="Times New Roman" w:eastAsia="宋体" w:cs="Times New Roman"/>
                <w:color w:val="auto"/>
                <w:kern w:val="2"/>
                <w:sz w:val="24"/>
                <w:szCs w:val="20"/>
                <w:highlight w:val="none"/>
                <w:lang w:val="en-US" w:eastAsia="zh-CN" w:bidi="ar-SA"/>
              </w:rPr>
              <w:t>Ⅳ</w:t>
            </w:r>
            <w:r>
              <w:rPr>
                <w:rFonts w:hint="eastAsia" w:cs="Times New Roman"/>
                <w:color w:val="auto"/>
                <w:kern w:val="2"/>
                <w:sz w:val="24"/>
                <w:szCs w:val="20"/>
                <w:highlight w:val="none"/>
                <w:lang w:val="en-US" w:eastAsia="zh-CN" w:bidi="ar-SA"/>
              </w:rPr>
              <w:t>类</w:t>
            </w:r>
            <w:r>
              <w:rPr>
                <w:rFonts w:hint="eastAsia" w:ascii="Times New Roman" w:hAnsi="Times New Roman" w:eastAsia="宋体" w:cs="Times New Roman"/>
                <w:color w:val="auto"/>
                <w:kern w:val="2"/>
                <w:sz w:val="24"/>
                <w:szCs w:val="20"/>
                <w:highlight w:val="none"/>
                <w:lang w:val="en-US" w:eastAsia="zh-CN" w:bidi="ar-SA"/>
              </w:rPr>
              <w:t>标准。</w:t>
            </w:r>
            <w:r>
              <w:rPr>
                <w:color w:val="auto"/>
              </w:rPr>
              <w:drawing>
                <wp:inline distT="0" distB="0" distL="114300" distR="114300">
                  <wp:extent cx="5577840" cy="2901950"/>
                  <wp:effectExtent l="0" t="0" r="3810" b="12700"/>
                  <wp:docPr id="2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8"/>
                          <pic:cNvPicPr>
                            <a:picLocks noChangeAspect="1"/>
                          </pic:cNvPicPr>
                        </pic:nvPicPr>
                        <pic:blipFill>
                          <a:blip r:embed="rId15"/>
                          <a:stretch>
                            <a:fillRect/>
                          </a:stretch>
                        </pic:blipFill>
                        <pic:spPr>
                          <a:xfrm>
                            <a:off x="0" y="0"/>
                            <a:ext cx="5577840" cy="2901950"/>
                          </a:xfrm>
                          <a:prstGeom prst="rect">
                            <a:avLst/>
                          </a:prstGeom>
                          <a:noFill/>
                          <a:ln>
                            <a:noFill/>
                          </a:ln>
                        </pic:spPr>
                      </pic:pic>
                    </a:graphicData>
                  </a:graphic>
                </wp:inline>
              </w:drawing>
            </w:r>
          </w:p>
          <w:p w14:paraId="36C1A5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center"/>
              <w:textAlignment w:val="auto"/>
              <w:rPr>
                <w:rFonts w:hint="eastAsia" w:cs="Times New Roman"/>
                <w:b/>
                <w:bCs/>
                <w:color w:val="auto"/>
                <w:kern w:val="2"/>
                <w:sz w:val="24"/>
                <w:szCs w:val="20"/>
                <w:highlight w:val="none"/>
                <w:lang w:val="en-US" w:eastAsia="zh-CN" w:bidi="ar-SA"/>
              </w:rPr>
            </w:pPr>
            <w:r>
              <w:rPr>
                <w:rFonts w:hint="eastAsia" w:cs="Times New Roman"/>
                <w:b/>
                <w:bCs/>
                <w:color w:val="auto"/>
                <w:kern w:val="2"/>
                <w:sz w:val="24"/>
                <w:szCs w:val="20"/>
                <w:highlight w:val="none"/>
                <w:lang w:val="en-US" w:eastAsia="zh-CN" w:bidi="ar-SA"/>
              </w:rPr>
              <w:t>图3.1-1 福建省流域水环境质量状况（2025年）</w:t>
            </w:r>
          </w:p>
          <w:p w14:paraId="5B0D33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cs="Times New Roman"/>
                <w:color w:val="auto"/>
                <w:kern w:val="2"/>
                <w:sz w:val="24"/>
                <w:szCs w:val="20"/>
                <w:highlight w:val="none"/>
                <w:lang w:val="en-US" w:eastAsia="zh-CN" w:bidi="ar-SA"/>
              </w:rPr>
              <w:t>②</w:t>
            </w:r>
            <w:r>
              <w:rPr>
                <w:rFonts w:hint="eastAsia" w:ascii="Times New Roman" w:hAnsi="Times New Roman" w:eastAsia="宋体" w:cs="Times New Roman"/>
                <w:color w:val="auto"/>
                <w:kern w:val="2"/>
                <w:sz w:val="24"/>
                <w:szCs w:val="20"/>
                <w:highlight w:val="none"/>
                <w:lang w:val="en-US" w:eastAsia="zh-CN" w:bidi="ar-SA"/>
              </w:rPr>
              <w:t>引用资料的有效性分析</w:t>
            </w:r>
          </w:p>
          <w:p w14:paraId="74AF04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eastAsia" w:ascii="Times New Roman" w:hAnsi="Times New Roman" w:eastAsia="宋体" w:cs="Times New Roman"/>
                <w:color w:val="auto"/>
                <w:kern w:val="2"/>
                <w:sz w:val="24"/>
                <w:szCs w:val="20"/>
                <w:highlight w:val="none"/>
                <w:lang w:val="en-US" w:eastAsia="zh-CN" w:bidi="ar-SA"/>
              </w:rPr>
            </w:pPr>
            <w:r>
              <w:rPr>
                <w:rFonts w:hint="eastAsia" w:ascii="Times New Roman" w:hAnsi="Times New Roman" w:eastAsia="宋体" w:cs="Times New Roman"/>
                <w:color w:val="auto"/>
                <w:kern w:val="2"/>
                <w:sz w:val="24"/>
                <w:szCs w:val="20"/>
                <w:highlight w:val="none"/>
                <w:lang w:val="en-US" w:eastAsia="zh-CN" w:bidi="ar-SA"/>
              </w:rPr>
              <w:t>根据《建设项目环境影响报告表编制技术指南（污染影响类）（试行）》（环办环评</w:t>
            </w:r>
            <w:r>
              <w:rPr>
                <w:rFonts w:hint="eastAsia"/>
                <w:color w:val="auto"/>
                <w:sz w:val="24"/>
                <w:szCs w:val="24"/>
                <w:highlight w:val="none"/>
              </w:rPr>
              <w:t>〔</w:t>
            </w:r>
            <w:r>
              <w:rPr>
                <w:color w:val="auto"/>
                <w:sz w:val="24"/>
                <w:szCs w:val="24"/>
                <w:highlight w:val="none"/>
              </w:rPr>
              <w:t>202</w:t>
            </w:r>
            <w:r>
              <w:rPr>
                <w:rFonts w:hint="eastAsia"/>
                <w:color w:val="auto"/>
                <w:sz w:val="24"/>
                <w:szCs w:val="24"/>
                <w:highlight w:val="none"/>
                <w:lang w:val="en-US" w:eastAsia="zh-CN"/>
              </w:rPr>
              <w:t>0</w:t>
            </w:r>
            <w:r>
              <w:rPr>
                <w:rFonts w:hint="eastAsia"/>
                <w:color w:val="auto"/>
                <w:sz w:val="24"/>
                <w:szCs w:val="24"/>
                <w:highlight w:val="none"/>
              </w:rPr>
              <w:t>〕</w:t>
            </w:r>
            <w:r>
              <w:rPr>
                <w:rFonts w:hint="eastAsia" w:ascii="Times New Roman" w:hAnsi="Times New Roman" w:eastAsia="宋体" w:cs="Times New Roman"/>
                <w:color w:val="auto"/>
                <w:kern w:val="2"/>
                <w:sz w:val="24"/>
                <w:szCs w:val="24"/>
                <w:highlight w:val="none"/>
                <w:lang w:val="en-US" w:eastAsia="zh-CN" w:bidi="ar-SA"/>
              </w:rPr>
              <w:t>3</w:t>
            </w:r>
            <w:r>
              <w:rPr>
                <w:rFonts w:hint="eastAsia" w:ascii="Times New Roman" w:hAnsi="Times New Roman" w:eastAsia="宋体" w:cs="Times New Roman"/>
                <w:color w:val="auto"/>
                <w:kern w:val="2"/>
                <w:sz w:val="24"/>
                <w:szCs w:val="20"/>
                <w:highlight w:val="none"/>
                <w:lang w:val="en-US" w:eastAsia="zh-CN" w:bidi="ar-SA"/>
              </w:rPr>
              <w:t>3号）的要求：“地表水环境区域环境质量现状引用与建设项目距离近的有效数据，包括近3年的规划环境影响评价的监测数据，所在流域控制单元内国家、地方控制断面监测数据，生态环境主管部门发布的水环境质量数据或地表水达标情况的结论”，本次评价选取福州市人民政府网站发布的水环境质量状</w:t>
            </w:r>
            <w:r>
              <w:rPr>
                <w:rFonts w:hint="eastAsia" w:cs="Times New Roman"/>
                <w:color w:val="auto"/>
                <w:kern w:val="2"/>
                <w:sz w:val="24"/>
                <w:szCs w:val="20"/>
                <w:highlight w:val="none"/>
                <w:lang w:val="en-US" w:eastAsia="zh-CN" w:bidi="ar-SA"/>
              </w:rPr>
              <w:t>况</w:t>
            </w:r>
            <w:r>
              <w:rPr>
                <w:rFonts w:hint="eastAsia" w:ascii="Times New Roman" w:hAnsi="Times New Roman" w:eastAsia="宋体" w:cs="Times New Roman"/>
                <w:color w:val="auto"/>
                <w:kern w:val="2"/>
                <w:sz w:val="24"/>
                <w:szCs w:val="20"/>
                <w:highlight w:val="none"/>
                <w:lang w:val="en-US" w:eastAsia="zh-CN" w:bidi="ar-SA"/>
              </w:rPr>
              <w:t>，符合</w:t>
            </w:r>
            <w:r>
              <w:rPr>
                <w:rFonts w:hint="eastAsia" w:cs="Times New Roman"/>
                <w:color w:val="auto"/>
                <w:kern w:val="2"/>
                <w:sz w:val="24"/>
                <w:szCs w:val="20"/>
                <w:highlight w:val="none"/>
                <w:lang w:val="en-US" w:eastAsia="zh-CN" w:bidi="ar-SA"/>
              </w:rPr>
              <w:t>《</w:t>
            </w:r>
            <w:r>
              <w:rPr>
                <w:rFonts w:hint="eastAsia" w:ascii="Times New Roman" w:hAnsi="Times New Roman" w:eastAsia="宋体" w:cs="Times New Roman"/>
                <w:color w:val="auto"/>
                <w:kern w:val="2"/>
                <w:sz w:val="24"/>
                <w:szCs w:val="20"/>
                <w:highlight w:val="none"/>
                <w:lang w:val="en-US" w:eastAsia="zh-CN" w:bidi="ar-SA"/>
              </w:rPr>
              <w:t>建设项目环境影响报告表编制技术指南（污染影响类）（试行）》（环办环评</w:t>
            </w:r>
            <w:r>
              <w:rPr>
                <w:rFonts w:hint="eastAsia"/>
                <w:color w:val="auto"/>
                <w:sz w:val="24"/>
                <w:szCs w:val="24"/>
                <w:highlight w:val="none"/>
              </w:rPr>
              <w:t>〔</w:t>
            </w:r>
            <w:r>
              <w:rPr>
                <w:color w:val="auto"/>
                <w:sz w:val="24"/>
                <w:szCs w:val="24"/>
                <w:highlight w:val="none"/>
              </w:rPr>
              <w:t>202</w:t>
            </w:r>
            <w:r>
              <w:rPr>
                <w:rFonts w:hint="eastAsia"/>
                <w:color w:val="auto"/>
                <w:sz w:val="24"/>
                <w:szCs w:val="24"/>
                <w:highlight w:val="none"/>
                <w:lang w:val="en-US" w:eastAsia="zh-CN"/>
              </w:rPr>
              <w:t>0</w:t>
            </w:r>
            <w:r>
              <w:rPr>
                <w:rFonts w:hint="eastAsia"/>
                <w:color w:val="auto"/>
                <w:sz w:val="24"/>
                <w:szCs w:val="24"/>
                <w:highlight w:val="none"/>
              </w:rPr>
              <w:t>〕</w:t>
            </w:r>
            <w:r>
              <w:rPr>
                <w:rFonts w:hint="eastAsia" w:ascii="Times New Roman" w:hAnsi="Times New Roman" w:eastAsia="宋体" w:cs="Times New Roman"/>
                <w:color w:val="auto"/>
                <w:kern w:val="2"/>
                <w:sz w:val="24"/>
                <w:szCs w:val="20"/>
                <w:highlight w:val="none"/>
                <w:lang w:val="en-US" w:eastAsia="zh-CN" w:bidi="ar-SA"/>
              </w:rPr>
              <w:t>33号）的要求。</w:t>
            </w:r>
          </w:p>
          <w:p w14:paraId="38AAEF60">
            <w:pPr>
              <w:pStyle w:val="4"/>
              <w:numPr>
                <w:ilvl w:val="2"/>
                <w:numId w:val="1"/>
              </w:numPr>
              <w:bidi w:val="0"/>
              <w:ind w:left="720" w:leftChars="0" w:hanging="720" w:firstLineChars="0"/>
              <w:rPr>
                <w:rFonts w:hint="eastAsia"/>
                <w:color w:val="auto"/>
                <w:highlight w:val="none"/>
                <w:lang w:val="en-US" w:eastAsia="zh-CN"/>
              </w:rPr>
            </w:pPr>
            <w:r>
              <w:rPr>
                <w:rFonts w:hint="eastAsia"/>
                <w:color w:val="auto"/>
                <w:highlight w:val="none"/>
                <w:lang w:val="en-US" w:eastAsia="zh-CN"/>
              </w:rPr>
              <w:t>大气环境质量现状</w:t>
            </w:r>
          </w:p>
          <w:p w14:paraId="2314E8A1">
            <w:pPr>
              <w:pStyle w:val="5"/>
              <w:bidi w:val="0"/>
              <w:rPr>
                <w:rFonts w:hint="default"/>
                <w:color w:val="auto"/>
                <w:highlight w:val="none"/>
              </w:rPr>
            </w:pPr>
            <w:r>
              <w:rPr>
                <w:rFonts w:hint="default"/>
                <w:color w:val="auto"/>
                <w:highlight w:val="none"/>
                <w:lang w:val="en-US" w:eastAsia="zh-CN"/>
              </w:rPr>
              <w:t>区域达标判断</w:t>
            </w:r>
          </w:p>
          <w:p w14:paraId="4C89A908">
            <w:pPr>
              <w:pStyle w:val="46"/>
              <w:keepNext w:val="0"/>
              <w:keepLines w:val="0"/>
              <w:pageBreakBefore w:val="0"/>
              <w:widowControl w:val="0"/>
              <w:kinsoku/>
              <w:wordWrap/>
              <w:overflowPunct/>
              <w:topLinePunct w:val="0"/>
              <w:autoSpaceDE w:val="0"/>
              <w:autoSpaceDN w:val="0"/>
              <w:bidi w:val="0"/>
              <w:adjustRightInd/>
              <w:snapToGrid/>
              <w:textAlignment w:val="auto"/>
              <w:rPr>
                <w:rFonts w:hint="eastAsia" w:ascii="Times New Roman" w:hAnsi="Times New Roman" w:eastAsia="宋体" w:cs="宋体"/>
                <w:color w:val="auto"/>
                <w:highlight w:val="none"/>
                <w:lang w:val="en-US" w:eastAsia="zh-CN"/>
              </w:rPr>
            </w:pPr>
            <w:r>
              <w:rPr>
                <w:rFonts w:hint="eastAsia" w:ascii="Times New Roman" w:hAnsi="Times New Roman" w:eastAsia="宋体" w:cs="宋体"/>
                <w:color w:val="auto"/>
                <w:highlight w:val="none"/>
                <w:lang w:val="en-US" w:eastAsia="zh-CN"/>
              </w:rPr>
              <w:t>根据福州市人民政府榕政综</w:t>
            </w:r>
            <w:r>
              <w:rPr>
                <w:rFonts w:hint="eastAsia" w:cs="宋体"/>
                <w:color w:val="auto"/>
                <w:highlight w:val="none"/>
                <w:lang w:val="en-US" w:eastAsia="zh-CN"/>
              </w:rPr>
              <w:t>〔2014〕30号</w:t>
            </w:r>
            <w:r>
              <w:rPr>
                <w:rFonts w:hint="eastAsia" w:ascii="Times New Roman" w:hAnsi="Times New Roman" w:eastAsia="宋体" w:cs="宋体"/>
                <w:color w:val="auto"/>
                <w:highlight w:val="none"/>
                <w:lang w:val="en-US" w:eastAsia="zh-CN"/>
              </w:rPr>
              <w:t>文件正式批准实施《福州市环境空气质量功能区划</w:t>
            </w:r>
            <w:r>
              <w:rPr>
                <w:rFonts w:hint="eastAsia" w:cs="宋体"/>
                <w:color w:val="auto"/>
                <w:highlight w:val="none"/>
                <w:lang w:val="en-US" w:eastAsia="zh-CN"/>
              </w:rPr>
              <w:t>（</w:t>
            </w:r>
            <w:r>
              <w:rPr>
                <w:rFonts w:hint="eastAsia" w:ascii="Times New Roman" w:hAnsi="Times New Roman" w:eastAsia="宋体" w:cs="宋体"/>
                <w:color w:val="auto"/>
                <w:highlight w:val="none"/>
                <w:lang w:val="en-US" w:eastAsia="zh-CN"/>
              </w:rPr>
              <w:t>报批稿</w:t>
            </w:r>
            <w:r>
              <w:rPr>
                <w:rFonts w:hint="eastAsia" w:cs="宋体"/>
                <w:color w:val="auto"/>
                <w:highlight w:val="none"/>
                <w:lang w:val="en-US" w:eastAsia="zh-CN"/>
              </w:rPr>
              <w:t>）</w:t>
            </w:r>
            <w:r>
              <w:rPr>
                <w:rFonts w:hint="eastAsia" w:ascii="Times New Roman" w:hAnsi="Times New Roman" w:eastAsia="宋体" w:cs="宋体"/>
                <w:color w:val="auto"/>
                <w:highlight w:val="none"/>
                <w:lang w:val="en-US" w:eastAsia="zh-CN"/>
              </w:rPr>
              <w:t>》的规定，项目所在区域环境空气功能规划为二类区，环境空气质量执行《环境空气质量标准》</w:t>
            </w:r>
            <w:r>
              <w:rPr>
                <w:rFonts w:hint="eastAsia" w:cs="宋体"/>
                <w:color w:val="auto"/>
                <w:highlight w:val="none"/>
                <w:lang w:val="en-US" w:eastAsia="zh-CN"/>
              </w:rPr>
              <w:t>（</w:t>
            </w:r>
            <w:r>
              <w:rPr>
                <w:rFonts w:hint="eastAsia" w:ascii="Times New Roman" w:hAnsi="Times New Roman" w:eastAsia="宋体" w:cs="宋体"/>
                <w:color w:val="auto"/>
                <w:highlight w:val="none"/>
                <w:lang w:val="en-US" w:eastAsia="zh-CN"/>
              </w:rPr>
              <w:t>GB3095-20</w:t>
            </w:r>
            <w:r>
              <w:rPr>
                <w:rFonts w:hint="eastAsia" w:cs="宋体"/>
                <w:color w:val="auto"/>
                <w:highlight w:val="none"/>
                <w:lang w:val="en-US" w:eastAsia="zh-CN"/>
              </w:rPr>
              <w:t>26）</w:t>
            </w:r>
            <w:r>
              <w:rPr>
                <w:rFonts w:hint="eastAsia" w:ascii="Times New Roman" w:hAnsi="Times New Roman" w:eastAsia="宋体" w:cs="宋体"/>
                <w:color w:val="auto"/>
                <w:highlight w:val="none"/>
                <w:lang w:val="en-US" w:eastAsia="zh-CN"/>
              </w:rPr>
              <w:t>中的二级标准</w:t>
            </w:r>
            <w:r>
              <w:rPr>
                <w:rFonts w:hint="eastAsia" w:cs="宋体"/>
                <w:color w:val="auto"/>
                <w:highlight w:val="none"/>
                <w:lang w:val="en-US" w:eastAsia="zh-CN"/>
              </w:rPr>
              <w:t>（过渡阶段浓度限值），</w:t>
            </w:r>
            <w:r>
              <w:rPr>
                <w:rFonts w:hint="eastAsia" w:ascii="Times New Roman" w:hAnsi="Times New Roman" w:eastAsia="宋体" w:cs="宋体"/>
                <w:color w:val="auto"/>
                <w:highlight w:val="none"/>
                <w:lang w:val="en-US" w:eastAsia="zh-CN"/>
              </w:rPr>
              <w:t>具体详见表3.1-2。</w:t>
            </w:r>
          </w:p>
          <w:p w14:paraId="5EF2CE0B">
            <w:pPr>
              <w:pStyle w:val="44"/>
              <w:keepNext/>
              <w:keepLines/>
              <w:pageBreakBefore w:val="0"/>
              <w:widowControl w:val="0"/>
              <w:numPr>
                <w:ilvl w:val="7"/>
                <w:numId w:val="10"/>
              </w:numPr>
              <w:tabs>
                <w:tab w:val="left" w:pos="0"/>
              </w:tabs>
              <w:kinsoku/>
              <w:wordWrap/>
              <w:overflowPunct/>
              <w:topLinePunct w:val="0"/>
              <w:autoSpaceDE/>
              <w:autoSpaceDN/>
              <w:bidi w:val="0"/>
              <w:adjustRightInd/>
              <w:snapToGrid/>
              <w:spacing w:before="0" w:after="0"/>
              <w:ind w:left="630" w:leftChars="0" w:firstLineChars="0"/>
              <w:textAlignment w:val="auto"/>
              <w:rPr>
                <w:rFonts w:hint="default" w:ascii="Times New Roman" w:hAnsi="Times New Roman" w:eastAsia="宋体"/>
                <w:color w:val="auto"/>
                <w:highlight w:val="none"/>
              </w:rPr>
            </w:pPr>
            <w:r>
              <w:rPr>
                <w:rFonts w:hint="eastAsia" w:ascii="Times New Roman" w:hAnsi="Times New Roman" w:eastAsia="宋体"/>
                <w:color w:val="auto"/>
                <w:highlight w:val="none"/>
              </w:rPr>
              <w:t>环境空气标准一览表</w:t>
            </w:r>
          </w:p>
          <w:tbl>
            <w:tblPr>
              <w:tblStyle w:val="35"/>
              <w:tblW w:w="4994"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682"/>
              <w:gridCol w:w="2418"/>
              <w:gridCol w:w="1927"/>
              <w:gridCol w:w="2611"/>
            </w:tblGrid>
            <w:tr w14:paraId="1794A9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7" w:hRule="atLeast"/>
              </w:trPr>
              <w:tc>
                <w:tcPr>
                  <w:tcW w:w="973" w:type="pct"/>
                  <w:tcBorders>
                    <w:bottom w:val="single" w:color="000000" w:sz="12" w:space="0"/>
                  </w:tcBorders>
                  <w:vAlign w:val="center"/>
                </w:tcPr>
                <w:p w14:paraId="2953A59C">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jc w:val="center"/>
                    <w:textAlignment w:val="auto"/>
                    <w:rPr>
                      <w:rFonts w:hint="default" w:ascii="Times New Roman" w:hAnsi="Times New Roman" w:eastAsia="宋体"/>
                      <w:color w:val="auto"/>
                      <w:vertAlign w:val="baseline"/>
                    </w:rPr>
                  </w:pPr>
                  <w:r>
                    <w:rPr>
                      <w:rFonts w:ascii="Times New Roman" w:hAnsi="Times New Roman" w:eastAsia="宋体"/>
                      <w:color w:val="auto"/>
                      <w:spacing w:val="-4"/>
                      <w:sz w:val="21"/>
                    </w:rPr>
                    <w:t>污染物名称</w:t>
                  </w:r>
                </w:p>
              </w:tc>
              <w:tc>
                <w:tcPr>
                  <w:tcW w:w="1399" w:type="pct"/>
                  <w:tcBorders>
                    <w:bottom w:val="single" w:color="000000" w:sz="12" w:space="0"/>
                  </w:tcBorders>
                  <w:vAlign w:val="center"/>
                </w:tcPr>
                <w:p w14:paraId="741D5900">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jc w:val="center"/>
                    <w:textAlignment w:val="auto"/>
                    <w:rPr>
                      <w:rFonts w:hint="default" w:ascii="Times New Roman" w:hAnsi="Times New Roman" w:eastAsia="宋体"/>
                      <w:color w:val="auto"/>
                      <w:vertAlign w:val="baseline"/>
                    </w:rPr>
                  </w:pPr>
                  <w:r>
                    <w:rPr>
                      <w:rFonts w:ascii="Times New Roman" w:hAnsi="Times New Roman" w:eastAsia="宋体"/>
                      <w:color w:val="auto"/>
                      <w:spacing w:val="-7"/>
                      <w:sz w:val="21"/>
                    </w:rPr>
                    <w:t>取值时间</w:t>
                  </w:r>
                </w:p>
              </w:tc>
              <w:tc>
                <w:tcPr>
                  <w:tcW w:w="1115" w:type="pct"/>
                  <w:tcBorders>
                    <w:bottom w:val="single" w:color="000000" w:sz="12" w:space="0"/>
                  </w:tcBorders>
                  <w:vAlign w:val="center"/>
                </w:tcPr>
                <w:p w14:paraId="57D46F4B">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jc w:val="center"/>
                    <w:textAlignment w:val="auto"/>
                    <w:rPr>
                      <w:rFonts w:hint="default" w:ascii="Times New Roman" w:hAnsi="Times New Roman" w:eastAsia="宋体"/>
                      <w:color w:val="auto"/>
                      <w:vertAlign w:val="baseline"/>
                    </w:rPr>
                  </w:pPr>
                  <w:r>
                    <w:rPr>
                      <w:rFonts w:ascii="Times New Roman" w:hAnsi="Times New Roman" w:eastAsia="宋体"/>
                      <w:color w:val="auto"/>
                      <w:spacing w:val="-7"/>
                      <w:sz w:val="21"/>
                    </w:rPr>
                    <w:t>浓度限值</w:t>
                  </w:r>
                </w:p>
              </w:tc>
              <w:tc>
                <w:tcPr>
                  <w:tcW w:w="1511" w:type="pct"/>
                  <w:tcBorders>
                    <w:bottom w:val="single" w:color="000000" w:sz="12" w:space="0"/>
                  </w:tcBorders>
                  <w:vAlign w:val="center"/>
                </w:tcPr>
                <w:p w14:paraId="019D9981">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firstLine="0"/>
                    <w:textAlignment w:val="auto"/>
                    <w:rPr>
                      <w:rFonts w:hint="default" w:ascii="Times New Roman" w:hAnsi="Times New Roman" w:eastAsia="宋体"/>
                      <w:color w:val="auto"/>
                      <w:vertAlign w:val="baseline"/>
                    </w:rPr>
                  </w:pPr>
                  <w:r>
                    <w:rPr>
                      <w:rFonts w:ascii="Times New Roman" w:hAnsi="Times New Roman" w:eastAsia="宋体"/>
                      <w:color w:val="auto"/>
                      <w:spacing w:val="-7"/>
                      <w:sz w:val="21"/>
                    </w:rPr>
                    <w:t>标准来源</w:t>
                  </w:r>
                </w:p>
              </w:tc>
            </w:tr>
            <w:tr w14:paraId="602C27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7" w:hRule="atLeast"/>
              </w:trPr>
              <w:tc>
                <w:tcPr>
                  <w:tcW w:w="973" w:type="pct"/>
                  <w:vMerge w:val="restart"/>
                  <w:tcBorders>
                    <w:top w:val="single" w:color="000000" w:sz="12" w:space="0"/>
                    <w:tl2br w:val="nil"/>
                    <w:tr2bl w:val="nil"/>
                  </w:tcBorders>
                  <w:vAlign w:val="center"/>
                </w:tcPr>
                <w:p w14:paraId="47A8B053">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jc w:val="center"/>
                    <w:textAlignment w:val="auto"/>
                    <w:rPr>
                      <w:rFonts w:hint="default" w:ascii="Times New Roman" w:hAnsi="Times New Roman" w:eastAsia="宋体"/>
                      <w:color w:val="auto"/>
                      <w:vertAlign w:val="baseline"/>
                    </w:rPr>
                  </w:pPr>
                  <w:r>
                    <w:rPr>
                      <w:rFonts w:ascii="Times New Roman" w:hAnsi="Times New Roman" w:eastAsia="宋体"/>
                      <w:color w:val="auto"/>
                      <w:spacing w:val="-4"/>
                      <w:position w:val="2"/>
                      <w:sz w:val="21"/>
                    </w:rPr>
                    <w:t>PM</w:t>
                  </w:r>
                  <w:r>
                    <w:rPr>
                      <w:rFonts w:ascii="Times New Roman" w:hAnsi="Times New Roman" w:eastAsia="宋体"/>
                      <w:color w:val="auto"/>
                      <w:spacing w:val="-4"/>
                      <w:sz w:val="13"/>
                    </w:rPr>
                    <w:t>10</w:t>
                  </w:r>
                </w:p>
              </w:tc>
              <w:tc>
                <w:tcPr>
                  <w:tcW w:w="1399" w:type="pct"/>
                  <w:tcBorders>
                    <w:top w:val="single" w:color="000000" w:sz="12" w:space="0"/>
                    <w:tl2br w:val="nil"/>
                    <w:tr2bl w:val="nil"/>
                  </w:tcBorders>
                  <w:vAlign w:val="center"/>
                </w:tcPr>
                <w:p w14:paraId="30EA0E91">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olor w:val="auto"/>
                      <w:vertAlign w:val="baseline"/>
                    </w:rPr>
                  </w:pPr>
                  <w:r>
                    <w:rPr>
                      <w:rFonts w:ascii="Times New Roman" w:hAnsi="Times New Roman" w:eastAsia="宋体"/>
                      <w:color w:val="auto"/>
                      <w:spacing w:val="-5"/>
                      <w:sz w:val="21"/>
                    </w:rPr>
                    <w:t>年平均</w:t>
                  </w:r>
                </w:p>
              </w:tc>
              <w:tc>
                <w:tcPr>
                  <w:tcW w:w="1115" w:type="pct"/>
                  <w:tcBorders>
                    <w:top w:val="single" w:color="000000" w:sz="12" w:space="0"/>
                    <w:tl2br w:val="nil"/>
                    <w:tr2bl w:val="nil"/>
                  </w:tcBorders>
                  <w:vAlign w:val="center"/>
                </w:tcPr>
                <w:p w14:paraId="6C81FA60">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olor w:val="auto"/>
                      <w:vertAlign w:val="baseline"/>
                    </w:rPr>
                  </w:pPr>
                  <w:r>
                    <w:rPr>
                      <w:rFonts w:hint="eastAsia" w:ascii="Times New Roman" w:hAnsi="Times New Roman"/>
                      <w:color w:val="auto"/>
                      <w:spacing w:val="-2"/>
                      <w:sz w:val="21"/>
                      <w:lang w:val="en-US" w:eastAsia="zh-CN"/>
                    </w:rPr>
                    <w:t>6</w:t>
                  </w:r>
                  <w:r>
                    <w:rPr>
                      <w:rFonts w:ascii="Times New Roman" w:hAnsi="Times New Roman" w:eastAsia="宋体"/>
                      <w:color w:val="auto"/>
                      <w:spacing w:val="-2"/>
                      <w:sz w:val="21"/>
                    </w:rPr>
                    <w:t>0μg/m</w:t>
                  </w:r>
                  <w:r>
                    <w:rPr>
                      <w:rFonts w:ascii="Times New Roman" w:hAnsi="Times New Roman" w:eastAsia="宋体"/>
                      <w:color w:val="auto"/>
                      <w:spacing w:val="-2"/>
                      <w:sz w:val="21"/>
                      <w:vertAlign w:val="superscript"/>
                    </w:rPr>
                    <w:t>3</w:t>
                  </w:r>
                </w:p>
              </w:tc>
              <w:tc>
                <w:tcPr>
                  <w:tcW w:w="1511" w:type="pct"/>
                  <w:vMerge w:val="restart"/>
                  <w:tcBorders>
                    <w:top w:val="single" w:color="000000" w:sz="12" w:space="0"/>
                    <w:tl2br w:val="nil"/>
                    <w:tr2bl w:val="nil"/>
                  </w:tcBorders>
                  <w:vAlign w:val="center"/>
                </w:tcPr>
                <w:p w14:paraId="3418B397">
                  <w:pPr>
                    <w:pStyle w:val="9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rPr>
                  </w:pPr>
                  <w:r>
                    <w:rPr>
                      <w:rFonts w:ascii="Times New Roman" w:hAnsi="Times New Roman" w:eastAsia="宋体"/>
                      <w:color w:val="auto"/>
                      <w:spacing w:val="-3"/>
                      <w:sz w:val="21"/>
                    </w:rPr>
                    <w:t>《环境空气质量标准》</w:t>
                  </w:r>
                </w:p>
                <w:p w14:paraId="50BA546E">
                  <w:pPr>
                    <w:pStyle w:val="9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olor w:val="auto"/>
                      <w:vertAlign w:val="baseline"/>
                      <w:lang w:val="en-US" w:eastAsia="zh-CN"/>
                    </w:rPr>
                  </w:pPr>
                  <w:r>
                    <w:rPr>
                      <w:rFonts w:hint="eastAsia" w:ascii="Times New Roman" w:hAnsi="Times New Roman"/>
                      <w:color w:val="auto"/>
                      <w:spacing w:val="-2"/>
                      <w:sz w:val="21"/>
                      <w:lang w:eastAsia="zh-CN"/>
                    </w:rPr>
                    <w:t>（</w:t>
                  </w:r>
                  <w:r>
                    <w:rPr>
                      <w:rFonts w:ascii="Times New Roman" w:hAnsi="Times New Roman" w:eastAsia="宋体"/>
                      <w:color w:val="auto"/>
                      <w:spacing w:val="-2"/>
                      <w:sz w:val="21"/>
                    </w:rPr>
                    <w:t>GB3095-20</w:t>
                  </w:r>
                  <w:r>
                    <w:rPr>
                      <w:rFonts w:hint="eastAsia" w:ascii="Times New Roman" w:hAnsi="Times New Roman"/>
                      <w:color w:val="auto"/>
                      <w:spacing w:val="-2"/>
                      <w:sz w:val="21"/>
                      <w:lang w:val="en-US" w:eastAsia="zh-CN"/>
                    </w:rPr>
                    <w:t>26</w:t>
                  </w:r>
                  <w:r>
                    <w:rPr>
                      <w:rFonts w:hint="eastAsia" w:ascii="Times New Roman" w:hAnsi="Times New Roman"/>
                      <w:color w:val="auto"/>
                      <w:spacing w:val="-2"/>
                      <w:sz w:val="21"/>
                      <w:lang w:eastAsia="zh-CN"/>
                    </w:rPr>
                    <w:t>）</w:t>
                  </w:r>
                  <w:r>
                    <w:rPr>
                      <w:rFonts w:ascii="Times New Roman" w:hAnsi="Times New Roman" w:eastAsia="宋体"/>
                      <w:color w:val="auto"/>
                      <w:spacing w:val="-4"/>
                      <w:sz w:val="21"/>
                    </w:rPr>
                    <w:t>中的二级标准</w:t>
                  </w:r>
                  <w:r>
                    <w:rPr>
                      <w:rFonts w:hint="eastAsia" w:ascii="Times New Roman" w:hAnsi="Times New Roman"/>
                      <w:color w:val="auto"/>
                      <w:spacing w:val="-4"/>
                      <w:sz w:val="21"/>
                      <w:lang w:eastAsia="zh-CN"/>
                    </w:rPr>
                    <w:t>（</w:t>
                  </w:r>
                  <w:r>
                    <w:rPr>
                      <w:rFonts w:hint="eastAsia" w:ascii="Times New Roman" w:hAnsi="Times New Roman"/>
                      <w:color w:val="auto"/>
                      <w:spacing w:val="-4"/>
                      <w:sz w:val="21"/>
                      <w:lang w:val="en-US" w:eastAsia="zh-CN"/>
                    </w:rPr>
                    <w:t>过渡阶段浓度限值）</w:t>
                  </w:r>
                </w:p>
              </w:tc>
            </w:tr>
            <w:tr w14:paraId="7441F5A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7" w:hRule="atLeast"/>
              </w:trPr>
              <w:tc>
                <w:tcPr>
                  <w:tcW w:w="973" w:type="pct"/>
                  <w:vMerge w:val="continue"/>
                  <w:tcBorders>
                    <w:tl2br w:val="nil"/>
                    <w:tr2bl w:val="nil"/>
                  </w:tcBorders>
                  <w:vAlign w:val="center"/>
                </w:tcPr>
                <w:p w14:paraId="2B1AEAE4">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olor w:val="auto"/>
                      <w:vertAlign w:val="baseline"/>
                    </w:rPr>
                  </w:pPr>
                </w:p>
              </w:tc>
              <w:tc>
                <w:tcPr>
                  <w:tcW w:w="1399" w:type="pct"/>
                  <w:tcBorders>
                    <w:tl2br w:val="nil"/>
                    <w:tr2bl w:val="nil"/>
                  </w:tcBorders>
                  <w:vAlign w:val="center"/>
                </w:tcPr>
                <w:p w14:paraId="5EDDF70F">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jc w:val="center"/>
                    <w:textAlignment w:val="auto"/>
                    <w:rPr>
                      <w:rFonts w:hint="default" w:ascii="Times New Roman" w:hAnsi="Times New Roman" w:eastAsia="宋体"/>
                      <w:color w:val="auto"/>
                      <w:vertAlign w:val="baseline"/>
                    </w:rPr>
                  </w:pPr>
                  <w:r>
                    <w:rPr>
                      <w:rFonts w:ascii="Times New Roman" w:hAnsi="Times New Roman" w:eastAsia="宋体"/>
                      <w:color w:val="auto"/>
                      <w:sz w:val="21"/>
                    </w:rPr>
                    <w:t>24</w:t>
                  </w:r>
                  <w:r>
                    <w:rPr>
                      <w:rFonts w:ascii="Times New Roman" w:hAnsi="Times New Roman" w:eastAsia="宋体"/>
                      <w:color w:val="auto"/>
                      <w:spacing w:val="-3"/>
                      <w:sz w:val="21"/>
                    </w:rPr>
                    <w:t>小时平均</w:t>
                  </w:r>
                </w:p>
              </w:tc>
              <w:tc>
                <w:tcPr>
                  <w:tcW w:w="1115" w:type="pct"/>
                  <w:tcBorders>
                    <w:tl2br w:val="nil"/>
                    <w:tr2bl w:val="nil"/>
                  </w:tcBorders>
                  <w:vAlign w:val="center"/>
                </w:tcPr>
                <w:p w14:paraId="7429595A">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olor w:val="auto"/>
                      <w:vertAlign w:val="baseline"/>
                    </w:rPr>
                  </w:pPr>
                  <w:r>
                    <w:rPr>
                      <w:rFonts w:ascii="Times New Roman" w:hAnsi="Times New Roman" w:eastAsia="宋体"/>
                      <w:color w:val="auto"/>
                      <w:spacing w:val="-2"/>
                      <w:sz w:val="21"/>
                    </w:rPr>
                    <w:t>1</w:t>
                  </w:r>
                  <w:r>
                    <w:rPr>
                      <w:rFonts w:hint="eastAsia" w:ascii="Times New Roman" w:hAnsi="Times New Roman"/>
                      <w:color w:val="auto"/>
                      <w:spacing w:val="-2"/>
                      <w:sz w:val="21"/>
                      <w:lang w:val="en-US" w:eastAsia="zh-CN"/>
                    </w:rPr>
                    <w:t>2</w:t>
                  </w:r>
                  <w:r>
                    <w:rPr>
                      <w:rFonts w:ascii="Times New Roman" w:hAnsi="Times New Roman" w:eastAsia="宋体"/>
                      <w:color w:val="auto"/>
                      <w:spacing w:val="-2"/>
                      <w:sz w:val="21"/>
                    </w:rPr>
                    <w:t>0μg/m</w:t>
                  </w:r>
                  <w:r>
                    <w:rPr>
                      <w:rFonts w:ascii="Times New Roman" w:hAnsi="Times New Roman" w:eastAsia="宋体"/>
                      <w:color w:val="auto"/>
                      <w:spacing w:val="-2"/>
                      <w:sz w:val="21"/>
                      <w:vertAlign w:val="superscript"/>
                    </w:rPr>
                    <w:t>3</w:t>
                  </w:r>
                </w:p>
              </w:tc>
              <w:tc>
                <w:tcPr>
                  <w:tcW w:w="1511" w:type="pct"/>
                  <w:vMerge w:val="continue"/>
                  <w:tcBorders>
                    <w:tl2br w:val="nil"/>
                    <w:tr2bl w:val="nil"/>
                  </w:tcBorders>
                  <w:vAlign w:val="center"/>
                </w:tcPr>
                <w:p w14:paraId="4B95C812">
                  <w:pPr>
                    <w:pStyle w:val="48"/>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olor w:val="auto"/>
                      <w:vertAlign w:val="baseline"/>
                    </w:rPr>
                  </w:pPr>
                </w:p>
              </w:tc>
            </w:tr>
            <w:tr w14:paraId="6FF944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7" w:hRule="atLeast"/>
              </w:trPr>
              <w:tc>
                <w:tcPr>
                  <w:tcW w:w="973" w:type="pct"/>
                  <w:vMerge w:val="restart"/>
                  <w:tcBorders>
                    <w:tl2br w:val="nil"/>
                    <w:tr2bl w:val="nil"/>
                  </w:tcBorders>
                  <w:vAlign w:val="center"/>
                </w:tcPr>
                <w:p w14:paraId="3F4BCD55">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firstLine="0"/>
                    <w:textAlignment w:val="auto"/>
                    <w:rPr>
                      <w:rFonts w:hint="default" w:ascii="Times New Roman" w:hAnsi="Times New Roman" w:eastAsia="宋体"/>
                      <w:color w:val="auto"/>
                      <w:vertAlign w:val="baseline"/>
                    </w:rPr>
                  </w:pPr>
                  <w:r>
                    <w:rPr>
                      <w:rFonts w:ascii="Times New Roman" w:hAnsi="Times New Roman" w:eastAsia="宋体"/>
                      <w:color w:val="auto"/>
                      <w:spacing w:val="-2"/>
                      <w:w w:val="105"/>
                      <w:position w:val="2"/>
                      <w:sz w:val="21"/>
                    </w:rPr>
                    <w:t>PM</w:t>
                  </w:r>
                  <w:r>
                    <w:rPr>
                      <w:rFonts w:ascii="Times New Roman" w:hAnsi="Times New Roman" w:eastAsia="宋体"/>
                      <w:color w:val="auto"/>
                      <w:spacing w:val="-2"/>
                      <w:w w:val="105"/>
                      <w:sz w:val="13"/>
                    </w:rPr>
                    <w:t>2.5</w:t>
                  </w:r>
                </w:p>
              </w:tc>
              <w:tc>
                <w:tcPr>
                  <w:tcW w:w="1399" w:type="pct"/>
                  <w:tcBorders>
                    <w:tl2br w:val="nil"/>
                    <w:tr2bl w:val="nil"/>
                  </w:tcBorders>
                  <w:vAlign w:val="center"/>
                </w:tcPr>
                <w:p w14:paraId="57B51C0B">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olor w:val="auto"/>
                      <w:vertAlign w:val="baseline"/>
                    </w:rPr>
                  </w:pPr>
                  <w:r>
                    <w:rPr>
                      <w:rFonts w:ascii="Times New Roman" w:hAnsi="Times New Roman" w:eastAsia="宋体"/>
                      <w:color w:val="auto"/>
                      <w:spacing w:val="-5"/>
                      <w:sz w:val="21"/>
                    </w:rPr>
                    <w:t>年平均</w:t>
                  </w:r>
                </w:p>
              </w:tc>
              <w:tc>
                <w:tcPr>
                  <w:tcW w:w="1115" w:type="pct"/>
                  <w:tcBorders>
                    <w:tl2br w:val="nil"/>
                    <w:tr2bl w:val="nil"/>
                  </w:tcBorders>
                  <w:vAlign w:val="center"/>
                </w:tcPr>
                <w:p w14:paraId="3E8DB67B">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olor w:val="auto"/>
                      <w:vertAlign w:val="baseline"/>
                    </w:rPr>
                  </w:pPr>
                  <w:r>
                    <w:rPr>
                      <w:rFonts w:ascii="Times New Roman" w:hAnsi="Times New Roman" w:eastAsia="宋体"/>
                      <w:color w:val="auto"/>
                      <w:spacing w:val="-2"/>
                      <w:sz w:val="21"/>
                    </w:rPr>
                    <w:t>3</w:t>
                  </w:r>
                  <w:r>
                    <w:rPr>
                      <w:rFonts w:hint="eastAsia" w:ascii="Times New Roman" w:hAnsi="Times New Roman"/>
                      <w:color w:val="auto"/>
                      <w:spacing w:val="-2"/>
                      <w:sz w:val="21"/>
                      <w:lang w:val="en-US" w:eastAsia="zh-CN"/>
                    </w:rPr>
                    <w:t>0</w:t>
                  </w:r>
                  <w:r>
                    <w:rPr>
                      <w:rFonts w:ascii="Times New Roman" w:hAnsi="Times New Roman" w:eastAsia="宋体"/>
                      <w:color w:val="auto"/>
                      <w:spacing w:val="-2"/>
                      <w:sz w:val="21"/>
                    </w:rPr>
                    <w:t>μg/m</w:t>
                  </w:r>
                  <w:r>
                    <w:rPr>
                      <w:rFonts w:ascii="Times New Roman" w:hAnsi="Times New Roman" w:eastAsia="宋体"/>
                      <w:color w:val="auto"/>
                      <w:spacing w:val="-2"/>
                      <w:position w:val="7"/>
                      <w:sz w:val="13"/>
                    </w:rPr>
                    <w:t>3</w:t>
                  </w:r>
                </w:p>
              </w:tc>
              <w:tc>
                <w:tcPr>
                  <w:tcW w:w="1511" w:type="pct"/>
                  <w:vMerge w:val="continue"/>
                  <w:tcBorders>
                    <w:tl2br w:val="nil"/>
                    <w:tr2bl w:val="nil"/>
                  </w:tcBorders>
                  <w:vAlign w:val="center"/>
                </w:tcPr>
                <w:p w14:paraId="53ED5106">
                  <w:pPr>
                    <w:pStyle w:val="48"/>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olor w:val="auto"/>
                      <w:vertAlign w:val="baseline"/>
                    </w:rPr>
                  </w:pPr>
                </w:p>
              </w:tc>
            </w:tr>
            <w:tr w14:paraId="6BD6DAC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7" w:hRule="atLeast"/>
              </w:trPr>
              <w:tc>
                <w:tcPr>
                  <w:tcW w:w="973" w:type="pct"/>
                  <w:vMerge w:val="continue"/>
                  <w:tcBorders>
                    <w:tl2br w:val="nil"/>
                    <w:tr2bl w:val="nil"/>
                  </w:tcBorders>
                  <w:vAlign w:val="center"/>
                </w:tcPr>
                <w:p w14:paraId="3BBCFD8E">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olor w:val="auto"/>
                      <w:vertAlign w:val="baseline"/>
                    </w:rPr>
                  </w:pPr>
                </w:p>
              </w:tc>
              <w:tc>
                <w:tcPr>
                  <w:tcW w:w="1399" w:type="pct"/>
                  <w:tcBorders>
                    <w:tl2br w:val="nil"/>
                    <w:tr2bl w:val="nil"/>
                  </w:tcBorders>
                  <w:vAlign w:val="center"/>
                </w:tcPr>
                <w:p w14:paraId="566532A2">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jc w:val="center"/>
                    <w:textAlignment w:val="auto"/>
                    <w:rPr>
                      <w:rFonts w:hint="default" w:ascii="Times New Roman" w:hAnsi="Times New Roman" w:eastAsia="宋体"/>
                      <w:color w:val="auto"/>
                      <w:vertAlign w:val="baseline"/>
                    </w:rPr>
                  </w:pPr>
                  <w:r>
                    <w:rPr>
                      <w:rFonts w:ascii="Times New Roman" w:hAnsi="Times New Roman" w:eastAsia="宋体"/>
                      <w:color w:val="auto"/>
                      <w:sz w:val="21"/>
                    </w:rPr>
                    <w:t>24</w:t>
                  </w:r>
                  <w:r>
                    <w:rPr>
                      <w:rFonts w:ascii="Times New Roman" w:hAnsi="Times New Roman" w:eastAsia="宋体"/>
                      <w:color w:val="auto"/>
                      <w:spacing w:val="-3"/>
                      <w:sz w:val="21"/>
                    </w:rPr>
                    <w:t>小时平均</w:t>
                  </w:r>
                </w:p>
              </w:tc>
              <w:tc>
                <w:tcPr>
                  <w:tcW w:w="1115" w:type="pct"/>
                  <w:tcBorders>
                    <w:tl2br w:val="nil"/>
                    <w:tr2bl w:val="nil"/>
                  </w:tcBorders>
                  <w:vAlign w:val="center"/>
                </w:tcPr>
                <w:p w14:paraId="66395B44">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olor w:val="auto"/>
                      <w:vertAlign w:val="baseline"/>
                    </w:rPr>
                  </w:pPr>
                  <w:r>
                    <w:rPr>
                      <w:rFonts w:hint="eastAsia" w:ascii="Times New Roman" w:hAnsi="Times New Roman"/>
                      <w:color w:val="auto"/>
                      <w:spacing w:val="-2"/>
                      <w:sz w:val="21"/>
                      <w:lang w:val="en-US" w:eastAsia="zh-CN"/>
                    </w:rPr>
                    <w:t>60</w:t>
                  </w:r>
                  <w:r>
                    <w:rPr>
                      <w:rFonts w:ascii="Times New Roman" w:hAnsi="Times New Roman" w:eastAsia="宋体"/>
                      <w:color w:val="auto"/>
                      <w:spacing w:val="-2"/>
                      <w:sz w:val="21"/>
                    </w:rPr>
                    <w:t>μg/m</w:t>
                  </w:r>
                  <w:r>
                    <w:rPr>
                      <w:rFonts w:ascii="Times New Roman" w:hAnsi="Times New Roman" w:eastAsia="宋体"/>
                      <w:color w:val="auto"/>
                      <w:spacing w:val="-2"/>
                      <w:sz w:val="21"/>
                      <w:vertAlign w:val="superscript"/>
                    </w:rPr>
                    <w:t>3</w:t>
                  </w:r>
                </w:p>
              </w:tc>
              <w:tc>
                <w:tcPr>
                  <w:tcW w:w="1511" w:type="pct"/>
                  <w:vMerge w:val="continue"/>
                  <w:tcBorders>
                    <w:tl2br w:val="nil"/>
                    <w:tr2bl w:val="nil"/>
                  </w:tcBorders>
                  <w:vAlign w:val="center"/>
                </w:tcPr>
                <w:p w14:paraId="484C815B">
                  <w:pPr>
                    <w:pStyle w:val="48"/>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olor w:val="auto"/>
                      <w:vertAlign w:val="baseline"/>
                    </w:rPr>
                  </w:pPr>
                </w:p>
              </w:tc>
            </w:tr>
            <w:tr w14:paraId="72E39B9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7" w:hRule="atLeast"/>
              </w:trPr>
              <w:tc>
                <w:tcPr>
                  <w:tcW w:w="973" w:type="pct"/>
                  <w:vMerge w:val="restart"/>
                  <w:tcBorders>
                    <w:tl2br w:val="nil"/>
                    <w:tr2bl w:val="nil"/>
                  </w:tcBorders>
                  <w:vAlign w:val="center"/>
                </w:tcPr>
                <w:p w14:paraId="52105256">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olor w:val="auto"/>
                      <w:vertAlign w:val="baseline"/>
                    </w:rPr>
                  </w:pPr>
                  <w:r>
                    <w:rPr>
                      <w:rFonts w:ascii="Times New Roman" w:hAnsi="Times New Roman" w:eastAsia="宋体"/>
                      <w:color w:val="auto"/>
                      <w:spacing w:val="-5"/>
                      <w:position w:val="2"/>
                      <w:sz w:val="21"/>
                    </w:rPr>
                    <w:t>SO</w:t>
                  </w:r>
                  <w:r>
                    <w:rPr>
                      <w:rFonts w:ascii="Times New Roman" w:hAnsi="Times New Roman" w:eastAsia="宋体"/>
                      <w:color w:val="auto"/>
                      <w:spacing w:val="-5"/>
                      <w:sz w:val="13"/>
                    </w:rPr>
                    <w:t>2</w:t>
                  </w:r>
                </w:p>
              </w:tc>
              <w:tc>
                <w:tcPr>
                  <w:tcW w:w="1399" w:type="pct"/>
                  <w:tcBorders>
                    <w:tl2br w:val="nil"/>
                    <w:tr2bl w:val="nil"/>
                  </w:tcBorders>
                  <w:vAlign w:val="center"/>
                </w:tcPr>
                <w:p w14:paraId="3A7EE02C">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olor w:val="auto"/>
                      <w:vertAlign w:val="baseline"/>
                    </w:rPr>
                  </w:pPr>
                  <w:r>
                    <w:rPr>
                      <w:rFonts w:ascii="Times New Roman" w:hAnsi="Times New Roman" w:eastAsia="宋体"/>
                      <w:color w:val="auto"/>
                      <w:spacing w:val="-5"/>
                      <w:sz w:val="21"/>
                    </w:rPr>
                    <w:t>年平均</w:t>
                  </w:r>
                </w:p>
              </w:tc>
              <w:tc>
                <w:tcPr>
                  <w:tcW w:w="1115" w:type="pct"/>
                  <w:tcBorders>
                    <w:tl2br w:val="nil"/>
                    <w:tr2bl w:val="nil"/>
                  </w:tcBorders>
                  <w:vAlign w:val="center"/>
                </w:tcPr>
                <w:p w14:paraId="61B59E39">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olor w:val="auto"/>
                      <w:vertAlign w:val="baseline"/>
                    </w:rPr>
                  </w:pPr>
                  <w:r>
                    <w:rPr>
                      <w:rFonts w:ascii="Times New Roman" w:hAnsi="Times New Roman" w:eastAsia="宋体"/>
                      <w:color w:val="auto"/>
                      <w:spacing w:val="-2"/>
                      <w:sz w:val="21"/>
                    </w:rPr>
                    <w:t>60μg/m</w:t>
                  </w:r>
                  <w:r>
                    <w:rPr>
                      <w:rFonts w:ascii="Times New Roman" w:hAnsi="Times New Roman" w:eastAsia="宋体"/>
                      <w:color w:val="auto"/>
                      <w:spacing w:val="-2"/>
                      <w:sz w:val="21"/>
                      <w:vertAlign w:val="superscript"/>
                    </w:rPr>
                    <w:t>3</w:t>
                  </w:r>
                </w:p>
              </w:tc>
              <w:tc>
                <w:tcPr>
                  <w:tcW w:w="1511" w:type="pct"/>
                  <w:vMerge w:val="continue"/>
                  <w:tcBorders>
                    <w:tl2br w:val="nil"/>
                    <w:tr2bl w:val="nil"/>
                  </w:tcBorders>
                  <w:vAlign w:val="center"/>
                </w:tcPr>
                <w:p w14:paraId="39DF4230">
                  <w:pPr>
                    <w:pStyle w:val="48"/>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olor w:val="auto"/>
                      <w:vertAlign w:val="baseline"/>
                    </w:rPr>
                  </w:pPr>
                </w:p>
              </w:tc>
            </w:tr>
            <w:tr w14:paraId="4D5F26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7" w:hRule="atLeast"/>
              </w:trPr>
              <w:tc>
                <w:tcPr>
                  <w:tcW w:w="973" w:type="pct"/>
                  <w:vMerge w:val="continue"/>
                  <w:tcBorders>
                    <w:tl2br w:val="nil"/>
                    <w:tr2bl w:val="nil"/>
                  </w:tcBorders>
                  <w:vAlign w:val="center"/>
                </w:tcPr>
                <w:p w14:paraId="3BFD08E4">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olor w:val="auto"/>
                      <w:vertAlign w:val="baseline"/>
                    </w:rPr>
                  </w:pPr>
                </w:p>
              </w:tc>
              <w:tc>
                <w:tcPr>
                  <w:tcW w:w="1399" w:type="pct"/>
                  <w:tcBorders>
                    <w:tl2br w:val="nil"/>
                    <w:tr2bl w:val="nil"/>
                  </w:tcBorders>
                  <w:vAlign w:val="center"/>
                </w:tcPr>
                <w:p w14:paraId="51D211CC">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jc w:val="center"/>
                    <w:textAlignment w:val="auto"/>
                    <w:rPr>
                      <w:rFonts w:hint="default" w:ascii="Times New Roman" w:hAnsi="Times New Roman" w:eastAsia="宋体"/>
                      <w:color w:val="auto"/>
                      <w:vertAlign w:val="baseline"/>
                    </w:rPr>
                  </w:pPr>
                  <w:r>
                    <w:rPr>
                      <w:rFonts w:ascii="Times New Roman" w:hAnsi="Times New Roman" w:eastAsia="宋体"/>
                      <w:color w:val="auto"/>
                      <w:sz w:val="21"/>
                    </w:rPr>
                    <w:t>24</w:t>
                  </w:r>
                  <w:r>
                    <w:rPr>
                      <w:rFonts w:ascii="Times New Roman" w:hAnsi="Times New Roman" w:eastAsia="宋体"/>
                      <w:color w:val="auto"/>
                      <w:spacing w:val="-3"/>
                      <w:sz w:val="21"/>
                    </w:rPr>
                    <w:t>小时平均</w:t>
                  </w:r>
                </w:p>
              </w:tc>
              <w:tc>
                <w:tcPr>
                  <w:tcW w:w="1115" w:type="pct"/>
                  <w:tcBorders>
                    <w:tl2br w:val="nil"/>
                    <w:tr2bl w:val="nil"/>
                  </w:tcBorders>
                  <w:vAlign w:val="center"/>
                </w:tcPr>
                <w:p w14:paraId="18B350D2">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olor w:val="auto"/>
                      <w:vertAlign w:val="baseline"/>
                    </w:rPr>
                  </w:pPr>
                  <w:r>
                    <w:rPr>
                      <w:rFonts w:ascii="Times New Roman" w:hAnsi="Times New Roman" w:eastAsia="宋体"/>
                      <w:color w:val="auto"/>
                      <w:spacing w:val="-2"/>
                      <w:sz w:val="21"/>
                    </w:rPr>
                    <w:t>150μg/m</w:t>
                  </w:r>
                  <w:r>
                    <w:rPr>
                      <w:rFonts w:ascii="Times New Roman" w:hAnsi="Times New Roman" w:eastAsia="宋体"/>
                      <w:color w:val="auto"/>
                      <w:spacing w:val="-2"/>
                      <w:position w:val="7"/>
                      <w:sz w:val="13"/>
                    </w:rPr>
                    <w:t>3</w:t>
                  </w:r>
                </w:p>
              </w:tc>
              <w:tc>
                <w:tcPr>
                  <w:tcW w:w="1511" w:type="pct"/>
                  <w:vMerge w:val="continue"/>
                  <w:tcBorders>
                    <w:tl2br w:val="nil"/>
                    <w:tr2bl w:val="nil"/>
                  </w:tcBorders>
                  <w:vAlign w:val="center"/>
                </w:tcPr>
                <w:p w14:paraId="5636C6EF">
                  <w:pPr>
                    <w:pStyle w:val="48"/>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olor w:val="auto"/>
                      <w:vertAlign w:val="baseline"/>
                    </w:rPr>
                  </w:pPr>
                </w:p>
              </w:tc>
            </w:tr>
            <w:tr w14:paraId="617D99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7" w:hRule="atLeast"/>
              </w:trPr>
              <w:tc>
                <w:tcPr>
                  <w:tcW w:w="973" w:type="pct"/>
                  <w:vMerge w:val="continue"/>
                  <w:tcBorders>
                    <w:tl2br w:val="nil"/>
                    <w:tr2bl w:val="nil"/>
                  </w:tcBorders>
                  <w:vAlign w:val="center"/>
                </w:tcPr>
                <w:p w14:paraId="52C55C65">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olor w:val="auto"/>
                      <w:vertAlign w:val="baseline"/>
                    </w:rPr>
                  </w:pPr>
                </w:p>
              </w:tc>
              <w:tc>
                <w:tcPr>
                  <w:tcW w:w="1399" w:type="pct"/>
                  <w:tcBorders>
                    <w:tl2br w:val="nil"/>
                    <w:tr2bl w:val="nil"/>
                  </w:tcBorders>
                  <w:vAlign w:val="center"/>
                </w:tcPr>
                <w:p w14:paraId="36A588AE">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jc w:val="center"/>
                    <w:textAlignment w:val="auto"/>
                    <w:rPr>
                      <w:rFonts w:hint="default" w:ascii="Times New Roman" w:hAnsi="Times New Roman" w:eastAsia="宋体"/>
                      <w:color w:val="auto"/>
                      <w:vertAlign w:val="baseline"/>
                    </w:rPr>
                  </w:pPr>
                  <w:r>
                    <w:rPr>
                      <w:rFonts w:ascii="Times New Roman" w:hAnsi="Times New Roman" w:eastAsia="宋体"/>
                      <w:color w:val="auto"/>
                      <w:sz w:val="21"/>
                    </w:rPr>
                    <w:t>1</w:t>
                  </w:r>
                  <w:r>
                    <w:rPr>
                      <w:rFonts w:ascii="Times New Roman" w:hAnsi="Times New Roman" w:eastAsia="宋体"/>
                      <w:color w:val="auto"/>
                      <w:spacing w:val="-3"/>
                      <w:sz w:val="21"/>
                    </w:rPr>
                    <w:t>小时平均</w:t>
                  </w:r>
                </w:p>
              </w:tc>
              <w:tc>
                <w:tcPr>
                  <w:tcW w:w="1115" w:type="pct"/>
                  <w:tcBorders>
                    <w:tl2br w:val="nil"/>
                    <w:tr2bl w:val="nil"/>
                  </w:tcBorders>
                  <w:vAlign w:val="center"/>
                </w:tcPr>
                <w:p w14:paraId="3BCE6B78">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olor w:val="auto"/>
                      <w:vertAlign w:val="baseline"/>
                    </w:rPr>
                  </w:pPr>
                  <w:r>
                    <w:rPr>
                      <w:rFonts w:ascii="Times New Roman" w:hAnsi="Times New Roman" w:eastAsia="宋体"/>
                      <w:color w:val="auto"/>
                      <w:spacing w:val="-2"/>
                      <w:sz w:val="21"/>
                    </w:rPr>
                    <w:t>500μg/m</w:t>
                  </w:r>
                  <w:r>
                    <w:rPr>
                      <w:rFonts w:ascii="Times New Roman" w:hAnsi="Times New Roman" w:eastAsia="宋体"/>
                      <w:color w:val="auto"/>
                      <w:spacing w:val="-2"/>
                      <w:sz w:val="21"/>
                      <w:vertAlign w:val="superscript"/>
                    </w:rPr>
                    <w:t>3</w:t>
                  </w:r>
                </w:p>
              </w:tc>
              <w:tc>
                <w:tcPr>
                  <w:tcW w:w="1511" w:type="pct"/>
                  <w:vMerge w:val="continue"/>
                  <w:tcBorders>
                    <w:tl2br w:val="nil"/>
                    <w:tr2bl w:val="nil"/>
                  </w:tcBorders>
                  <w:vAlign w:val="center"/>
                </w:tcPr>
                <w:p w14:paraId="38E1AFF5">
                  <w:pPr>
                    <w:pStyle w:val="48"/>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olor w:val="auto"/>
                      <w:vertAlign w:val="baseline"/>
                    </w:rPr>
                  </w:pPr>
                </w:p>
              </w:tc>
            </w:tr>
            <w:tr w14:paraId="3B5EFF0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7" w:hRule="atLeast"/>
              </w:trPr>
              <w:tc>
                <w:tcPr>
                  <w:tcW w:w="973" w:type="pct"/>
                  <w:vMerge w:val="restart"/>
                  <w:tcBorders>
                    <w:tl2br w:val="nil"/>
                    <w:tr2bl w:val="nil"/>
                  </w:tcBorders>
                  <w:vAlign w:val="center"/>
                </w:tcPr>
                <w:p w14:paraId="6A7381F4">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jc w:val="center"/>
                    <w:textAlignment w:val="auto"/>
                    <w:rPr>
                      <w:rFonts w:hint="default" w:ascii="Times New Roman" w:hAnsi="Times New Roman" w:eastAsia="宋体"/>
                      <w:color w:val="auto"/>
                      <w:vertAlign w:val="baseline"/>
                    </w:rPr>
                  </w:pPr>
                  <w:r>
                    <w:rPr>
                      <w:rFonts w:ascii="Times New Roman" w:hAnsi="Times New Roman" w:eastAsia="宋体"/>
                      <w:color w:val="auto"/>
                      <w:spacing w:val="-5"/>
                      <w:sz w:val="21"/>
                    </w:rPr>
                    <w:t>CO</w:t>
                  </w:r>
                </w:p>
              </w:tc>
              <w:tc>
                <w:tcPr>
                  <w:tcW w:w="1399" w:type="pct"/>
                  <w:tcBorders>
                    <w:tl2br w:val="nil"/>
                    <w:tr2bl w:val="nil"/>
                  </w:tcBorders>
                  <w:vAlign w:val="center"/>
                </w:tcPr>
                <w:p w14:paraId="00FCFACC">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jc w:val="center"/>
                    <w:textAlignment w:val="auto"/>
                    <w:rPr>
                      <w:rFonts w:ascii="Times New Roman" w:hAnsi="Times New Roman" w:eastAsia="宋体"/>
                      <w:color w:val="auto"/>
                      <w:sz w:val="21"/>
                    </w:rPr>
                  </w:pPr>
                  <w:r>
                    <w:rPr>
                      <w:rFonts w:ascii="Times New Roman" w:hAnsi="Times New Roman" w:eastAsia="宋体"/>
                      <w:color w:val="auto"/>
                      <w:spacing w:val="-2"/>
                      <w:sz w:val="21"/>
                    </w:rPr>
                    <w:t>24</w:t>
                  </w:r>
                  <w:r>
                    <w:rPr>
                      <w:rFonts w:ascii="Times New Roman" w:hAnsi="Times New Roman" w:eastAsia="宋体"/>
                      <w:color w:val="auto"/>
                      <w:spacing w:val="-4"/>
                      <w:sz w:val="21"/>
                    </w:rPr>
                    <w:t>小时平均</w:t>
                  </w:r>
                </w:p>
              </w:tc>
              <w:tc>
                <w:tcPr>
                  <w:tcW w:w="1115" w:type="pct"/>
                  <w:tcBorders>
                    <w:tl2br w:val="nil"/>
                    <w:tr2bl w:val="nil"/>
                  </w:tcBorders>
                  <w:vAlign w:val="center"/>
                </w:tcPr>
                <w:p w14:paraId="4CAE001E">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olor w:val="auto"/>
                      <w:vertAlign w:val="baseline"/>
                    </w:rPr>
                  </w:pPr>
                  <w:r>
                    <w:rPr>
                      <w:rFonts w:ascii="Times New Roman" w:hAnsi="Times New Roman" w:eastAsia="宋体"/>
                      <w:color w:val="auto"/>
                      <w:spacing w:val="-2"/>
                      <w:sz w:val="21"/>
                    </w:rPr>
                    <w:t>4mg/m</w:t>
                  </w:r>
                  <w:r>
                    <w:rPr>
                      <w:rFonts w:ascii="Times New Roman" w:hAnsi="Times New Roman" w:eastAsia="宋体"/>
                      <w:color w:val="auto"/>
                      <w:spacing w:val="-2"/>
                      <w:sz w:val="21"/>
                      <w:vertAlign w:val="superscript"/>
                    </w:rPr>
                    <w:t>3</w:t>
                  </w:r>
                </w:p>
              </w:tc>
              <w:tc>
                <w:tcPr>
                  <w:tcW w:w="1511" w:type="pct"/>
                  <w:vMerge w:val="continue"/>
                  <w:tcBorders>
                    <w:tl2br w:val="nil"/>
                    <w:tr2bl w:val="nil"/>
                  </w:tcBorders>
                  <w:vAlign w:val="center"/>
                </w:tcPr>
                <w:p w14:paraId="11072851">
                  <w:pPr>
                    <w:pStyle w:val="48"/>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olor w:val="auto"/>
                      <w:vertAlign w:val="baseline"/>
                    </w:rPr>
                  </w:pPr>
                </w:p>
              </w:tc>
            </w:tr>
            <w:tr w14:paraId="1649A5C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7" w:hRule="atLeast"/>
              </w:trPr>
              <w:tc>
                <w:tcPr>
                  <w:tcW w:w="973" w:type="pct"/>
                  <w:vMerge w:val="continue"/>
                  <w:tcBorders>
                    <w:tl2br w:val="nil"/>
                    <w:tr2bl w:val="nil"/>
                  </w:tcBorders>
                  <w:vAlign w:val="center"/>
                </w:tcPr>
                <w:p w14:paraId="710E775D">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olor w:val="auto"/>
                      <w:vertAlign w:val="baseline"/>
                    </w:rPr>
                  </w:pPr>
                </w:p>
              </w:tc>
              <w:tc>
                <w:tcPr>
                  <w:tcW w:w="1399" w:type="pct"/>
                  <w:tcBorders>
                    <w:tl2br w:val="nil"/>
                    <w:tr2bl w:val="nil"/>
                  </w:tcBorders>
                  <w:vAlign w:val="center"/>
                </w:tcPr>
                <w:p w14:paraId="3A020F4F">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jc w:val="center"/>
                    <w:textAlignment w:val="auto"/>
                    <w:rPr>
                      <w:rFonts w:ascii="Times New Roman" w:hAnsi="Times New Roman" w:eastAsia="宋体"/>
                      <w:color w:val="auto"/>
                      <w:sz w:val="21"/>
                    </w:rPr>
                  </w:pPr>
                  <w:r>
                    <w:rPr>
                      <w:rFonts w:ascii="Times New Roman" w:hAnsi="Times New Roman" w:eastAsia="宋体"/>
                      <w:color w:val="auto"/>
                      <w:spacing w:val="-2"/>
                      <w:sz w:val="21"/>
                    </w:rPr>
                    <w:t>1</w:t>
                  </w:r>
                  <w:r>
                    <w:rPr>
                      <w:rFonts w:ascii="Times New Roman" w:hAnsi="Times New Roman" w:eastAsia="宋体"/>
                      <w:color w:val="auto"/>
                      <w:spacing w:val="-4"/>
                      <w:sz w:val="21"/>
                    </w:rPr>
                    <w:t>小时平均</w:t>
                  </w:r>
                </w:p>
              </w:tc>
              <w:tc>
                <w:tcPr>
                  <w:tcW w:w="1115" w:type="pct"/>
                  <w:tcBorders>
                    <w:tl2br w:val="nil"/>
                    <w:tr2bl w:val="nil"/>
                  </w:tcBorders>
                  <w:vAlign w:val="center"/>
                </w:tcPr>
                <w:p w14:paraId="04DBA9FA">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olor w:val="auto"/>
                      <w:vertAlign w:val="baseline"/>
                    </w:rPr>
                  </w:pPr>
                  <w:r>
                    <w:rPr>
                      <w:rFonts w:ascii="Times New Roman" w:hAnsi="Times New Roman" w:eastAsia="宋体"/>
                      <w:color w:val="auto"/>
                      <w:spacing w:val="-2"/>
                      <w:sz w:val="21"/>
                    </w:rPr>
                    <w:t>10mg/m</w:t>
                  </w:r>
                  <w:r>
                    <w:rPr>
                      <w:rFonts w:ascii="Times New Roman" w:hAnsi="Times New Roman" w:eastAsia="宋体"/>
                      <w:color w:val="auto"/>
                      <w:spacing w:val="-2"/>
                      <w:sz w:val="21"/>
                      <w:vertAlign w:val="superscript"/>
                    </w:rPr>
                    <w:t>3</w:t>
                  </w:r>
                </w:p>
              </w:tc>
              <w:tc>
                <w:tcPr>
                  <w:tcW w:w="1511" w:type="pct"/>
                  <w:vMerge w:val="continue"/>
                  <w:tcBorders>
                    <w:tl2br w:val="nil"/>
                    <w:tr2bl w:val="nil"/>
                  </w:tcBorders>
                  <w:vAlign w:val="center"/>
                </w:tcPr>
                <w:p w14:paraId="457EA4F9">
                  <w:pPr>
                    <w:pStyle w:val="48"/>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olor w:val="auto"/>
                      <w:vertAlign w:val="baseline"/>
                    </w:rPr>
                  </w:pPr>
                </w:p>
              </w:tc>
            </w:tr>
            <w:tr w14:paraId="36A7339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7" w:hRule="atLeast"/>
              </w:trPr>
              <w:tc>
                <w:tcPr>
                  <w:tcW w:w="973" w:type="pct"/>
                  <w:vMerge w:val="restart"/>
                  <w:tcBorders>
                    <w:tl2br w:val="nil"/>
                    <w:tr2bl w:val="nil"/>
                  </w:tcBorders>
                  <w:vAlign w:val="center"/>
                </w:tcPr>
                <w:p w14:paraId="2720F56A">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jc w:val="center"/>
                    <w:textAlignment w:val="auto"/>
                    <w:rPr>
                      <w:rFonts w:hint="default" w:ascii="Times New Roman" w:hAnsi="Times New Roman" w:eastAsia="宋体"/>
                      <w:color w:val="auto"/>
                      <w:vertAlign w:val="baseline"/>
                    </w:rPr>
                  </w:pPr>
                  <w:r>
                    <w:rPr>
                      <w:rFonts w:ascii="Times New Roman" w:hAnsi="Times New Roman" w:eastAsia="宋体"/>
                      <w:color w:val="auto"/>
                      <w:spacing w:val="-5"/>
                      <w:position w:val="2"/>
                      <w:sz w:val="21"/>
                    </w:rPr>
                    <w:t>O</w:t>
                  </w:r>
                  <w:r>
                    <w:rPr>
                      <w:rFonts w:ascii="Times New Roman" w:hAnsi="Times New Roman" w:eastAsia="宋体"/>
                      <w:color w:val="auto"/>
                      <w:spacing w:val="-5"/>
                      <w:sz w:val="13"/>
                    </w:rPr>
                    <w:t>3</w:t>
                  </w:r>
                </w:p>
              </w:tc>
              <w:tc>
                <w:tcPr>
                  <w:tcW w:w="1399" w:type="pct"/>
                  <w:tcBorders>
                    <w:tl2br w:val="nil"/>
                    <w:tr2bl w:val="nil"/>
                  </w:tcBorders>
                  <w:vAlign w:val="center"/>
                </w:tcPr>
                <w:p w14:paraId="60DEFCAB">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jc w:val="center"/>
                    <w:textAlignment w:val="auto"/>
                    <w:rPr>
                      <w:rFonts w:ascii="Times New Roman" w:hAnsi="Times New Roman" w:eastAsia="宋体"/>
                      <w:color w:val="auto"/>
                      <w:sz w:val="21"/>
                    </w:rPr>
                  </w:pPr>
                  <w:r>
                    <w:rPr>
                      <w:rFonts w:ascii="Times New Roman" w:hAnsi="Times New Roman" w:eastAsia="宋体"/>
                      <w:color w:val="auto"/>
                      <w:spacing w:val="-2"/>
                      <w:sz w:val="21"/>
                    </w:rPr>
                    <w:t>日最大8</w:t>
                  </w:r>
                  <w:r>
                    <w:rPr>
                      <w:rFonts w:ascii="Times New Roman" w:hAnsi="Times New Roman" w:eastAsia="宋体"/>
                      <w:color w:val="auto"/>
                      <w:spacing w:val="-4"/>
                      <w:sz w:val="21"/>
                    </w:rPr>
                    <w:t>小时平均</w:t>
                  </w:r>
                </w:p>
              </w:tc>
              <w:tc>
                <w:tcPr>
                  <w:tcW w:w="1115" w:type="pct"/>
                  <w:tcBorders>
                    <w:tl2br w:val="nil"/>
                    <w:tr2bl w:val="nil"/>
                  </w:tcBorders>
                  <w:vAlign w:val="center"/>
                </w:tcPr>
                <w:p w14:paraId="645AF1E7">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olor w:val="auto"/>
                      <w:vertAlign w:val="baseline"/>
                    </w:rPr>
                  </w:pPr>
                  <w:r>
                    <w:rPr>
                      <w:rFonts w:ascii="Times New Roman" w:hAnsi="Times New Roman" w:eastAsia="宋体"/>
                      <w:color w:val="auto"/>
                      <w:spacing w:val="-2"/>
                      <w:sz w:val="21"/>
                    </w:rPr>
                    <w:t>160μg/m</w:t>
                  </w:r>
                  <w:r>
                    <w:rPr>
                      <w:rFonts w:ascii="Times New Roman" w:hAnsi="Times New Roman" w:eastAsia="宋体"/>
                      <w:color w:val="auto"/>
                      <w:spacing w:val="-2"/>
                      <w:position w:val="7"/>
                      <w:sz w:val="13"/>
                    </w:rPr>
                    <w:t>3</w:t>
                  </w:r>
                </w:p>
              </w:tc>
              <w:tc>
                <w:tcPr>
                  <w:tcW w:w="1511" w:type="pct"/>
                  <w:vMerge w:val="continue"/>
                  <w:tcBorders>
                    <w:tl2br w:val="nil"/>
                    <w:tr2bl w:val="nil"/>
                  </w:tcBorders>
                  <w:vAlign w:val="center"/>
                </w:tcPr>
                <w:p w14:paraId="3BC7DCE8">
                  <w:pPr>
                    <w:pStyle w:val="48"/>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olor w:val="auto"/>
                      <w:vertAlign w:val="baseline"/>
                    </w:rPr>
                  </w:pPr>
                </w:p>
              </w:tc>
            </w:tr>
            <w:tr w14:paraId="5BB3FC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7" w:hRule="atLeast"/>
              </w:trPr>
              <w:tc>
                <w:tcPr>
                  <w:tcW w:w="973" w:type="pct"/>
                  <w:vMerge w:val="continue"/>
                  <w:tcBorders>
                    <w:tl2br w:val="nil"/>
                    <w:tr2bl w:val="nil"/>
                  </w:tcBorders>
                  <w:vAlign w:val="center"/>
                </w:tcPr>
                <w:p w14:paraId="681B8F0E">
                  <w:pPr>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olor w:val="auto"/>
                      <w:vertAlign w:val="baseline"/>
                    </w:rPr>
                  </w:pPr>
                </w:p>
              </w:tc>
              <w:tc>
                <w:tcPr>
                  <w:tcW w:w="1399" w:type="pct"/>
                  <w:tcBorders>
                    <w:tl2br w:val="nil"/>
                    <w:tr2bl w:val="nil"/>
                  </w:tcBorders>
                  <w:vAlign w:val="center"/>
                </w:tcPr>
                <w:p w14:paraId="0F3AF3AB">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jc w:val="center"/>
                    <w:textAlignment w:val="auto"/>
                    <w:rPr>
                      <w:rFonts w:ascii="Times New Roman" w:hAnsi="Times New Roman" w:eastAsia="宋体"/>
                      <w:color w:val="auto"/>
                      <w:sz w:val="21"/>
                    </w:rPr>
                  </w:pPr>
                  <w:r>
                    <w:rPr>
                      <w:rFonts w:ascii="Times New Roman" w:hAnsi="Times New Roman" w:eastAsia="宋体"/>
                      <w:color w:val="auto"/>
                      <w:spacing w:val="-2"/>
                      <w:sz w:val="21"/>
                    </w:rPr>
                    <w:t>1</w:t>
                  </w:r>
                  <w:r>
                    <w:rPr>
                      <w:rFonts w:ascii="Times New Roman" w:hAnsi="Times New Roman" w:eastAsia="宋体"/>
                      <w:color w:val="auto"/>
                      <w:spacing w:val="-4"/>
                      <w:sz w:val="21"/>
                    </w:rPr>
                    <w:t>小时平均</w:t>
                  </w:r>
                </w:p>
              </w:tc>
              <w:tc>
                <w:tcPr>
                  <w:tcW w:w="1115" w:type="pct"/>
                  <w:tcBorders>
                    <w:tl2br w:val="nil"/>
                    <w:tr2bl w:val="nil"/>
                  </w:tcBorders>
                  <w:vAlign w:val="center"/>
                </w:tcPr>
                <w:p w14:paraId="6613D2C0">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olor w:val="auto"/>
                      <w:vertAlign w:val="baseline"/>
                    </w:rPr>
                  </w:pPr>
                  <w:r>
                    <w:rPr>
                      <w:rFonts w:ascii="Times New Roman" w:hAnsi="Times New Roman" w:eastAsia="宋体"/>
                      <w:color w:val="auto"/>
                      <w:spacing w:val="-2"/>
                      <w:sz w:val="21"/>
                    </w:rPr>
                    <w:t>200μg/m</w:t>
                  </w:r>
                  <w:r>
                    <w:rPr>
                      <w:rFonts w:ascii="Times New Roman" w:hAnsi="Times New Roman" w:eastAsia="宋体"/>
                      <w:color w:val="auto"/>
                      <w:spacing w:val="-2"/>
                      <w:sz w:val="21"/>
                      <w:vertAlign w:val="superscript"/>
                    </w:rPr>
                    <w:t>3</w:t>
                  </w:r>
                </w:p>
              </w:tc>
              <w:tc>
                <w:tcPr>
                  <w:tcW w:w="1511" w:type="pct"/>
                  <w:vMerge w:val="continue"/>
                  <w:tcBorders>
                    <w:tl2br w:val="nil"/>
                    <w:tr2bl w:val="nil"/>
                  </w:tcBorders>
                  <w:vAlign w:val="center"/>
                </w:tcPr>
                <w:p w14:paraId="556E0B8C">
                  <w:pPr>
                    <w:pStyle w:val="48"/>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olor w:val="auto"/>
                      <w:vertAlign w:val="baseline"/>
                    </w:rPr>
                  </w:pPr>
                </w:p>
              </w:tc>
            </w:tr>
            <w:tr w14:paraId="6952C99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7" w:hRule="atLeast"/>
              </w:trPr>
              <w:tc>
                <w:tcPr>
                  <w:tcW w:w="973" w:type="pct"/>
                  <w:vMerge w:val="restart"/>
                  <w:tcBorders>
                    <w:tl2br w:val="nil"/>
                    <w:tr2bl w:val="nil"/>
                  </w:tcBorders>
                  <w:vAlign w:val="center"/>
                </w:tcPr>
                <w:p w14:paraId="290647F7">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olor w:val="auto"/>
                      <w:vertAlign w:val="baseline"/>
                    </w:rPr>
                  </w:pPr>
                  <w:r>
                    <w:rPr>
                      <w:rFonts w:ascii="Times New Roman" w:hAnsi="Times New Roman" w:eastAsia="宋体"/>
                      <w:color w:val="auto"/>
                      <w:spacing w:val="-5"/>
                      <w:position w:val="2"/>
                      <w:sz w:val="21"/>
                    </w:rPr>
                    <w:t>NO</w:t>
                  </w:r>
                  <w:r>
                    <w:rPr>
                      <w:rFonts w:ascii="Times New Roman" w:hAnsi="Times New Roman" w:eastAsia="宋体"/>
                      <w:color w:val="auto"/>
                      <w:spacing w:val="-5"/>
                      <w:sz w:val="13"/>
                    </w:rPr>
                    <w:t>2</w:t>
                  </w:r>
                </w:p>
              </w:tc>
              <w:tc>
                <w:tcPr>
                  <w:tcW w:w="1399" w:type="pct"/>
                  <w:tcBorders>
                    <w:tl2br w:val="nil"/>
                    <w:tr2bl w:val="nil"/>
                  </w:tcBorders>
                  <w:vAlign w:val="center"/>
                </w:tcPr>
                <w:p w14:paraId="11D6DB9D">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olor w:val="auto"/>
                      <w:spacing w:val="-2"/>
                      <w:sz w:val="21"/>
                    </w:rPr>
                  </w:pPr>
                  <w:r>
                    <w:rPr>
                      <w:rFonts w:ascii="Times New Roman" w:hAnsi="Times New Roman" w:eastAsia="宋体"/>
                      <w:color w:val="auto"/>
                      <w:spacing w:val="-5"/>
                      <w:sz w:val="21"/>
                    </w:rPr>
                    <w:t>年平均</w:t>
                  </w:r>
                </w:p>
              </w:tc>
              <w:tc>
                <w:tcPr>
                  <w:tcW w:w="1115" w:type="pct"/>
                  <w:tcBorders>
                    <w:tl2br w:val="nil"/>
                    <w:tr2bl w:val="nil"/>
                  </w:tcBorders>
                  <w:vAlign w:val="center"/>
                </w:tcPr>
                <w:p w14:paraId="2CCD73D6">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olor w:val="auto"/>
                      <w:spacing w:val="-2"/>
                      <w:sz w:val="21"/>
                    </w:rPr>
                  </w:pPr>
                  <w:r>
                    <w:rPr>
                      <w:rFonts w:ascii="Times New Roman" w:hAnsi="Times New Roman" w:eastAsia="宋体"/>
                      <w:color w:val="auto"/>
                      <w:spacing w:val="-2"/>
                      <w:sz w:val="21"/>
                    </w:rPr>
                    <w:t>40μg/m</w:t>
                  </w:r>
                  <w:r>
                    <w:rPr>
                      <w:rFonts w:ascii="Times New Roman" w:hAnsi="Times New Roman" w:eastAsia="宋体"/>
                      <w:color w:val="auto"/>
                      <w:spacing w:val="-2"/>
                      <w:sz w:val="21"/>
                      <w:vertAlign w:val="superscript"/>
                    </w:rPr>
                    <w:t>3</w:t>
                  </w:r>
                </w:p>
              </w:tc>
              <w:tc>
                <w:tcPr>
                  <w:tcW w:w="1511" w:type="pct"/>
                  <w:vMerge w:val="restart"/>
                  <w:tcBorders>
                    <w:tl2br w:val="nil"/>
                    <w:tr2bl w:val="nil"/>
                  </w:tcBorders>
                  <w:vAlign w:val="center"/>
                </w:tcPr>
                <w:p w14:paraId="692326E9">
                  <w:pPr>
                    <w:pStyle w:val="97"/>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rPr>
                  </w:pPr>
                  <w:r>
                    <w:rPr>
                      <w:rFonts w:ascii="Times New Roman" w:hAnsi="Times New Roman" w:eastAsia="宋体"/>
                      <w:color w:val="auto"/>
                      <w:spacing w:val="-3"/>
                      <w:sz w:val="21"/>
                    </w:rPr>
                    <w:t>《环境空气质量标准》</w:t>
                  </w:r>
                </w:p>
                <w:p w14:paraId="7429ECE6">
                  <w:pPr>
                    <w:pStyle w:val="48"/>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olor w:val="auto"/>
                      <w:vertAlign w:val="baseline"/>
                    </w:rPr>
                  </w:pPr>
                  <w:r>
                    <w:rPr>
                      <w:rFonts w:hint="eastAsia" w:ascii="Times New Roman" w:hAnsi="Times New Roman"/>
                      <w:color w:val="auto"/>
                      <w:spacing w:val="-2"/>
                      <w:sz w:val="21"/>
                      <w:lang w:eastAsia="zh-CN"/>
                    </w:rPr>
                    <w:t>（</w:t>
                  </w:r>
                  <w:r>
                    <w:rPr>
                      <w:rFonts w:ascii="Times New Roman" w:hAnsi="Times New Roman" w:eastAsia="宋体"/>
                      <w:color w:val="auto"/>
                      <w:spacing w:val="-2"/>
                      <w:sz w:val="21"/>
                    </w:rPr>
                    <w:t>GB3095-20</w:t>
                  </w:r>
                  <w:r>
                    <w:rPr>
                      <w:rFonts w:hint="eastAsia" w:ascii="Times New Roman" w:hAnsi="Times New Roman"/>
                      <w:color w:val="auto"/>
                      <w:spacing w:val="-2"/>
                      <w:sz w:val="21"/>
                      <w:lang w:val="en-US" w:eastAsia="zh-CN"/>
                    </w:rPr>
                    <w:t>26</w:t>
                  </w:r>
                  <w:r>
                    <w:rPr>
                      <w:rFonts w:hint="eastAsia" w:ascii="Times New Roman" w:hAnsi="Times New Roman"/>
                      <w:color w:val="auto"/>
                      <w:spacing w:val="-2"/>
                      <w:sz w:val="21"/>
                      <w:lang w:eastAsia="zh-CN"/>
                    </w:rPr>
                    <w:t>）</w:t>
                  </w:r>
                  <w:r>
                    <w:rPr>
                      <w:rFonts w:ascii="Times New Roman" w:hAnsi="Times New Roman" w:eastAsia="宋体"/>
                      <w:color w:val="auto"/>
                      <w:spacing w:val="-4"/>
                      <w:sz w:val="21"/>
                    </w:rPr>
                    <w:t>中的二级标准</w:t>
                  </w:r>
                </w:p>
              </w:tc>
            </w:tr>
            <w:tr w14:paraId="015874A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7" w:hRule="atLeast"/>
              </w:trPr>
              <w:tc>
                <w:tcPr>
                  <w:tcW w:w="973" w:type="pct"/>
                  <w:vMerge w:val="continue"/>
                  <w:tcBorders>
                    <w:tl2br w:val="nil"/>
                    <w:tr2bl w:val="nil"/>
                  </w:tcBorders>
                  <w:vAlign w:val="center"/>
                </w:tcPr>
                <w:p w14:paraId="219BB8C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Times New Roman" w:hAnsi="Times New Roman" w:eastAsia="宋体"/>
                      <w:color w:val="auto"/>
                      <w:vertAlign w:val="baseline"/>
                    </w:rPr>
                  </w:pPr>
                </w:p>
              </w:tc>
              <w:tc>
                <w:tcPr>
                  <w:tcW w:w="1399" w:type="pct"/>
                  <w:tcBorders>
                    <w:tl2br w:val="nil"/>
                    <w:tr2bl w:val="nil"/>
                  </w:tcBorders>
                  <w:vAlign w:val="center"/>
                </w:tcPr>
                <w:p w14:paraId="4AB0B105">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olor w:val="auto"/>
                      <w:spacing w:val="-2"/>
                      <w:sz w:val="21"/>
                    </w:rPr>
                  </w:pPr>
                  <w:r>
                    <w:rPr>
                      <w:rFonts w:ascii="Times New Roman" w:hAnsi="Times New Roman" w:eastAsia="宋体"/>
                      <w:color w:val="auto"/>
                      <w:sz w:val="21"/>
                    </w:rPr>
                    <w:t>24</w:t>
                  </w:r>
                  <w:r>
                    <w:rPr>
                      <w:rFonts w:ascii="Times New Roman" w:hAnsi="Times New Roman" w:eastAsia="宋体"/>
                      <w:color w:val="auto"/>
                      <w:spacing w:val="-3"/>
                      <w:sz w:val="21"/>
                    </w:rPr>
                    <w:t>小时平均</w:t>
                  </w:r>
                </w:p>
              </w:tc>
              <w:tc>
                <w:tcPr>
                  <w:tcW w:w="1115" w:type="pct"/>
                  <w:tcBorders>
                    <w:tl2br w:val="nil"/>
                    <w:tr2bl w:val="nil"/>
                  </w:tcBorders>
                  <w:vAlign w:val="center"/>
                </w:tcPr>
                <w:p w14:paraId="420AB9CE">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olor w:val="auto"/>
                      <w:spacing w:val="-2"/>
                      <w:sz w:val="21"/>
                    </w:rPr>
                  </w:pPr>
                  <w:r>
                    <w:rPr>
                      <w:rFonts w:ascii="Times New Roman" w:hAnsi="Times New Roman" w:eastAsia="宋体"/>
                      <w:color w:val="auto"/>
                      <w:spacing w:val="-2"/>
                      <w:sz w:val="21"/>
                    </w:rPr>
                    <w:t>80μg/m</w:t>
                  </w:r>
                  <w:r>
                    <w:rPr>
                      <w:rFonts w:ascii="Times New Roman" w:hAnsi="Times New Roman" w:eastAsia="宋体"/>
                      <w:color w:val="auto"/>
                      <w:spacing w:val="-2"/>
                      <w:position w:val="7"/>
                      <w:sz w:val="13"/>
                    </w:rPr>
                    <w:t>3</w:t>
                  </w:r>
                </w:p>
              </w:tc>
              <w:tc>
                <w:tcPr>
                  <w:tcW w:w="1511" w:type="pct"/>
                  <w:vMerge w:val="continue"/>
                  <w:tcBorders>
                    <w:tl2br w:val="nil"/>
                    <w:tr2bl w:val="nil"/>
                  </w:tcBorders>
                  <w:vAlign w:val="center"/>
                </w:tcPr>
                <w:p w14:paraId="46A57CB8">
                  <w:pPr>
                    <w:pStyle w:val="48"/>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olor w:val="auto"/>
                      <w:vertAlign w:val="baseline"/>
                    </w:rPr>
                  </w:pPr>
                </w:p>
              </w:tc>
            </w:tr>
            <w:tr w14:paraId="31E715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7" w:hRule="atLeast"/>
              </w:trPr>
              <w:tc>
                <w:tcPr>
                  <w:tcW w:w="973" w:type="pct"/>
                  <w:vMerge w:val="continue"/>
                  <w:tcBorders>
                    <w:tl2br w:val="nil"/>
                    <w:tr2bl w:val="nil"/>
                  </w:tcBorders>
                  <w:vAlign w:val="center"/>
                </w:tcPr>
                <w:p w14:paraId="55BDA71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Times New Roman" w:hAnsi="Times New Roman" w:eastAsia="宋体"/>
                      <w:color w:val="auto"/>
                      <w:vertAlign w:val="baseline"/>
                    </w:rPr>
                  </w:pPr>
                </w:p>
              </w:tc>
              <w:tc>
                <w:tcPr>
                  <w:tcW w:w="1399" w:type="pct"/>
                  <w:tcBorders>
                    <w:tl2br w:val="nil"/>
                    <w:tr2bl w:val="nil"/>
                  </w:tcBorders>
                  <w:vAlign w:val="center"/>
                </w:tcPr>
                <w:p w14:paraId="407D2C40">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olor w:val="auto"/>
                      <w:spacing w:val="-2"/>
                      <w:sz w:val="21"/>
                    </w:rPr>
                  </w:pPr>
                  <w:r>
                    <w:rPr>
                      <w:rFonts w:ascii="Times New Roman" w:hAnsi="Times New Roman" w:eastAsia="宋体"/>
                      <w:color w:val="auto"/>
                      <w:sz w:val="21"/>
                    </w:rPr>
                    <w:t>1</w:t>
                  </w:r>
                  <w:r>
                    <w:rPr>
                      <w:rFonts w:ascii="Times New Roman" w:hAnsi="Times New Roman" w:eastAsia="宋体"/>
                      <w:color w:val="auto"/>
                      <w:spacing w:val="-3"/>
                      <w:sz w:val="21"/>
                    </w:rPr>
                    <w:t>小时平均</w:t>
                  </w:r>
                </w:p>
              </w:tc>
              <w:tc>
                <w:tcPr>
                  <w:tcW w:w="1115" w:type="pct"/>
                  <w:tcBorders>
                    <w:tl2br w:val="nil"/>
                    <w:tr2bl w:val="nil"/>
                  </w:tcBorders>
                  <w:vAlign w:val="center"/>
                </w:tcPr>
                <w:p w14:paraId="4915754E">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olor w:val="auto"/>
                      <w:spacing w:val="-2"/>
                      <w:sz w:val="21"/>
                    </w:rPr>
                  </w:pPr>
                  <w:r>
                    <w:rPr>
                      <w:rFonts w:ascii="Times New Roman" w:hAnsi="Times New Roman" w:eastAsia="宋体"/>
                      <w:color w:val="auto"/>
                      <w:spacing w:val="-2"/>
                      <w:sz w:val="21"/>
                    </w:rPr>
                    <w:t>200μg/m</w:t>
                  </w:r>
                  <w:r>
                    <w:rPr>
                      <w:rFonts w:ascii="Times New Roman" w:hAnsi="Times New Roman" w:eastAsia="宋体"/>
                      <w:color w:val="auto"/>
                      <w:spacing w:val="-2"/>
                      <w:sz w:val="21"/>
                      <w:vertAlign w:val="superscript"/>
                    </w:rPr>
                    <w:t>3</w:t>
                  </w:r>
                </w:p>
              </w:tc>
              <w:tc>
                <w:tcPr>
                  <w:tcW w:w="1511" w:type="pct"/>
                  <w:vMerge w:val="continue"/>
                  <w:tcBorders>
                    <w:tl2br w:val="nil"/>
                    <w:tr2bl w:val="nil"/>
                  </w:tcBorders>
                  <w:vAlign w:val="center"/>
                </w:tcPr>
                <w:p w14:paraId="75510B37">
                  <w:pPr>
                    <w:pStyle w:val="48"/>
                    <w:keepNext w:val="0"/>
                    <w:keepLines w:val="0"/>
                    <w:pageBreakBefore w:val="0"/>
                    <w:widowControl w:val="0"/>
                    <w:kinsoku/>
                    <w:wordWrap/>
                    <w:overflowPunct/>
                    <w:topLinePunct w:val="0"/>
                    <w:autoSpaceDE/>
                    <w:autoSpaceDN/>
                    <w:bidi w:val="0"/>
                    <w:adjustRightInd/>
                    <w:snapToGrid/>
                    <w:spacing w:line="240" w:lineRule="auto"/>
                    <w:ind w:left="0" w:right="0" w:firstLine="0"/>
                    <w:textAlignment w:val="auto"/>
                    <w:rPr>
                      <w:rFonts w:hint="default" w:ascii="Times New Roman" w:hAnsi="Times New Roman" w:eastAsia="宋体"/>
                      <w:color w:val="auto"/>
                      <w:vertAlign w:val="baseline"/>
                    </w:rPr>
                  </w:pPr>
                </w:p>
              </w:tc>
            </w:tr>
          </w:tbl>
          <w:p w14:paraId="437325B5">
            <w:pPr>
              <w:pStyle w:val="5"/>
              <w:bidi w:val="0"/>
              <w:rPr>
                <w:rFonts w:hint="default"/>
                <w:color w:val="auto"/>
              </w:rPr>
            </w:pPr>
            <w:r>
              <w:rPr>
                <w:rFonts w:hint="eastAsia"/>
                <w:color w:val="auto"/>
                <w:lang w:val="en-US" w:eastAsia="zh-CN"/>
              </w:rPr>
              <w:t>区域大气</w:t>
            </w:r>
            <w:r>
              <w:rPr>
                <w:rFonts w:hint="default"/>
                <w:color w:val="auto"/>
                <w:lang w:val="en-US" w:eastAsia="zh-CN"/>
              </w:rPr>
              <w:t>环境质量现状</w:t>
            </w:r>
          </w:p>
          <w:p w14:paraId="101A2B52">
            <w:pPr>
              <w:pStyle w:val="46"/>
              <w:numPr>
                <w:ilvl w:val="0"/>
                <w:numId w:val="0"/>
              </w:numPr>
              <w:bidi w:val="0"/>
              <w:ind w:left="425" w:leftChars="0" w:hanging="425" w:firstLineChars="0"/>
              <w:rPr>
                <w:rFonts w:hint="eastAsia" w:ascii="Times New Roman" w:hAnsi="Times New Roman" w:eastAsia="宋体" w:cs="宋体"/>
                <w:color w:val="auto"/>
                <w:highlight w:val="none"/>
                <w:lang w:val="en-US" w:eastAsia="zh-CN"/>
              </w:rPr>
            </w:pPr>
            <w:r>
              <w:rPr>
                <w:rFonts w:hint="eastAsia" w:cs="宋体"/>
                <w:color w:val="auto"/>
                <w:kern w:val="0"/>
                <w:sz w:val="24"/>
                <w:szCs w:val="20"/>
                <w:lang w:val="en-US" w:eastAsia="zh-CN" w:bidi="ar-SA"/>
              </w:rPr>
              <w:t>（1）</w:t>
            </w:r>
            <w:r>
              <w:rPr>
                <w:rFonts w:hint="eastAsia" w:ascii="Times New Roman" w:hAnsi="Times New Roman" w:eastAsia="宋体" w:cs="宋体"/>
                <w:color w:val="auto"/>
                <w:highlight w:val="none"/>
                <w:lang w:val="en-US" w:eastAsia="zh-CN"/>
              </w:rPr>
              <w:t>城市达标区域判断</w:t>
            </w:r>
          </w:p>
          <w:p w14:paraId="6117786B">
            <w:pPr>
              <w:pStyle w:val="46"/>
              <w:bidi w:val="0"/>
              <w:jc w:val="both"/>
              <w:rPr>
                <w:rFonts w:hint="eastAsia" w:ascii="Times New Roman" w:hAnsi="Times New Roman" w:eastAsia="宋体" w:cs="宋体"/>
                <w:color w:val="auto"/>
                <w:sz w:val="24"/>
                <w:highlight w:val="none"/>
                <w:lang w:val="en-US" w:eastAsia="zh-CN"/>
              </w:rPr>
            </w:pPr>
            <w:r>
              <w:rPr>
                <w:rFonts w:hint="eastAsia" w:ascii="Times New Roman" w:hAnsi="Times New Roman" w:eastAsia="宋体" w:cs="宋体"/>
                <w:color w:val="auto"/>
                <w:highlight w:val="none"/>
                <w:lang w:val="en-US" w:eastAsia="zh-CN"/>
              </w:rPr>
              <w:t>城市环境空气质量达标情况评价指标为SO</w:t>
            </w:r>
            <w:r>
              <w:rPr>
                <w:rFonts w:hint="eastAsia" w:ascii="Times New Roman" w:hAnsi="Times New Roman" w:eastAsia="宋体" w:cs="宋体"/>
                <w:color w:val="auto"/>
                <w:highlight w:val="none"/>
                <w:vertAlign w:val="subscript"/>
                <w:lang w:val="en-US" w:eastAsia="zh-CN"/>
              </w:rPr>
              <w:t>2</w:t>
            </w:r>
            <w:r>
              <w:rPr>
                <w:rFonts w:hint="eastAsia" w:ascii="Times New Roman" w:hAnsi="Times New Roman" w:eastAsia="宋体" w:cs="宋体"/>
                <w:color w:val="auto"/>
                <w:highlight w:val="none"/>
                <w:lang w:val="en-US" w:eastAsia="zh-CN"/>
              </w:rPr>
              <w:t>、NO</w:t>
            </w:r>
            <w:r>
              <w:rPr>
                <w:rFonts w:hint="eastAsia" w:ascii="Times New Roman" w:hAnsi="Times New Roman" w:eastAsia="宋体" w:cs="宋体"/>
                <w:color w:val="auto"/>
                <w:highlight w:val="none"/>
                <w:vertAlign w:val="subscript"/>
                <w:lang w:val="en-US" w:eastAsia="zh-CN"/>
              </w:rPr>
              <w:t>2</w:t>
            </w:r>
            <w:r>
              <w:rPr>
                <w:rFonts w:hint="eastAsia" w:ascii="Times New Roman" w:hAnsi="Times New Roman" w:eastAsia="宋体" w:cs="宋体"/>
                <w:color w:val="auto"/>
                <w:highlight w:val="none"/>
                <w:lang w:val="en-US" w:eastAsia="zh-CN"/>
              </w:rPr>
              <w:t>、PM</w:t>
            </w:r>
            <w:r>
              <w:rPr>
                <w:rFonts w:hint="eastAsia" w:ascii="Times New Roman" w:hAnsi="Times New Roman" w:eastAsia="宋体" w:cs="宋体"/>
                <w:color w:val="auto"/>
                <w:highlight w:val="none"/>
                <w:vertAlign w:val="subscript"/>
                <w:lang w:val="en-US" w:eastAsia="zh-CN"/>
              </w:rPr>
              <w:t>10</w:t>
            </w:r>
            <w:r>
              <w:rPr>
                <w:rFonts w:hint="eastAsia" w:ascii="Times New Roman" w:hAnsi="Times New Roman" w:eastAsia="宋体" w:cs="宋体"/>
                <w:color w:val="auto"/>
                <w:highlight w:val="none"/>
                <w:lang w:val="en-US" w:eastAsia="zh-CN"/>
              </w:rPr>
              <w:t>、PM</w:t>
            </w:r>
            <w:r>
              <w:rPr>
                <w:rFonts w:hint="eastAsia" w:ascii="Times New Roman" w:hAnsi="Times New Roman" w:eastAsia="宋体" w:cs="宋体"/>
                <w:color w:val="auto"/>
                <w:highlight w:val="none"/>
                <w:vertAlign w:val="subscript"/>
                <w:lang w:val="en-US" w:eastAsia="zh-CN"/>
              </w:rPr>
              <w:t>2.5</w:t>
            </w:r>
            <w:r>
              <w:rPr>
                <w:rFonts w:hint="eastAsia" w:ascii="Times New Roman" w:hAnsi="Times New Roman" w:eastAsia="宋体" w:cs="宋体"/>
                <w:color w:val="auto"/>
                <w:highlight w:val="none"/>
                <w:lang w:val="en-US" w:eastAsia="zh-CN"/>
              </w:rPr>
              <w:t>、CO和O</w:t>
            </w:r>
            <w:r>
              <w:rPr>
                <w:rFonts w:hint="eastAsia" w:ascii="Times New Roman" w:hAnsi="Times New Roman" w:eastAsia="宋体" w:cs="宋体"/>
                <w:color w:val="auto"/>
                <w:highlight w:val="none"/>
                <w:vertAlign w:val="subscript"/>
                <w:lang w:val="en-US" w:eastAsia="zh-CN"/>
              </w:rPr>
              <w:t>3</w:t>
            </w:r>
            <w:r>
              <w:rPr>
                <w:rFonts w:hint="eastAsia" w:ascii="Times New Roman" w:hAnsi="Times New Roman" w:eastAsia="宋体" w:cs="宋体"/>
                <w:color w:val="auto"/>
                <w:highlight w:val="none"/>
                <w:lang w:val="en-US" w:eastAsia="zh-CN"/>
              </w:rPr>
              <w:t>，六项污染物全部达标即为城市环境空气质量达标。根据福建省生态环境厅发布的</w:t>
            </w:r>
            <w:r>
              <w:rPr>
                <w:rFonts w:hint="eastAsia" w:ascii="Times New Roman" w:hAnsi="Times New Roman" w:eastAsia="宋体" w:cs="宋体"/>
                <w:color w:val="auto"/>
                <w:sz w:val="24"/>
                <w:highlight w:val="none"/>
                <w:lang w:val="en-US" w:eastAsia="zh-CN"/>
              </w:rPr>
              <w:t>“202</w:t>
            </w:r>
            <w:r>
              <w:rPr>
                <w:rFonts w:hint="eastAsia" w:cs="宋体"/>
                <w:color w:val="auto"/>
                <w:sz w:val="24"/>
                <w:highlight w:val="none"/>
                <w:lang w:val="en-US" w:eastAsia="zh-CN"/>
              </w:rPr>
              <w:t>5</w:t>
            </w:r>
            <w:r>
              <w:rPr>
                <w:rFonts w:hint="eastAsia" w:ascii="Times New Roman" w:hAnsi="Times New Roman" w:eastAsia="宋体" w:cs="宋体"/>
                <w:color w:val="auto"/>
                <w:sz w:val="24"/>
                <w:highlight w:val="none"/>
                <w:lang w:val="en-US" w:eastAsia="zh-CN"/>
              </w:rPr>
              <w:t>年12月福建省城市环境空气质量状况”，202</w:t>
            </w:r>
            <w:r>
              <w:rPr>
                <w:rFonts w:hint="eastAsia" w:cs="宋体"/>
                <w:color w:val="auto"/>
                <w:sz w:val="24"/>
                <w:highlight w:val="none"/>
                <w:lang w:val="en-US" w:eastAsia="zh-CN"/>
              </w:rPr>
              <w:t>5</w:t>
            </w:r>
            <w:r>
              <w:rPr>
                <w:rFonts w:hint="eastAsia" w:ascii="Times New Roman" w:hAnsi="Times New Roman" w:eastAsia="宋体" w:cs="宋体"/>
                <w:color w:val="auto"/>
                <w:sz w:val="24"/>
                <w:highlight w:val="none"/>
                <w:lang w:val="en-US" w:eastAsia="zh-CN"/>
              </w:rPr>
              <w:t>年1</w:t>
            </w:r>
            <w:r>
              <w:rPr>
                <w:rFonts w:hint="eastAsia" w:cs="宋体"/>
                <w:color w:val="auto"/>
                <w:sz w:val="24"/>
                <w:highlight w:val="none"/>
                <w:lang w:val="en-US" w:eastAsia="zh-CN"/>
              </w:rPr>
              <w:t>—</w:t>
            </w:r>
            <w:r>
              <w:rPr>
                <w:rFonts w:hint="eastAsia" w:ascii="Times New Roman" w:hAnsi="Times New Roman" w:eastAsia="宋体" w:cs="宋体"/>
                <w:color w:val="auto"/>
                <w:sz w:val="24"/>
                <w:highlight w:val="none"/>
                <w:lang w:val="en-US" w:eastAsia="zh-CN"/>
              </w:rPr>
              <w:t>12月，福州市环境空气质量综合指数2.</w:t>
            </w:r>
            <w:r>
              <w:rPr>
                <w:rFonts w:hint="eastAsia" w:ascii="Times New Roman" w:hAnsi="Times New Roman" w:cs="宋体"/>
                <w:color w:val="auto"/>
                <w:sz w:val="24"/>
                <w:highlight w:val="none"/>
                <w:lang w:val="en-US" w:eastAsia="zh-CN"/>
              </w:rPr>
              <w:t>40</w:t>
            </w:r>
            <w:r>
              <w:rPr>
                <w:rFonts w:hint="eastAsia" w:ascii="Times New Roman" w:hAnsi="Times New Roman" w:eastAsia="宋体" w:cs="宋体"/>
                <w:color w:val="auto"/>
                <w:sz w:val="24"/>
                <w:highlight w:val="none"/>
                <w:lang w:val="en-US" w:eastAsia="zh-CN"/>
              </w:rPr>
              <w:t>。由此可知，福州市城区环境空气质量总体达到二级标准，</w:t>
            </w:r>
            <w:r>
              <w:rPr>
                <w:rFonts w:hint="eastAsia" w:cs="宋体"/>
                <w:color w:val="auto"/>
                <w:sz w:val="24"/>
                <w:highlight w:val="none"/>
                <w:lang w:val="en-US" w:eastAsia="zh-CN"/>
              </w:rPr>
              <w:t>罗源县</w:t>
            </w:r>
            <w:r>
              <w:rPr>
                <w:rFonts w:hint="eastAsia" w:ascii="Times New Roman" w:hAnsi="Times New Roman" w:eastAsia="宋体" w:cs="宋体"/>
                <w:color w:val="auto"/>
                <w:sz w:val="24"/>
                <w:highlight w:val="none"/>
                <w:lang w:val="en-US" w:eastAsia="zh-CN"/>
              </w:rPr>
              <w:t>属于达标区域</w:t>
            </w:r>
            <w:r>
              <w:rPr>
                <w:rFonts w:hint="eastAsia" w:cs="宋体"/>
                <w:color w:val="auto"/>
                <w:sz w:val="24"/>
                <w:highlight w:val="none"/>
                <w:lang w:val="en-US" w:eastAsia="zh-CN"/>
              </w:rPr>
              <w:t>；</w:t>
            </w:r>
            <w:r>
              <w:rPr>
                <w:rFonts w:hint="eastAsia" w:ascii="Times New Roman" w:hAnsi="Times New Roman" w:eastAsia="宋体" w:cs="宋体"/>
                <w:color w:val="auto"/>
                <w:sz w:val="24"/>
                <w:highlight w:val="none"/>
                <w:lang w:val="en-US" w:eastAsia="zh-CN"/>
              </w:rPr>
              <w:t>见表3.1-</w:t>
            </w:r>
            <w:r>
              <w:rPr>
                <w:rFonts w:hint="eastAsia" w:ascii="Times New Roman" w:hAnsi="Times New Roman" w:cs="宋体"/>
                <w:color w:val="auto"/>
                <w:sz w:val="24"/>
                <w:highlight w:val="none"/>
                <w:lang w:val="en-US" w:eastAsia="zh-CN"/>
              </w:rPr>
              <w:t>3</w:t>
            </w:r>
            <w:r>
              <w:rPr>
                <w:rFonts w:hint="eastAsia" w:ascii="Times New Roman" w:hAnsi="Times New Roman" w:eastAsia="宋体" w:cs="宋体"/>
                <w:color w:val="auto"/>
                <w:sz w:val="24"/>
                <w:highlight w:val="none"/>
                <w:lang w:val="en-US" w:eastAsia="zh-CN"/>
              </w:rPr>
              <w:t>。</w:t>
            </w:r>
          </w:p>
          <w:p w14:paraId="1F849A2E">
            <w:pPr>
              <w:pStyle w:val="44"/>
              <w:keepNext/>
              <w:keepLines/>
              <w:pageBreakBefore w:val="0"/>
              <w:widowControl w:val="0"/>
              <w:numPr>
                <w:ilvl w:val="7"/>
                <w:numId w:val="10"/>
              </w:numPr>
              <w:tabs>
                <w:tab w:val="left" w:pos="0"/>
              </w:tabs>
              <w:kinsoku/>
              <w:wordWrap/>
              <w:overflowPunct/>
              <w:topLinePunct w:val="0"/>
              <w:autoSpaceDE/>
              <w:autoSpaceDN/>
              <w:bidi w:val="0"/>
              <w:adjustRightInd/>
              <w:snapToGrid/>
              <w:spacing w:before="0" w:after="0"/>
              <w:ind w:left="630" w:leftChars="0" w:firstLineChars="0"/>
              <w:textAlignment w:val="auto"/>
              <w:rPr>
                <w:rFonts w:hint="eastAsia" w:ascii="Times New Roman" w:hAnsi="Times New Roman" w:eastAsia="宋体"/>
                <w:color w:val="auto"/>
                <w:highlight w:val="none"/>
                <w:lang w:val="en-US" w:eastAsia="zh-CN"/>
              </w:rPr>
            </w:pPr>
            <w:r>
              <w:rPr>
                <w:rFonts w:hint="eastAsia" w:ascii="Times New Roman" w:hAnsi="Times New Roman" w:eastAsia="宋体"/>
                <w:color w:val="auto"/>
                <w:highlight w:val="none"/>
                <w:lang w:val="en-US" w:eastAsia="zh-CN"/>
              </w:rPr>
              <w:t>202</w:t>
            </w:r>
            <w:r>
              <w:rPr>
                <w:rFonts w:hint="eastAsia"/>
                <w:color w:val="auto"/>
                <w:highlight w:val="none"/>
                <w:lang w:val="en-US" w:eastAsia="zh-CN"/>
              </w:rPr>
              <w:t>5</w:t>
            </w:r>
            <w:r>
              <w:rPr>
                <w:rFonts w:hint="eastAsia" w:ascii="Times New Roman" w:hAnsi="Times New Roman" w:eastAsia="宋体"/>
                <w:color w:val="auto"/>
                <w:highlight w:val="none"/>
                <w:lang w:val="en-US" w:eastAsia="zh-CN"/>
              </w:rPr>
              <w:t>年1</w:t>
            </w:r>
            <w:r>
              <w:rPr>
                <w:rFonts w:hint="eastAsia"/>
                <w:color w:val="auto"/>
                <w:highlight w:val="none"/>
                <w:lang w:val="en-US" w:eastAsia="zh-CN"/>
              </w:rPr>
              <w:t>—</w:t>
            </w:r>
            <w:r>
              <w:rPr>
                <w:rFonts w:hint="eastAsia" w:ascii="Times New Roman" w:hAnsi="Times New Roman" w:eastAsia="宋体"/>
                <w:color w:val="auto"/>
                <w:highlight w:val="none"/>
                <w:lang w:val="en-US" w:eastAsia="zh-CN"/>
              </w:rPr>
              <w:t>12月设区城市环境空气质量状况</w:t>
            </w:r>
          </w:p>
          <w:tbl>
            <w:tblPr>
              <w:tblStyle w:val="34"/>
              <w:tblW w:w="4997" w:type="pct"/>
              <w:tblInd w:w="0" w:type="dxa"/>
              <w:tblBorders>
                <w:top w:val="single" w:color="000000" w:sz="12" w:space="0"/>
                <w:left w:val="none" w:color="auto" w:sz="0" w:space="0"/>
                <w:bottom w:val="single" w:color="000000" w:sz="12" w:space="0"/>
                <w:right w:val="none" w:color="auto" w:sz="0" w:space="0"/>
                <w:insideH w:val="single" w:color="000000" w:sz="12" w:space="0"/>
                <w:insideV w:val="single" w:color="000000" w:sz="6" w:space="0"/>
              </w:tblBorders>
              <w:tblLayout w:type="autofit"/>
              <w:tblCellMar>
                <w:top w:w="0" w:type="dxa"/>
                <w:left w:w="0" w:type="dxa"/>
                <w:bottom w:w="0" w:type="dxa"/>
                <w:right w:w="0" w:type="dxa"/>
              </w:tblCellMar>
            </w:tblPr>
            <w:tblGrid>
              <w:gridCol w:w="536"/>
              <w:gridCol w:w="832"/>
              <w:gridCol w:w="808"/>
              <w:gridCol w:w="706"/>
              <w:gridCol w:w="739"/>
              <w:gridCol w:w="799"/>
              <w:gridCol w:w="870"/>
              <w:gridCol w:w="1106"/>
              <w:gridCol w:w="1312"/>
              <w:gridCol w:w="935"/>
            </w:tblGrid>
            <w:tr w14:paraId="33B4B61E">
              <w:tblPrEx>
                <w:tblBorders>
                  <w:top w:val="single" w:color="000000" w:sz="12" w:space="0"/>
                  <w:left w:val="none" w:color="auto" w:sz="0" w:space="0"/>
                  <w:bottom w:val="single" w:color="000000" w:sz="12" w:space="0"/>
                  <w:right w:val="none" w:color="auto" w:sz="0" w:space="0"/>
                  <w:insideH w:val="single" w:color="000000" w:sz="12" w:space="0"/>
                  <w:insideV w:val="single" w:color="000000" w:sz="6" w:space="0"/>
                </w:tblBorders>
                <w:tblCellMar>
                  <w:top w:w="0" w:type="dxa"/>
                  <w:left w:w="0" w:type="dxa"/>
                  <w:bottom w:w="0" w:type="dxa"/>
                  <w:right w:w="0" w:type="dxa"/>
                </w:tblCellMar>
              </w:tblPrEx>
              <w:trPr>
                <w:trHeight w:val="545" w:hRule="atLeast"/>
              </w:trPr>
              <w:tc>
                <w:tcPr>
                  <w:tcW w:w="310" w:type="pct"/>
                  <w:tcBorders>
                    <w:tl2br w:val="nil"/>
                    <w:tr2bl w:val="nil"/>
                  </w:tcBorders>
                  <w:vAlign w:val="center"/>
                </w:tcPr>
                <w:p w14:paraId="3F8770C6">
                  <w:pPr>
                    <w:pStyle w:val="97"/>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textAlignment w:val="auto"/>
                    <w:rPr>
                      <w:rFonts w:ascii="Times New Roman" w:hAnsi="Times New Roman" w:eastAsia="宋体"/>
                      <w:color w:val="auto"/>
                      <w:sz w:val="21"/>
                      <w:szCs w:val="21"/>
                    </w:rPr>
                  </w:pPr>
                  <w:r>
                    <w:rPr>
                      <w:rFonts w:ascii="Times New Roman" w:hAnsi="Times New Roman" w:eastAsia="宋体"/>
                      <w:color w:val="auto"/>
                      <w:spacing w:val="-10"/>
                      <w:sz w:val="21"/>
                      <w:szCs w:val="21"/>
                    </w:rPr>
                    <w:t>排</w:t>
                  </w:r>
                </w:p>
                <w:p w14:paraId="0E43485F">
                  <w:pPr>
                    <w:pStyle w:val="97"/>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textAlignment w:val="auto"/>
                    <w:rPr>
                      <w:rFonts w:ascii="Times New Roman" w:hAnsi="Times New Roman" w:eastAsia="宋体"/>
                      <w:color w:val="auto"/>
                      <w:sz w:val="21"/>
                      <w:szCs w:val="21"/>
                    </w:rPr>
                  </w:pPr>
                  <w:r>
                    <w:rPr>
                      <w:rFonts w:ascii="Times New Roman" w:hAnsi="Times New Roman" w:eastAsia="宋体"/>
                      <w:color w:val="auto"/>
                      <w:spacing w:val="-10"/>
                      <w:sz w:val="21"/>
                      <w:szCs w:val="21"/>
                    </w:rPr>
                    <w:t>名</w:t>
                  </w:r>
                </w:p>
              </w:tc>
              <w:tc>
                <w:tcPr>
                  <w:tcW w:w="481" w:type="pct"/>
                  <w:tcBorders>
                    <w:tl2br w:val="nil"/>
                    <w:tr2bl w:val="nil"/>
                  </w:tcBorders>
                  <w:vAlign w:val="center"/>
                </w:tcPr>
                <w:p w14:paraId="11885F43">
                  <w:pPr>
                    <w:pStyle w:val="97"/>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textAlignment w:val="auto"/>
                    <w:rPr>
                      <w:rFonts w:ascii="Times New Roman" w:hAnsi="Times New Roman" w:eastAsia="宋体"/>
                      <w:color w:val="auto"/>
                      <w:sz w:val="21"/>
                      <w:szCs w:val="21"/>
                    </w:rPr>
                  </w:pPr>
                  <w:r>
                    <w:rPr>
                      <w:rFonts w:ascii="Times New Roman" w:hAnsi="Times New Roman" w:eastAsia="宋体"/>
                      <w:color w:val="auto"/>
                      <w:spacing w:val="-8"/>
                      <w:sz w:val="21"/>
                      <w:szCs w:val="21"/>
                    </w:rPr>
                    <w:t>城市</w:t>
                  </w:r>
                </w:p>
              </w:tc>
              <w:tc>
                <w:tcPr>
                  <w:tcW w:w="467" w:type="pct"/>
                  <w:tcBorders>
                    <w:tl2br w:val="nil"/>
                    <w:tr2bl w:val="nil"/>
                  </w:tcBorders>
                  <w:vAlign w:val="center"/>
                </w:tcPr>
                <w:p w14:paraId="3CC55730">
                  <w:pPr>
                    <w:pStyle w:val="97"/>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textAlignment w:val="auto"/>
                    <w:rPr>
                      <w:rFonts w:ascii="Times New Roman" w:hAnsi="Times New Roman" w:eastAsia="宋体"/>
                      <w:color w:val="auto"/>
                      <w:sz w:val="21"/>
                      <w:szCs w:val="21"/>
                    </w:rPr>
                  </w:pPr>
                  <w:r>
                    <w:rPr>
                      <w:rFonts w:ascii="Times New Roman" w:hAnsi="Times New Roman" w:eastAsia="宋体"/>
                      <w:color w:val="auto"/>
                      <w:spacing w:val="-8"/>
                      <w:sz w:val="21"/>
                      <w:szCs w:val="21"/>
                    </w:rPr>
                    <w:t>综合</w:t>
                  </w:r>
                </w:p>
                <w:p w14:paraId="2B006537">
                  <w:pPr>
                    <w:pStyle w:val="97"/>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textAlignment w:val="auto"/>
                    <w:rPr>
                      <w:rFonts w:ascii="Times New Roman" w:hAnsi="Times New Roman" w:eastAsia="宋体"/>
                      <w:color w:val="auto"/>
                      <w:sz w:val="21"/>
                      <w:szCs w:val="21"/>
                    </w:rPr>
                  </w:pPr>
                  <w:r>
                    <w:rPr>
                      <w:rFonts w:ascii="Times New Roman" w:hAnsi="Times New Roman" w:eastAsia="宋体"/>
                      <w:color w:val="auto"/>
                      <w:spacing w:val="-8"/>
                      <w:sz w:val="21"/>
                      <w:szCs w:val="21"/>
                    </w:rPr>
                    <w:t>指数</w:t>
                  </w:r>
                </w:p>
              </w:tc>
              <w:tc>
                <w:tcPr>
                  <w:tcW w:w="408" w:type="pct"/>
                  <w:tcBorders>
                    <w:tl2br w:val="nil"/>
                    <w:tr2bl w:val="nil"/>
                  </w:tcBorders>
                  <w:vAlign w:val="center"/>
                </w:tcPr>
                <w:p w14:paraId="07B3287F">
                  <w:pPr>
                    <w:pStyle w:val="97"/>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jc w:val="center"/>
                    <w:textAlignment w:val="auto"/>
                    <w:rPr>
                      <w:rFonts w:ascii="Times New Roman" w:hAnsi="Times New Roman" w:eastAsia="宋体"/>
                      <w:color w:val="auto"/>
                      <w:sz w:val="21"/>
                      <w:szCs w:val="21"/>
                    </w:rPr>
                  </w:pPr>
                  <w:r>
                    <w:rPr>
                      <w:rFonts w:ascii="Times New Roman" w:hAnsi="Times New Roman" w:eastAsia="宋体"/>
                      <w:color w:val="auto"/>
                      <w:spacing w:val="-5"/>
                      <w:position w:val="2"/>
                      <w:sz w:val="21"/>
                      <w:szCs w:val="21"/>
                    </w:rPr>
                    <w:t>SO</w:t>
                  </w:r>
                  <w:r>
                    <w:rPr>
                      <w:rFonts w:ascii="Times New Roman" w:hAnsi="Times New Roman" w:eastAsia="宋体"/>
                      <w:color w:val="auto"/>
                      <w:spacing w:val="-5"/>
                      <w:sz w:val="21"/>
                      <w:szCs w:val="21"/>
                      <w:vertAlign w:val="subscript"/>
                    </w:rPr>
                    <w:t>2</w:t>
                  </w:r>
                </w:p>
              </w:tc>
              <w:tc>
                <w:tcPr>
                  <w:tcW w:w="427" w:type="pct"/>
                  <w:tcBorders>
                    <w:tl2br w:val="nil"/>
                    <w:tr2bl w:val="nil"/>
                  </w:tcBorders>
                  <w:vAlign w:val="center"/>
                </w:tcPr>
                <w:p w14:paraId="50E73FA6">
                  <w:pPr>
                    <w:pStyle w:val="97"/>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jc w:val="center"/>
                    <w:textAlignment w:val="auto"/>
                    <w:rPr>
                      <w:rFonts w:ascii="Times New Roman" w:hAnsi="Times New Roman" w:eastAsia="宋体"/>
                      <w:color w:val="auto"/>
                      <w:sz w:val="21"/>
                      <w:szCs w:val="21"/>
                    </w:rPr>
                  </w:pPr>
                  <w:r>
                    <w:rPr>
                      <w:rFonts w:ascii="Times New Roman" w:hAnsi="Times New Roman" w:eastAsia="宋体"/>
                      <w:color w:val="auto"/>
                      <w:spacing w:val="-5"/>
                      <w:position w:val="2"/>
                      <w:sz w:val="21"/>
                      <w:szCs w:val="21"/>
                    </w:rPr>
                    <w:t>NO</w:t>
                  </w:r>
                  <w:r>
                    <w:rPr>
                      <w:rFonts w:ascii="Times New Roman" w:hAnsi="Times New Roman" w:eastAsia="宋体"/>
                      <w:color w:val="auto"/>
                      <w:spacing w:val="-5"/>
                      <w:sz w:val="21"/>
                      <w:szCs w:val="21"/>
                      <w:vertAlign w:val="subscript"/>
                    </w:rPr>
                    <w:t>2</w:t>
                  </w:r>
                </w:p>
              </w:tc>
              <w:tc>
                <w:tcPr>
                  <w:tcW w:w="462" w:type="pct"/>
                  <w:tcBorders>
                    <w:tl2br w:val="nil"/>
                    <w:tr2bl w:val="nil"/>
                  </w:tcBorders>
                  <w:vAlign w:val="center"/>
                </w:tcPr>
                <w:p w14:paraId="0042ABBB">
                  <w:pPr>
                    <w:pStyle w:val="97"/>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jc w:val="center"/>
                    <w:textAlignment w:val="auto"/>
                    <w:rPr>
                      <w:rFonts w:ascii="Times New Roman" w:hAnsi="Times New Roman" w:eastAsia="宋体"/>
                      <w:color w:val="auto"/>
                      <w:sz w:val="21"/>
                      <w:szCs w:val="21"/>
                    </w:rPr>
                  </w:pPr>
                  <w:r>
                    <w:rPr>
                      <w:rFonts w:ascii="Times New Roman" w:hAnsi="Times New Roman" w:eastAsia="宋体"/>
                      <w:color w:val="auto"/>
                      <w:spacing w:val="-4"/>
                      <w:position w:val="2"/>
                      <w:sz w:val="21"/>
                      <w:szCs w:val="21"/>
                    </w:rPr>
                    <w:t>PM</w:t>
                  </w:r>
                  <w:r>
                    <w:rPr>
                      <w:rFonts w:ascii="Times New Roman" w:hAnsi="Times New Roman" w:eastAsia="宋体"/>
                      <w:color w:val="auto"/>
                      <w:spacing w:val="-4"/>
                      <w:sz w:val="21"/>
                      <w:szCs w:val="21"/>
                      <w:vertAlign w:val="subscript"/>
                    </w:rPr>
                    <w:t>10</w:t>
                  </w:r>
                </w:p>
              </w:tc>
              <w:tc>
                <w:tcPr>
                  <w:tcW w:w="503" w:type="pct"/>
                  <w:tcBorders>
                    <w:tl2br w:val="nil"/>
                    <w:tr2bl w:val="nil"/>
                  </w:tcBorders>
                  <w:vAlign w:val="center"/>
                </w:tcPr>
                <w:p w14:paraId="1357FBB7">
                  <w:pPr>
                    <w:pStyle w:val="97"/>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jc w:val="center"/>
                    <w:textAlignment w:val="auto"/>
                    <w:rPr>
                      <w:rFonts w:ascii="Times New Roman" w:hAnsi="Times New Roman" w:eastAsia="宋体"/>
                      <w:color w:val="auto"/>
                      <w:sz w:val="21"/>
                      <w:szCs w:val="21"/>
                    </w:rPr>
                  </w:pPr>
                  <w:r>
                    <w:rPr>
                      <w:rFonts w:ascii="Times New Roman" w:hAnsi="Times New Roman" w:eastAsia="宋体"/>
                      <w:color w:val="auto"/>
                      <w:spacing w:val="-2"/>
                      <w:w w:val="105"/>
                      <w:position w:val="2"/>
                      <w:sz w:val="21"/>
                      <w:szCs w:val="21"/>
                    </w:rPr>
                    <w:t>PM</w:t>
                  </w:r>
                  <w:r>
                    <w:rPr>
                      <w:rFonts w:ascii="Times New Roman" w:hAnsi="Times New Roman" w:eastAsia="宋体"/>
                      <w:color w:val="auto"/>
                      <w:spacing w:val="-2"/>
                      <w:w w:val="105"/>
                      <w:sz w:val="21"/>
                      <w:szCs w:val="21"/>
                      <w:vertAlign w:val="subscript"/>
                    </w:rPr>
                    <w:t>2.5</w:t>
                  </w:r>
                </w:p>
              </w:tc>
              <w:tc>
                <w:tcPr>
                  <w:tcW w:w="639" w:type="pct"/>
                  <w:tcBorders>
                    <w:tl2br w:val="nil"/>
                    <w:tr2bl w:val="nil"/>
                  </w:tcBorders>
                  <w:vAlign w:val="center"/>
                </w:tcPr>
                <w:p w14:paraId="4E8DE08C">
                  <w:pPr>
                    <w:pStyle w:val="97"/>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jc w:val="center"/>
                    <w:textAlignment w:val="auto"/>
                    <w:rPr>
                      <w:rFonts w:ascii="Times New Roman" w:hAnsi="Times New Roman" w:eastAsia="宋体"/>
                      <w:color w:val="auto"/>
                      <w:sz w:val="21"/>
                      <w:szCs w:val="21"/>
                    </w:rPr>
                  </w:pPr>
                  <w:r>
                    <w:rPr>
                      <w:rFonts w:ascii="Times New Roman" w:hAnsi="Times New Roman" w:eastAsia="宋体"/>
                      <w:color w:val="auto"/>
                      <w:spacing w:val="-2"/>
                      <w:position w:val="2"/>
                      <w:sz w:val="21"/>
                      <w:szCs w:val="21"/>
                    </w:rPr>
                    <w:t>CO-</w:t>
                  </w:r>
                  <w:r>
                    <w:rPr>
                      <w:rFonts w:ascii="Times New Roman" w:hAnsi="Times New Roman" w:eastAsia="宋体"/>
                      <w:color w:val="auto"/>
                      <w:spacing w:val="-2"/>
                      <w:sz w:val="21"/>
                      <w:szCs w:val="21"/>
                    </w:rPr>
                    <w:t>95per</w:t>
                  </w:r>
                </w:p>
              </w:tc>
              <w:tc>
                <w:tcPr>
                  <w:tcW w:w="758" w:type="pct"/>
                  <w:tcBorders>
                    <w:tl2br w:val="nil"/>
                    <w:tr2bl w:val="nil"/>
                  </w:tcBorders>
                  <w:vAlign w:val="center"/>
                </w:tcPr>
                <w:p w14:paraId="2FC57400">
                  <w:pPr>
                    <w:pStyle w:val="97"/>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jc w:val="center"/>
                    <w:textAlignment w:val="auto"/>
                    <w:rPr>
                      <w:rFonts w:ascii="Times New Roman" w:hAnsi="Times New Roman" w:eastAsia="宋体"/>
                      <w:color w:val="auto"/>
                      <w:sz w:val="21"/>
                      <w:szCs w:val="21"/>
                    </w:rPr>
                  </w:pPr>
                  <w:r>
                    <w:rPr>
                      <w:rFonts w:ascii="Times New Roman" w:hAnsi="Times New Roman" w:eastAsia="宋体"/>
                      <w:color w:val="auto"/>
                      <w:position w:val="2"/>
                      <w:sz w:val="21"/>
                      <w:szCs w:val="21"/>
                    </w:rPr>
                    <w:t>O</w:t>
                  </w:r>
                  <w:r>
                    <w:rPr>
                      <w:rFonts w:ascii="Times New Roman" w:hAnsi="Times New Roman" w:eastAsia="宋体"/>
                      <w:color w:val="auto"/>
                      <w:sz w:val="21"/>
                      <w:szCs w:val="21"/>
                      <w:vertAlign w:val="subscript"/>
                    </w:rPr>
                    <w:t>3</w:t>
                  </w:r>
                  <w:r>
                    <w:rPr>
                      <w:rFonts w:ascii="Times New Roman" w:hAnsi="Times New Roman" w:eastAsia="宋体"/>
                      <w:color w:val="auto"/>
                      <w:position w:val="2"/>
                      <w:sz w:val="21"/>
                      <w:szCs w:val="21"/>
                    </w:rPr>
                    <w:t>_</w:t>
                  </w:r>
                  <w:r>
                    <w:rPr>
                      <w:rFonts w:ascii="Times New Roman" w:hAnsi="Times New Roman" w:eastAsia="宋体"/>
                      <w:color w:val="auto"/>
                      <w:sz w:val="21"/>
                      <w:szCs w:val="21"/>
                    </w:rPr>
                    <w:t>8h-</w:t>
                  </w:r>
                  <w:r>
                    <w:rPr>
                      <w:rFonts w:ascii="Times New Roman" w:hAnsi="Times New Roman" w:eastAsia="宋体"/>
                      <w:color w:val="auto"/>
                      <w:spacing w:val="-2"/>
                      <w:sz w:val="21"/>
                      <w:szCs w:val="21"/>
                    </w:rPr>
                    <w:t>90per</w:t>
                  </w:r>
                </w:p>
              </w:tc>
              <w:tc>
                <w:tcPr>
                  <w:tcW w:w="540" w:type="pct"/>
                  <w:tcBorders>
                    <w:tl2br w:val="nil"/>
                    <w:tr2bl w:val="nil"/>
                  </w:tcBorders>
                  <w:vAlign w:val="center"/>
                </w:tcPr>
                <w:p w14:paraId="5982A95B">
                  <w:pPr>
                    <w:pStyle w:val="97"/>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jc w:val="center"/>
                    <w:textAlignment w:val="auto"/>
                    <w:rPr>
                      <w:rFonts w:ascii="Times New Roman" w:hAnsi="Times New Roman" w:eastAsia="宋体"/>
                      <w:color w:val="auto"/>
                      <w:sz w:val="21"/>
                      <w:szCs w:val="21"/>
                    </w:rPr>
                  </w:pPr>
                  <w:r>
                    <w:rPr>
                      <w:rFonts w:ascii="Times New Roman" w:hAnsi="Times New Roman" w:eastAsia="宋体"/>
                      <w:color w:val="auto"/>
                      <w:spacing w:val="-5"/>
                      <w:sz w:val="21"/>
                      <w:szCs w:val="21"/>
                    </w:rPr>
                    <w:t>首要污</w:t>
                  </w:r>
                </w:p>
                <w:p w14:paraId="439E8F2B">
                  <w:pPr>
                    <w:pStyle w:val="97"/>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jc w:val="center"/>
                    <w:textAlignment w:val="auto"/>
                    <w:rPr>
                      <w:rFonts w:ascii="Times New Roman" w:hAnsi="Times New Roman" w:eastAsia="宋体"/>
                      <w:color w:val="auto"/>
                      <w:sz w:val="21"/>
                      <w:szCs w:val="21"/>
                    </w:rPr>
                  </w:pPr>
                  <w:r>
                    <w:rPr>
                      <w:rFonts w:ascii="Times New Roman" w:hAnsi="Times New Roman" w:eastAsia="宋体"/>
                      <w:color w:val="auto"/>
                      <w:spacing w:val="-8"/>
                      <w:sz w:val="21"/>
                      <w:szCs w:val="21"/>
                    </w:rPr>
                    <w:t>染物</w:t>
                  </w:r>
                </w:p>
              </w:tc>
            </w:tr>
            <w:tr w14:paraId="18EB407C">
              <w:tblPrEx>
                <w:tblBorders>
                  <w:top w:val="single" w:color="000000" w:sz="12" w:space="0"/>
                  <w:left w:val="none" w:color="auto" w:sz="0" w:space="0"/>
                  <w:bottom w:val="single" w:color="000000" w:sz="12" w:space="0"/>
                  <w:right w:val="none" w:color="auto" w:sz="0" w:space="0"/>
                  <w:insideH w:val="single" w:color="000000" w:sz="12" w:space="0"/>
                  <w:insideV w:val="single" w:color="000000" w:sz="6" w:space="0"/>
                </w:tblBorders>
                <w:tblCellMar>
                  <w:top w:w="0" w:type="dxa"/>
                  <w:left w:w="0" w:type="dxa"/>
                  <w:bottom w:w="0" w:type="dxa"/>
                  <w:right w:w="0" w:type="dxa"/>
                </w:tblCellMar>
              </w:tblPrEx>
              <w:trPr>
                <w:trHeight w:val="544" w:hRule="atLeast"/>
              </w:trPr>
              <w:tc>
                <w:tcPr>
                  <w:tcW w:w="310" w:type="pct"/>
                  <w:tcBorders>
                    <w:tl2br w:val="nil"/>
                    <w:tr2bl w:val="nil"/>
                  </w:tcBorders>
                  <w:vAlign w:val="center"/>
                </w:tcPr>
                <w:p w14:paraId="546FD28F">
                  <w:pPr>
                    <w:pStyle w:val="97"/>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jc w:val="center"/>
                    <w:textAlignment w:val="auto"/>
                    <w:rPr>
                      <w:rFonts w:ascii="Times New Roman" w:hAnsi="Times New Roman" w:eastAsia="宋体"/>
                      <w:color w:val="auto"/>
                      <w:sz w:val="21"/>
                      <w:szCs w:val="21"/>
                    </w:rPr>
                  </w:pPr>
                  <w:r>
                    <w:rPr>
                      <w:rFonts w:ascii="Times New Roman" w:hAnsi="Times New Roman" w:eastAsia="宋体"/>
                      <w:color w:val="auto"/>
                      <w:spacing w:val="-10"/>
                      <w:sz w:val="21"/>
                      <w:szCs w:val="21"/>
                    </w:rPr>
                    <w:t>1</w:t>
                  </w:r>
                </w:p>
              </w:tc>
              <w:tc>
                <w:tcPr>
                  <w:tcW w:w="481" w:type="pct"/>
                  <w:tcBorders>
                    <w:tl2br w:val="nil"/>
                    <w:tr2bl w:val="nil"/>
                  </w:tcBorders>
                  <w:vAlign w:val="center"/>
                </w:tcPr>
                <w:p w14:paraId="4FB42D4A">
                  <w:pPr>
                    <w:pStyle w:val="97"/>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jc w:val="center"/>
                    <w:textAlignment w:val="auto"/>
                    <w:rPr>
                      <w:rFonts w:ascii="Times New Roman" w:hAnsi="Times New Roman" w:eastAsia="宋体"/>
                      <w:color w:val="auto"/>
                      <w:sz w:val="21"/>
                      <w:szCs w:val="21"/>
                    </w:rPr>
                  </w:pPr>
                  <w:r>
                    <w:rPr>
                      <w:rFonts w:ascii="Times New Roman" w:hAnsi="Times New Roman" w:eastAsia="宋体"/>
                      <w:color w:val="auto"/>
                      <w:spacing w:val="-8"/>
                      <w:sz w:val="21"/>
                      <w:szCs w:val="21"/>
                    </w:rPr>
                    <w:t>福州</w:t>
                  </w:r>
                </w:p>
                <w:p w14:paraId="20B3F384">
                  <w:pPr>
                    <w:pStyle w:val="97"/>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jc w:val="center"/>
                    <w:textAlignment w:val="auto"/>
                    <w:rPr>
                      <w:rFonts w:ascii="Times New Roman" w:hAnsi="Times New Roman" w:eastAsia="宋体"/>
                      <w:color w:val="auto"/>
                      <w:sz w:val="21"/>
                      <w:szCs w:val="21"/>
                    </w:rPr>
                  </w:pPr>
                  <w:r>
                    <w:rPr>
                      <w:rFonts w:ascii="Times New Roman" w:hAnsi="Times New Roman" w:eastAsia="宋体"/>
                      <w:color w:val="auto"/>
                      <w:spacing w:val="-10"/>
                      <w:sz w:val="21"/>
                      <w:szCs w:val="21"/>
                    </w:rPr>
                    <w:t>市</w:t>
                  </w:r>
                </w:p>
              </w:tc>
              <w:tc>
                <w:tcPr>
                  <w:tcW w:w="467" w:type="pct"/>
                  <w:tcBorders>
                    <w:tl2br w:val="nil"/>
                    <w:tr2bl w:val="nil"/>
                  </w:tcBorders>
                  <w:vAlign w:val="center"/>
                </w:tcPr>
                <w:p w14:paraId="017294B0">
                  <w:pPr>
                    <w:pStyle w:val="97"/>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right="0"/>
                    <w:textAlignment w:val="auto"/>
                    <w:rPr>
                      <w:rFonts w:hint="default" w:ascii="Times New Roman" w:hAnsi="Times New Roman" w:eastAsia="宋体"/>
                      <w:color w:val="auto"/>
                      <w:sz w:val="21"/>
                      <w:szCs w:val="21"/>
                      <w:lang w:val="en-US" w:eastAsia="zh-CN"/>
                    </w:rPr>
                  </w:pPr>
                  <w:r>
                    <w:rPr>
                      <w:rFonts w:ascii="Times New Roman" w:hAnsi="Times New Roman" w:eastAsia="宋体"/>
                      <w:color w:val="auto"/>
                      <w:spacing w:val="-4"/>
                      <w:sz w:val="21"/>
                      <w:szCs w:val="21"/>
                    </w:rPr>
                    <w:t>2.</w:t>
                  </w:r>
                  <w:r>
                    <w:rPr>
                      <w:rFonts w:hint="eastAsia" w:ascii="Times New Roman" w:hAnsi="Times New Roman" w:eastAsia="宋体"/>
                      <w:color w:val="auto"/>
                      <w:spacing w:val="-4"/>
                      <w:sz w:val="21"/>
                      <w:szCs w:val="21"/>
                      <w:lang w:val="en-US" w:eastAsia="zh-CN"/>
                    </w:rPr>
                    <w:t>40</w:t>
                  </w:r>
                </w:p>
              </w:tc>
              <w:tc>
                <w:tcPr>
                  <w:tcW w:w="704" w:type="dxa"/>
                  <w:tcBorders>
                    <w:tl2br w:val="nil"/>
                    <w:tr2bl w:val="nil"/>
                  </w:tcBorders>
                  <w:vAlign w:val="center"/>
                </w:tcPr>
                <w:p w14:paraId="14E0C0DE">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ascii="Times New Roman" w:hAnsi="Times New Roman" w:eastAsia="宋体"/>
                      <w:color w:val="auto"/>
                      <w:sz w:val="21"/>
                      <w:szCs w:val="21"/>
                    </w:rPr>
                  </w:pPr>
                  <w:r>
                    <w:rPr>
                      <w:rFonts w:hint="eastAsia" w:ascii="Times New Roman" w:hAnsi="Times New Roman" w:eastAsia="宋体" w:cs="宋体"/>
                      <w:i w:val="0"/>
                      <w:iCs w:val="0"/>
                      <w:caps w:val="0"/>
                      <w:color w:val="auto"/>
                      <w:spacing w:val="0"/>
                      <w:sz w:val="21"/>
                      <w:szCs w:val="21"/>
                    </w:rPr>
                    <w:t>4</w:t>
                  </w:r>
                </w:p>
              </w:tc>
              <w:tc>
                <w:tcPr>
                  <w:tcW w:w="736" w:type="dxa"/>
                  <w:tcBorders>
                    <w:tl2br w:val="nil"/>
                    <w:tr2bl w:val="nil"/>
                  </w:tcBorders>
                  <w:vAlign w:val="center"/>
                </w:tcPr>
                <w:p w14:paraId="6B522415">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olor w:val="auto"/>
                      <w:sz w:val="21"/>
                      <w:szCs w:val="21"/>
                      <w:lang w:val="en-US" w:eastAsia="zh-CN"/>
                    </w:rPr>
                  </w:pPr>
                  <w:r>
                    <w:rPr>
                      <w:rFonts w:hint="eastAsia" w:cs="宋体"/>
                      <w:i w:val="0"/>
                      <w:iCs w:val="0"/>
                      <w:caps w:val="0"/>
                      <w:color w:val="auto"/>
                      <w:spacing w:val="0"/>
                      <w:sz w:val="21"/>
                      <w:szCs w:val="21"/>
                      <w:lang w:val="en-US" w:eastAsia="zh-CN"/>
                    </w:rPr>
                    <w:t>15</w:t>
                  </w:r>
                </w:p>
              </w:tc>
              <w:tc>
                <w:tcPr>
                  <w:tcW w:w="797" w:type="dxa"/>
                  <w:tcBorders>
                    <w:tl2br w:val="nil"/>
                    <w:tr2bl w:val="nil"/>
                  </w:tcBorders>
                  <w:vAlign w:val="center"/>
                </w:tcPr>
                <w:p w14:paraId="34653365">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s="宋体"/>
                      <w:i w:val="0"/>
                      <w:iCs w:val="0"/>
                      <w:caps w:val="0"/>
                      <w:color w:val="auto"/>
                      <w:spacing w:val="0"/>
                      <w:sz w:val="21"/>
                      <w:szCs w:val="21"/>
                    </w:rPr>
                    <w:t>3</w:t>
                  </w:r>
                  <w:r>
                    <w:rPr>
                      <w:rFonts w:hint="eastAsia" w:cs="宋体"/>
                      <w:i w:val="0"/>
                      <w:iCs w:val="0"/>
                      <w:caps w:val="0"/>
                      <w:color w:val="auto"/>
                      <w:spacing w:val="0"/>
                      <w:sz w:val="21"/>
                      <w:szCs w:val="21"/>
                      <w:lang w:val="en-US" w:eastAsia="zh-CN"/>
                    </w:rPr>
                    <w:t>2</w:t>
                  </w:r>
                </w:p>
              </w:tc>
              <w:tc>
                <w:tcPr>
                  <w:tcW w:w="867" w:type="dxa"/>
                  <w:tcBorders>
                    <w:tl2br w:val="nil"/>
                    <w:tr2bl w:val="nil"/>
                  </w:tcBorders>
                  <w:vAlign w:val="center"/>
                </w:tcPr>
                <w:p w14:paraId="101F9C6E">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olor w:val="auto"/>
                      <w:sz w:val="21"/>
                      <w:szCs w:val="21"/>
                      <w:lang w:val="en-US" w:eastAsia="zh-CN"/>
                    </w:rPr>
                  </w:pPr>
                  <w:r>
                    <w:rPr>
                      <w:rFonts w:hint="eastAsia" w:cs="宋体"/>
                      <w:i w:val="0"/>
                      <w:iCs w:val="0"/>
                      <w:caps w:val="0"/>
                      <w:color w:val="auto"/>
                      <w:spacing w:val="0"/>
                      <w:sz w:val="21"/>
                      <w:szCs w:val="21"/>
                      <w:lang w:val="en-US" w:eastAsia="zh-CN"/>
                    </w:rPr>
                    <w:t>17</w:t>
                  </w:r>
                </w:p>
              </w:tc>
              <w:tc>
                <w:tcPr>
                  <w:tcW w:w="1102" w:type="dxa"/>
                  <w:tcBorders>
                    <w:tl2br w:val="nil"/>
                    <w:tr2bl w:val="nil"/>
                  </w:tcBorders>
                  <w:vAlign w:val="center"/>
                </w:tcPr>
                <w:p w14:paraId="268A8719">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Times New Roman" w:hAnsi="Times New Roman" w:eastAsia="宋体"/>
                      <w:color w:val="auto"/>
                      <w:sz w:val="21"/>
                      <w:szCs w:val="21"/>
                      <w:lang w:eastAsia="zh-CN"/>
                    </w:rPr>
                  </w:pPr>
                  <w:r>
                    <w:rPr>
                      <w:rFonts w:hint="eastAsia" w:ascii="Times New Roman" w:hAnsi="Times New Roman" w:eastAsia="宋体" w:cs="宋体"/>
                      <w:i w:val="0"/>
                      <w:iCs w:val="0"/>
                      <w:caps w:val="0"/>
                      <w:color w:val="auto"/>
                      <w:spacing w:val="0"/>
                      <w:sz w:val="21"/>
                      <w:szCs w:val="21"/>
                    </w:rPr>
                    <w:t>0.</w:t>
                  </w:r>
                  <w:r>
                    <w:rPr>
                      <w:rFonts w:hint="eastAsia" w:cs="宋体"/>
                      <w:i w:val="0"/>
                      <w:iCs w:val="0"/>
                      <w:caps w:val="0"/>
                      <w:color w:val="auto"/>
                      <w:spacing w:val="0"/>
                      <w:sz w:val="21"/>
                      <w:szCs w:val="21"/>
                      <w:lang w:val="en-US" w:eastAsia="zh-CN"/>
                    </w:rPr>
                    <w:t>6</w:t>
                  </w:r>
                </w:p>
              </w:tc>
              <w:tc>
                <w:tcPr>
                  <w:tcW w:w="1306" w:type="dxa"/>
                  <w:tcBorders>
                    <w:tl2br w:val="nil"/>
                    <w:tr2bl w:val="nil"/>
                  </w:tcBorders>
                  <w:vAlign w:val="center"/>
                </w:tcPr>
                <w:p w14:paraId="3058D7C6">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Times New Roman" w:hAnsi="Times New Roman" w:eastAsia="宋体"/>
                      <w:color w:val="auto"/>
                      <w:sz w:val="21"/>
                      <w:szCs w:val="21"/>
                      <w:lang w:val="en-US" w:eastAsia="zh-CN"/>
                    </w:rPr>
                  </w:pPr>
                  <w:r>
                    <w:rPr>
                      <w:rFonts w:hint="eastAsia" w:ascii="Times New Roman" w:hAnsi="Times New Roman" w:eastAsia="宋体" w:cs="宋体"/>
                      <w:i w:val="0"/>
                      <w:iCs w:val="0"/>
                      <w:caps w:val="0"/>
                      <w:color w:val="auto"/>
                      <w:spacing w:val="0"/>
                      <w:sz w:val="21"/>
                      <w:szCs w:val="21"/>
                    </w:rPr>
                    <w:t>13</w:t>
                  </w:r>
                  <w:r>
                    <w:rPr>
                      <w:rFonts w:hint="eastAsia" w:cs="宋体"/>
                      <w:i w:val="0"/>
                      <w:iCs w:val="0"/>
                      <w:caps w:val="0"/>
                      <w:color w:val="auto"/>
                      <w:spacing w:val="0"/>
                      <w:sz w:val="21"/>
                      <w:szCs w:val="21"/>
                      <w:lang w:val="en-US" w:eastAsia="zh-CN"/>
                    </w:rPr>
                    <w:t>6</w:t>
                  </w:r>
                </w:p>
              </w:tc>
              <w:tc>
                <w:tcPr>
                  <w:tcW w:w="931" w:type="dxa"/>
                  <w:tcBorders>
                    <w:tl2br w:val="nil"/>
                    <w:tr2bl w:val="nil"/>
                  </w:tcBorders>
                  <w:vAlign w:val="center"/>
                </w:tcPr>
                <w:p w14:paraId="47E788C3">
                  <w:pPr>
                    <w:pStyle w:val="30"/>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jc w:val="center"/>
                    <w:textAlignment w:val="auto"/>
                    <w:rPr>
                      <w:rFonts w:ascii="Times New Roman" w:hAnsi="Times New Roman" w:eastAsia="宋体"/>
                      <w:color w:val="auto"/>
                      <w:sz w:val="21"/>
                      <w:szCs w:val="21"/>
                    </w:rPr>
                  </w:pPr>
                  <w:r>
                    <w:rPr>
                      <w:rFonts w:hint="eastAsia" w:ascii="Times New Roman" w:hAnsi="Times New Roman" w:eastAsia="宋体" w:cs="宋体"/>
                      <w:i w:val="0"/>
                      <w:iCs w:val="0"/>
                      <w:caps w:val="0"/>
                      <w:color w:val="auto"/>
                      <w:spacing w:val="0"/>
                      <w:sz w:val="21"/>
                      <w:szCs w:val="21"/>
                    </w:rPr>
                    <w:t>臭氧</w:t>
                  </w:r>
                </w:p>
              </w:tc>
            </w:tr>
          </w:tbl>
          <w:p w14:paraId="5AB6C42B">
            <w:pPr>
              <w:pStyle w:val="46"/>
              <w:bidi w:val="0"/>
              <w:rPr>
                <w:rFonts w:hint="eastAsia" w:ascii="Times New Roman" w:hAnsi="Times New Roman" w:eastAsia="宋体" w:cs="宋体"/>
                <w:color w:val="auto"/>
                <w:highlight w:val="none"/>
                <w:lang w:val="en-US" w:eastAsia="zh-CN"/>
              </w:rPr>
            </w:pPr>
            <w:r>
              <w:rPr>
                <w:rFonts w:hint="eastAsia" w:cs="宋体"/>
                <w:color w:val="auto"/>
                <w:highlight w:val="none"/>
                <w:lang w:val="en-US" w:eastAsia="zh-CN"/>
              </w:rPr>
              <w:t>（</w:t>
            </w:r>
            <w:r>
              <w:rPr>
                <w:rFonts w:hint="eastAsia" w:ascii="Times New Roman" w:hAnsi="Times New Roman" w:eastAsia="宋体" w:cs="宋体"/>
                <w:color w:val="auto"/>
                <w:highlight w:val="none"/>
                <w:lang w:val="en-US" w:eastAsia="zh-CN"/>
              </w:rPr>
              <w:t>详见附图</w:t>
            </w:r>
            <w:r>
              <w:rPr>
                <w:rFonts w:hint="eastAsia" w:cs="宋体"/>
                <w:color w:val="auto"/>
                <w:highlight w:val="none"/>
                <w:lang w:val="en-US" w:eastAsia="zh-CN"/>
              </w:rPr>
              <w:t>6</w:t>
            </w:r>
            <w:r>
              <w:rPr>
                <w:rFonts w:hint="eastAsia" w:ascii="Times New Roman" w:hAnsi="Times New Roman" w:eastAsia="宋体" w:cs="宋体"/>
                <w:color w:val="auto"/>
                <w:highlight w:val="none"/>
                <w:lang w:val="en-US" w:eastAsia="zh-CN"/>
              </w:rPr>
              <w:t>、附图</w:t>
            </w:r>
            <w:r>
              <w:rPr>
                <w:rFonts w:hint="eastAsia" w:cs="宋体"/>
                <w:color w:val="auto"/>
                <w:highlight w:val="none"/>
                <w:lang w:val="en-US" w:eastAsia="zh-CN"/>
              </w:rPr>
              <w:t>7）</w:t>
            </w:r>
            <w:r>
              <w:rPr>
                <w:rFonts w:hint="eastAsia" w:ascii="Times New Roman" w:hAnsi="Times New Roman" w:eastAsia="宋体" w:cs="宋体"/>
                <w:color w:val="auto"/>
                <w:highlight w:val="none"/>
                <w:lang w:val="en-US" w:eastAsia="zh-CN"/>
              </w:rPr>
              <w:t>。</w:t>
            </w:r>
          </w:p>
          <w:p w14:paraId="5BB3C3A6">
            <w:pPr>
              <w:pStyle w:val="46"/>
              <w:numPr>
                <w:ilvl w:val="0"/>
                <w:numId w:val="0"/>
              </w:numPr>
              <w:bidi w:val="0"/>
              <w:ind w:leftChars="0"/>
              <w:rPr>
                <w:rFonts w:hint="eastAsia" w:ascii="Times New Roman" w:hAnsi="Times New Roman" w:eastAsia="宋体" w:cs="宋体"/>
                <w:color w:val="auto"/>
                <w:highlight w:val="none"/>
                <w:lang w:val="en-US" w:eastAsia="zh-CN"/>
              </w:rPr>
            </w:pPr>
            <w:r>
              <w:rPr>
                <w:rFonts w:hint="eastAsia" w:cs="宋体"/>
                <w:color w:val="auto"/>
                <w:highlight w:val="none"/>
                <w:lang w:val="en-US" w:eastAsia="zh-CN"/>
              </w:rPr>
              <w:t>（2）</w:t>
            </w:r>
            <w:r>
              <w:rPr>
                <w:rFonts w:hint="eastAsia" w:ascii="宋体" w:hAnsi="宋体" w:cs="宋体"/>
                <w:color w:val="auto"/>
                <w:sz w:val="24"/>
                <w:highlight w:val="none"/>
              </w:rPr>
              <w:t>特征</w:t>
            </w:r>
            <w:r>
              <w:rPr>
                <w:rFonts w:hint="eastAsia"/>
                <w:color w:val="auto"/>
                <w:sz w:val="24"/>
                <w:highlight w:val="none"/>
              </w:rPr>
              <w:t>污染</w:t>
            </w:r>
            <w:r>
              <w:rPr>
                <w:rFonts w:hint="eastAsia" w:ascii="宋体" w:hAnsi="宋体" w:cs="宋体"/>
                <w:color w:val="auto"/>
                <w:sz w:val="24"/>
                <w:highlight w:val="none"/>
              </w:rPr>
              <w:t>因子</w:t>
            </w:r>
          </w:p>
          <w:p w14:paraId="5C78FC70">
            <w:pPr>
              <w:pStyle w:val="14"/>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color w:val="auto"/>
                <w:kern w:val="2"/>
                <w:sz w:val="24"/>
                <w:szCs w:val="24"/>
                <w:highlight w:val="none"/>
                <w:lang w:val="en-US" w:eastAsia="zh-CN" w:bidi="ar-SA"/>
              </w:rPr>
            </w:pPr>
            <w:r>
              <w:rPr>
                <w:rFonts w:ascii="Times New Roman" w:hAnsi="Times New Roman" w:eastAsia="宋体" w:cs="Times New Roman"/>
                <w:color w:val="auto"/>
                <w:kern w:val="2"/>
                <w:sz w:val="24"/>
                <w:szCs w:val="24"/>
                <w:highlight w:val="none"/>
                <w:lang w:val="en-US" w:eastAsia="zh-CN" w:bidi="ar-SA"/>
              </w:rPr>
              <w:t>根据《关于</w:t>
            </w:r>
            <w:r>
              <w:rPr>
                <w:rFonts w:hint="eastAsia" w:cs="Times New Roman"/>
                <w:color w:val="auto"/>
                <w:kern w:val="2"/>
                <w:sz w:val="24"/>
                <w:szCs w:val="24"/>
                <w:highlight w:val="none"/>
                <w:lang w:val="en-US" w:eastAsia="zh-CN" w:bidi="ar-SA"/>
              </w:rPr>
              <w:t>〈</w:t>
            </w:r>
            <w:r>
              <w:rPr>
                <w:rFonts w:ascii="Times New Roman" w:hAnsi="Times New Roman" w:eastAsia="宋体" w:cs="Times New Roman"/>
                <w:color w:val="auto"/>
                <w:kern w:val="2"/>
                <w:sz w:val="24"/>
                <w:szCs w:val="24"/>
                <w:highlight w:val="none"/>
                <w:lang w:val="en-US" w:eastAsia="zh-CN" w:bidi="ar-SA"/>
              </w:rPr>
              <w:t>建设项目环境影响报告表</w:t>
            </w:r>
            <w:r>
              <w:rPr>
                <w:rFonts w:hint="eastAsia" w:ascii="Times New Roman" w:hAnsi="Times New Roman" w:eastAsia="宋体" w:cs="Times New Roman"/>
                <w:color w:val="auto"/>
                <w:kern w:val="2"/>
                <w:sz w:val="24"/>
                <w:szCs w:val="24"/>
                <w:highlight w:val="none"/>
                <w:lang w:val="en-US" w:eastAsia="zh-CN" w:bidi="ar-SA"/>
              </w:rPr>
              <w:t>&gt;</w:t>
            </w:r>
            <w:r>
              <w:rPr>
                <w:rFonts w:ascii="Times New Roman" w:hAnsi="Times New Roman" w:eastAsia="宋体" w:cs="Times New Roman"/>
                <w:color w:val="auto"/>
                <w:kern w:val="2"/>
                <w:sz w:val="24"/>
                <w:szCs w:val="24"/>
                <w:highlight w:val="none"/>
                <w:lang w:val="en-US" w:eastAsia="zh-CN" w:bidi="ar-SA"/>
              </w:rPr>
              <w:t>内容、格式及编制技术指南常见问题解答》（生态环境部环境工程评估中心）</w:t>
            </w:r>
            <w:r>
              <w:rPr>
                <w:rFonts w:hint="eastAsia" w:ascii="Times New Roman" w:hAnsi="Times New Roman" w:eastAsia="宋体" w:cs="Times New Roman"/>
                <w:color w:val="auto"/>
                <w:kern w:val="2"/>
                <w:sz w:val="24"/>
                <w:szCs w:val="24"/>
                <w:highlight w:val="none"/>
                <w:lang w:val="en-US" w:eastAsia="zh-CN" w:bidi="ar-SA"/>
              </w:rPr>
              <w:t>：“</w:t>
            </w:r>
            <w:r>
              <w:rPr>
                <w:rFonts w:ascii="Times New Roman" w:hAnsi="Times New Roman" w:eastAsia="宋体" w:cs="Times New Roman"/>
                <w:color w:val="auto"/>
                <w:kern w:val="2"/>
                <w:sz w:val="24"/>
                <w:szCs w:val="24"/>
                <w:highlight w:val="none"/>
                <w:lang w:val="en-US" w:eastAsia="zh-CN" w:bidi="ar-SA"/>
              </w:rPr>
              <w:t>技术指南中提到</w:t>
            </w:r>
            <w:r>
              <w:rPr>
                <w:rFonts w:hint="eastAsia" w:ascii="Times New Roman" w:hAnsi="Times New Roman" w:eastAsia="宋体" w:cs="Times New Roman"/>
                <w:color w:val="auto"/>
                <w:kern w:val="2"/>
                <w:sz w:val="24"/>
                <w:szCs w:val="24"/>
                <w:highlight w:val="none"/>
                <w:lang w:val="en-US" w:eastAsia="zh-CN" w:bidi="ar-SA"/>
              </w:rPr>
              <w:t>‘</w:t>
            </w:r>
            <w:r>
              <w:rPr>
                <w:rFonts w:ascii="Times New Roman" w:hAnsi="Times New Roman" w:eastAsia="宋体" w:cs="Times New Roman"/>
                <w:color w:val="auto"/>
                <w:kern w:val="2"/>
                <w:sz w:val="24"/>
                <w:szCs w:val="24"/>
                <w:highlight w:val="none"/>
                <w:lang w:val="en-US" w:eastAsia="zh-CN" w:bidi="ar-SA"/>
              </w:rPr>
              <w:t>排放国家、地方环境空气质量标准中有标准限值要求的特征污染物</w:t>
            </w:r>
            <w:r>
              <w:rPr>
                <w:rFonts w:hint="eastAsia" w:ascii="Times New Roman" w:hAnsi="Times New Roman" w:eastAsia="宋体" w:cs="Times New Roman"/>
                <w:color w:val="auto"/>
                <w:kern w:val="2"/>
                <w:sz w:val="24"/>
                <w:szCs w:val="24"/>
                <w:highlight w:val="none"/>
                <w:lang w:val="en-US" w:eastAsia="zh-CN" w:bidi="ar-SA"/>
              </w:rPr>
              <w:t>’</w:t>
            </w:r>
            <w:r>
              <w:rPr>
                <w:rFonts w:ascii="Times New Roman" w:hAnsi="Times New Roman" w:eastAsia="宋体" w:cs="Times New Roman"/>
                <w:color w:val="auto"/>
                <w:kern w:val="2"/>
                <w:sz w:val="24"/>
                <w:szCs w:val="24"/>
                <w:highlight w:val="none"/>
                <w:lang w:val="en-US" w:eastAsia="zh-CN" w:bidi="ar-SA"/>
              </w:rPr>
              <w:t>，其中环境空气质量标准指《环境空气质量标准》</w:t>
            </w:r>
            <w:r>
              <w:rPr>
                <w:rFonts w:hint="eastAsia" w:cs="Times New Roman"/>
                <w:color w:val="auto"/>
                <w:kern w:val="2"/>
                <w:sz w:val="24"/>
                <w:szCs w:val="24"/>
                <w:highlight w:val="none"/>
                <w:lang w:val="en-US" w:eastAsia="zh-CN" w:bidi="ar-SA"/>
              </w:rPr>
              <w:t>（</w:t>
            </w:r>
            <w:r>
              <w:rPr>
                <w:rFonts w:ascii="Times New Roman" w:hAnsi="Times New Roman" w:eastAsia="宋体" w:cs="Times New Roman"/>
                <w:color w:val="auto"/>
                <w:kern w:val="2"/>
                <w:sz w:val="24"/>
                <w:szCs w:val="24"/>
                <w:highlight w:val="none"/>
                <w:lang w:val="en-US" w:eastAsia="zh-CN" w:bidi="ar-SA"/>
              </w:rPr>
              <w:t>GB3095</w:t>
            </w:r>
            <w:r>
              <w:rPr>
                <w:rFonts w:hint="eastAsia" w:cs="Times New Roman"/>
                <w:color w:val="auto"/>
                <w:kern w:val="2"/>
                <w:sz w:val="24"/>
                <w:szCs w:val="24"/>
                <w:highlight w:val="none"/>
                <w:lang w:val="en-US" w:eastAsia="zh-CN" w:bidi="ar-SA"/>
              </w:rPr>
              <w:t>）</w:t>
            </w:r>
            <w:r>
              <w:rPr>
                <w:rFonts w:ascii="Times New Roman" w:hAnsi="Times New Roman" w:eastAsia="宋体" w:cs="Times New Roman"/>
                <w:color w:val="auto"/>
                <w:kern w:val="2"/>
                <w:sz w:val="24"/>
                <w:szCs w:val="24"/>
                <w:highlight w:val="none"/>
                <w:lang w:val="en-US" w:eastAsia="zh-CN" w:bidi="ar-SA"/>
              </w:rPr>
              <w:t>和地方的环境空气质量标准，不包括《环境影响评价技术导则 大气环境》</w:t>
            </w:r>
            <w:r>
              <w:rPr>
                <w:rFonts w:hint="eastAsia" w:cs="Times New Roman"/>
                <w:color w:val="auto"/>
                <w:kern w:val="2"/>
                <w:sz w:val="24"/>
                <w:szCs w:val="24"/>
                <w:highlight w:val="none"/>
                <w:lang w:val="en-US" w:eastAsia="zh-CN" w:bidi="ar-SA"/>
              </w:rPr>
              <w:t>（</w:t>
            </w:r>
            <w:r>
              <w:rPr>
                <w:rFonts w:ascii="Times New Roman" w:hAnsi="Times New Roman" w:eastAsia="宋体" w:cs="Times New Roman"/>
                <w:color w:val="auto"/>
                <w:kern w:val="2"/>
                <w:sz w:val="24"/>
                <w:szCs w:val="24"/>
                <w:highlight w:val="none"/>
                <w:lang w:val="en-US" w:eastAsia="zh-CN" w:bidi="ar-SA"/>
              </w:rPr>
              <w:t>HJ2.2-2018</w:t>
            </w:r>
            <w:r>
              <w:rPr>
                <w:rFonts w:hint="eastAsia" w:cs="Times New Roman"/>
                <w:color w:val="auto"/>
                <w:kern w:val="2"/>
                <w:sz w:val="24"/>
                <w:szCs w:val="24"/>
                <w:highlight w:val="none"/>
                <w:lang w:val="en-US" w:eastAsia="zh-CN" w:bidi="ar-SA"/>
              </w:rPr>
              <w:t>）</w:t>
            </w:r>
            <w:r>
              <w:rPr>
                <w:rFonts w:ascii="Times New Roman" w:hAnsi="Times New Roman" w:eastAsia="宋体" w:cs="Times New Roman"/>
                <w:color w:val="auto"/>
                <w:kern w:val="2"/>
                <w:sz w:val="24"/>
                <w:szCs w:val="24"/>
                <w:highlight w:val="none"/>
                <w:lang w:val="en-US" w:eastAsia="zh-CN" w:bidi="ar-SA"/>
              </w:rPr>
              <w:t>附录D、《工业企业设计卫生标准》</w:t>
            </w:r>
            <w:r>
              <w:rPr>
                <w:rFonts w:hint="eastAsia" w:cs="Times New Roman"/>
                <w:color w:val="auto"/>
                <w:kern w:val="2"/>
                <w:sz w:val="24"/>
                <w:szCs w:val="24"/>
                <w:highlight w:val="none"/>
                <w:lang w:val="en-US" w:eastAsia="zh-CN" w:bidi="ar-SA"/>
              </w:rPr>
              <w:t>（</w:t>
            </w:r>
            <w:r>
              <w:rPr>
                <w:rFonts w:ascii="Times New Roman" w:hAnsi="Times New Roman" w:eastAsia="宋体" w:cs="Times New Roman"/>
                <w:color w:val="auto"/>
                <w:kern w:val="2"/>
                <w:sz w:val="24"/>
                <w:szCs w:val="24"/>
                <w:highlight w:val="none"/>
                <w:lang w:val="en-US" w:eastAsia="zh-CN" w:bidi="ar-SA"/>
              </w:rPr>
              <w:t>TJ36-97</w:t>
            </w:r>
            <w:r>
              <w:rPr>
                <w:rFonts w:hint="eastAsia"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w:t>
            </w:r>
            <w:r>
              <w:rPr>
                <w:rFonts w:ascii="Times New Roman" w:hAnsi="Times New Roman" w:eastAsia="宋体" w:cs="Times New Roman"/>
                <w:color w:val="auto"/>
                <w:kern w:val="2"/>
                <w:sz w:val="24"/>
                <w:szCs w:val="24"/>
                <w:highlight w:val="none"/>
                <w:lang w:val="en-US" w:eastAsia="zh-CN" w:bidi="ar-SA"/>
              </w:rPr>
              <w:t>《前苏联居住区标准》</w:t>
            </w:r>
            <w:r>
              <w:rPr>
                <w:rFonts w:hint="eastAsia" w:cs="Times New Roman"/>
                <w:color w:val="auto"/>
                <w:kern w:val="2"/>
                <w:sz w:val="24"/>
                <w:szCs w:val="24"/>
                <w:highlight w:val="none"/>
                <w:lang w:val="en-US" w:eastAsia="zh-CN" w:bidi="ar-SA"/>
              </w:rPr>
              <w:t>（</w:t>
            </w:r>
            <w:r>
              <w:rPr>
                <w:rFonts w:ascii="Times New Roman" w:hAnsi="Times New Roman" w:eastAsia="宋体" w:cs="Times New Roman"/>
                <w:color w:val="auto"/>
                <w:kern w:val="2"/>
                <w:sz w:val="24"/>
                <w:szCs w:val="24"/>
                <w:highlight w:val="none"/>
                <w:lang w:val="en-US" w:eastAsia="zh-CN" w:bidi="ar-SA"/>
              </w:rPr>
              <w:t>CH245-71</w:t>
            </w:r>
            <w:r>
              <w:rPr>
                <w:rFonts w:hint="eastAsia" w:cs="Times New Roman"/>
                <w:color w:val="auto"/>
                <w:kern w:val="2"/>
                <w:sz w:val="24"/>
                <w:szCs w:val="24"/>
                <w:highlight w:val="none"/>
                <w:lang w:val="en-US" w:eastAsia="zh-CN" w:bidi="ar-SA"/>
              </w:rPr>
              <w:t>）</w:t>
            </w:r>
            <w:r>
              <w:rPr>
                <w:rFonts w:ascii="Times New Roman" w:hAnsi="Times New Roman" w:eastAsia="宋体" w:cs="Times New Roman"/>
                <w:color w:val="auto"/>
                <w:kern w:val="2"/>
                <w:sz w:val="24"/>
                <w:szCs w:val="24"/>
                <w:highlight w:val="none"/>
                <w:lang w:val="en-US" w:eastAsia="zh-CN" w:bidi="ar-SA"/>
              </w:rPr>
              <w:t>、《环境影响评价技术导则 制药建设项目》</w:t>
            </w:r>
            <w:r>
              <w:rPr>
                <w:rFonts w:hint="eastAsia" w:cs="Times New Roman"/>
                <w:color w:val="auto"/>
                <w:kern w:val="2"/>
                <w:sz w:val="24"/>
                <w:szCs w:val="24"/>
                <w:highlight w:val="none"/>
                <w:lang w:val="en-US" w:eastAsia="zh-CN" w:bidi="ar-SA"/>
              </w:rPr>
              <w:t>（</w:t>
            </w:r>
            <w:r>
              <w:rPr>
                <w:rFonts w:ascii="Times New Roman" w:hAnsi="Times New Roman" w:eastAsia="宋体" w:cs="Times New Roman"/>
                <w:color w:val="auto"/>
                <w:kern w:val="2"/>
                <w:sz w:val="24"/>
                <w:szCs w:val="24"/>
                <w:highlight w:val="none"/>
                <w:lang w:val="en-US" w:eastAsia="zh-CN" w:bidi="ar-SA"/>
              </w:rPr>
              <w:t>HJ611-2011</w:t>
            </w:r>
            <w:r>
              <w:rPr>
                <w:rFonts w:hint="eastAsia" w:cs="Times New Roman"/>
                <w:color w:val="auto"/>
                <w:kern w:val="2"/>
                <w:sz w:val="24"/>
                <w:szCs w:val="24"/>
                <w:highlight w:val="none"/>
                <w:lang w:val="en-US" w:eastAsia="zh-CN" w:bidi="ar-SA"/>
              </w:rPr>
              <w:t>）</w:t>
            </w:r>
            <w:r>
              <w:rPr>
                <w:rFonts w:ascii="Times New Roman" w:hAnsi="Times New Roman" w:eastAsia="宋体" w:cs="Times New Roman"/>
                <w:color w:val="auto"/>
                <w:kern w:val="2"/>
                <w:sz w:val="24"/>
                <w:szCs w:val="24"/>
                <w:highlight w:val="none"/>
                <w:lang w:val="en-US" w:eastAsia="zh-CN" w:bidi="ar-SA"/>
              </w:rPr>
              <w:t>、《大气污染物综合排放标准详解》等导则或参考资料。排放的特征污染物需要在国家、地方环境空气质量标准中有限值要求才涉及现状监测，且优先引用现有监测数据</w:t>
            </w:r>
            <w:r>
              <w:rPr>
                <w:rFonts w:hint="eastAsia" w:ascii="Times New Roman" w:hAnsi="Times New Roman" w:eastAsia="宋体" w:cs="Times New Roman"/>
                <w:color w:val="auto"/>
                <w:kern w:val="2"/>
                <w:sz w:val="24"/>
                <w:szCs w:val="24"/>
                <w:highlight w:val="none"/>
                <w:lang w:val="en-US" w:eastAsia="zh-CN" w:bidi="ar-SA"/>
              </w:rPr>
              <w:t>”</w:t>
            </w:r>
            <w:r>
              <w:rPr>
                <w:rFonts w:ascii="Times New Roman" w:hAnsi="Times New Roman" w:eastAsia="宋体" w:cs="Times New Roman"/>
                <w:color w:val="auto"/>
                <w:kern w:val="2"/>
                <w:sz w:val="24"/>
                <w:szCs w:val="24"/>
                <w:highlight w:val="none"/>
                <w:lang w:val="en-US" w:eastAsia="zh-CN" w:bidi="ar-SA"/>
              </w:rPr>
              <w:t>。</w:t>
            </w:r>
          </w:p>
          <w:p w14:paraId="280F8D43">
            <w:pPr>
              <w:pStyle w:val="47"/>
              <w:spacing w:after="0"/>
              <w:ind w:left="0" w:leftChars="0" w:firstLine="0" w:firstLineChars="0"/>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引用数据的有效性分析</w:t>
            </w:r>
          </w:p>
          <w:p w14:paraId="56AD7F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根据《环境影响评价技术导则 大气环境》</w:t>
            </w:r>
            <w:r>
              <w:rPr>
                <w:rFonts w:hint="eastAsia"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HJ2.2-2018</w:t>
            </w:r>
            <w:r>
              <w:rPr>
                <w:rFonts w:hint="eastAsia"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的6.2.1.1要求：“项目所在区域达标判定，优先采用国家或地方生态环境主管部门发布的评价基准年环境质量公告或环境质量报告中的数据或结论”，根据</w:t>
            </w:r>
            <w:r>
              <w:rPr>
                <w:rFonts w:hint="eastAsia" w:ascii="Times New Roman" w:hAnsi="Times New Roman" w:eastAsia="宋体" w:cs="Times New Roman"/>
                <w:color w:val="auto"/>
                <w:kern w:val="0"/>
                <w:sz w:val="24"/>
                <w:szCs w:val="24"/>
                <w:lang w:val="en-US" w:eastAsia="zh-CN" w:bidi="ar"/>
              </w:rPr>
              <w:t>《建设项目环境影响报告表编制技术指南（污染影响类）（试行）》（环办环评〔2020〕33号）的要求：“大气环境区域环境质量现状常规污染物引用与建设项目距离近的有效数据，包括近3年的规划环境影响评价的监测数据，国家、地方环境空气质量监测网数据或生态环境主管部门公开发布的质量数据等，排放国家、地方环境空气质量标准中有标准限值要求的特征污染物时，引用建设项目周边5千米范围内近3年的现有监测数据”。</w:t>
            </w:r>
          </w:p>
          <w:p w14:paraId="49090A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b w:val="0"/>
                <w:bCs w:val="0"/>
                <w:color w:val="auto"/>
                <w:sz w:val="24"/>
                <w:szCs w:val="22"/>
                <w:highlight w:val="none"/>
                <w:lang w:val="en-US" w:eastAsia="zh-CN"/>
              </w:rPr>
            </w:pPr>
            <w:r>
              <w:rPr>
                <w:rFonts w:hint="default" w:ascii="Times New Roman" w:hAnsi="Times New Roman" w:eastAsia="宋体" w:cs="Times New Roman"/>
                <w:b w:val="0"/>
                <w:bCs w:val="0"/>
                <w:color w:val="auto"/>
                <w:sz w:val="24"/>
                <w:szCs w:val="22"/>
                <w:highlight w:val="none"/>
                <w:lang w:val="en-US" w:eastAsia="zh-CN"/>
              </w:rPr>
              <w:t>根据《建设项目环境影响报告表编制技术指南</w:t>
            </w:r>
            <w:r>
              <w:rPr>
                <w:rFonts w:hint="eastAsia" w:cs="Times New Roman"/>
                <w:b w:val="0"/>
                <w:bCs w:val="0"/>
                <w:color w:val="auto"/>
                <w:sz w:val="24"/>
                <w:szCs w:val="22"/>
                <w:highlight w:val="none"/>
                <w:lang w:val="en-US" w:eastAsia="zh-CN"/>
              </w:rPr>
              <w:t>（</w:t>
            </w:r>
            <w:r>
              <w:rPr>
                <w:rFonts w:hint="default" w:ascii="Times New Roman" w:hAnsi="Times New Roman" w:eastAsia="宋体" w:cs="Times New Roman"/>
                <w:b w:val="0"/>
                <w:bCs w:val="0"/>
                <w:color w:val="auto"/>
                <w:sz w:val="24"/>
                <w:szCs w:val="22"/>
                <w:highlight w:val="none"/>
                <w:lang w:val="en-US" w:eastAsia="zh-CN"/>
              </w:rPr>
              <w:t>污染影响类</w:t>
            </w:r>
            <w:r>
              <w:rPr>
                <w:rFonts w:hint="eastAsia" w:cs="Times New Roman"/>
                <w:b w:val="0"/>
                <w:bCs w:val="0"/>
                <w:color w:val="auto"/>
                <w:sz w:val="24"/>
                <w:szCs w:val="22"/>
                <w:highlight w:val="none"/>
                <w:lang w:val="en-US" w:eastAsia="zh-CN"/>
              </w:rPr>
              <w:t>）（</w:t>
            </w:r>
            <w:r>
              <w:rPr>
                <w:rFonts w:hint="default" w:ascii="Times New Roman" w:hAnsi="Times New Roman" w:eastAsia="宋体" w:cs="Times New Roman"/>
                <w:b w:val="0"/>
                <w:bCs w:val="0"/>
                <w:color w:val="auto"/>
                <w:sz w:val="24"/>
                <w:szCs w:val="22"/>
                <w:highlight w:val="none"/>
                <w:lang w:val="en-US" w:eastAsia="zh-CN"/>
              </w:rPr>
              <w:t>试行</w:t>
            </w:r>
            <w:r>
              <w:rPr>
                <w:rFonts w:hint="eastAsia" w:cs="Times New Roman"/>
                <w:b w:val="0"/>
                <w:bCs w:val="0"/>
                <w:color w:val="auto"/>
                <w:sz w:val="24"/>
                <w:szCs w:val="22"/>
                <w:highlight w:val="none"/>
                <w:lang w:val="en-US" w:eastAsia="zh-CN"/>
              </w:rPr>
              <w:t>）</w:t>
            </w:r>
            <w:r>
              <w:rPr>
                <w:rFonts w:hint="default" w:ascii="Times New Roman" w:hAnsi="Times New Roman" w:eastAsia="宋体" w:cs="Times New Roman"/>
                <w:b w:val="0"/>
                <w:bCs w:val="0"/>
                <w:color w:val="auto"/>
                <w:sz w:val="24"/>
                <w:szCs w:val="22"/>
                <w:highlight w:val="none"/>
                <w:lang w:val="en-US" w:eastAsia="zh-CN"/>
              </w:rPr>
              <w:t>》</w:t>
            </w:r>
            <w:r>
              <w:rPr>
                <w:rFonts w:hint="eastAsia" w:cs="Times New Roman"/>
                <w:b w:val="0"/>
                <w:bCs w:val="0"/>
                <w:color w:val="auto"/>
                <w:sz w:val="24"/>
                <w:szCs w:val="22"/>
                <w:highlight w:val="none"/>
                <w:lang w:val="en-US" w:eastAsia="zh-CN"/>
              </w:rPr>
              <w:t>（环</w:t>
            </w:r>
            <w:r>
              <w:rPr>
                <w:rFonts w:hint="default" w:ascii="Times New Roman" w:hAnsi="Times New Roman" w:eastAsia="宋体" w:cs="Times New Roman"/>
                <w:b w:val="0"/>
                <w:bCs w:val="0"/>
                <w:color w:val="auto"/>
                <w:sz w:val="24"/>
                <w:szCs w:val="22"/>
                <w:highlight w:val="none"/>
                <w:lang w:val="en-US" w:eastAsia="zh-CN"/>
              </w:rPr>
              <w:t>办环评</w:t>
            </w:r>
            <w:r>
              <w:rPr>
                <w:rFonts w:hint="eastAsia" w:cs="Times New Roman"/>
                <w:b w:val="0"/>
                <w:bCs w:val="0"/>
                <w:color w:val="auto"/>
                <w:sz w:val="24"/>
                <w:szCs w:val="22"/>
                <w:highlight w:val="none"/>
                <w:lang w:val="en-US" w:eastAsia="zh-CN"/>
              </w:rPr>
              <w:t>〔2020〕33号）</w:t>
            </w:r>
            <w:r>
              <w:rPr>
                <w:rFonts w:hint="default" w:ascii="Times New Roman" w:hAnsi="Times New Roman" w:eastAsia="宋体" w:cs="Times New Roman"/>
                <w:b w:val="0"/>
                <w:bCs w:val="0"/>
                <w:color w:val="auto"/>
                <w:sz w:val="24"/>
                <w:szCs w:val="22"/>
                <w:highlight w:val="none"/>
                <w:lang w:val="en-US" w:eastAsia="zh-CN"/>
              </w:rPr>
              <w:t>要求：“排放国家、地方环境空气质量标准中有标准限值要求的特征污染物时，引用建设项目周边5千米范围内近3年的现有监测数据，……”。</w:t>
            </w:r>
          </w:p>
          <w:p w14:paraId="706DBCAE">
            <w:pPr>
              <w:keepNext w:val="0"/>
              <w:keepLines w:val="0"/>
              <w:pageBreakBefore w:val="0"/>
              <w:widowControl/>
              <w:suppressLineNumbers w:val="0"/>
              <w:kinsoku/>
              <w:wordWrap/>
              <w:overflowPunct/>
              <w:topLinePunct w:val="0"/>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本次评价选取福建省生态环境厅</w:t>
            </w:r>
            <w:r>
              <w:rPr>
                <w:rFonts w:hint="eastAsia" w:ascii="Times New Roman" w:hAnsi="Times New Roman" w:eastAsia="宋体" w:cs="Times New Roman"/>
                <w:color w:val="auto"/>
                <w:kern w:val="0"/>
                <w:sz w:val="24"/>
                <w:szCs w:val="24"/>
                <w:lang w:val="en-US" w:eastAsia="zh-CN" w:bidi="ar"/>
              </w:rPr>
              <w:t>发</w:t>
            </w:r>
            <w:r>
              <w:rPr>
                <w:rFonts w:hint="default" w:ascii="Times New Roman" w:hAnsi="Times New Roman" w:eastAsia="宋体" w:cs="Times New Roman"/>
                <w:color w:val="auto"/>
                <w:kern w:val="0"/>
                <w:sz w:val="24"/>
                <w:szCs w:val="24"/>
                <w:lang w:val="en-US" w:eastAsia="zh-CN" w:bidi="ar"/>
              </w:rPr>
              <w:t>布的环境空气质量</w:t>
            </w:r>
            <w:r>
              <w:rPr>
                <w:rFonts w:hint="eastAsia" w:ascii="Times New Roman" w:hAnsi="Times New Roman" w:eastAsia="宋体" w:cs="Times New Roman"/>
                <w:color w:val="auto"/>
                <w:kern w:val="0"/>
                <w:sz w:val="24"/>
                <w:szCs w:val="24"/>
                <w:lang w:val="en-US" w:eastAsia="zh-CN" w:bidi="ar"/>
              </w:rPr>
              <w:t>数据</w:t>
            </w:r>
            <w:r>
              <w:rPr>
                <w:rFonts w:hint="default" w:ascii="Times New Roman" w:hAnsi="Times New Roman" w:eastAsia="宋体" w:cs="Times New Roman"/>
                <w:color w:val="auto"/>
                <w:kern w:val="0"/>
                <w:sz w:val="24"/>
                <w:szCs w:val="24"/>
                <w:lang w:val="en-US" w:eastAsia="zh-CN" w:bidi="ar"/>
              </w:rPr>
              <w:t>，符合《环境影响评价技术导则 大气环境》</w:t>
            </w:r>
            <w:r>
              <w:rPr>
                <w:rFonts w:hint="eastAsia"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HJ2.2-2018</w:t>
            </w:r>
            <w:r>
              <w:rPr>
                <w:rFonts w:hint="eastAsia"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、《建设项目环境影响报告表编制技术指南（污染影响类）（试行）》的要求，环境现状监测数据可行。</w:t>
            </w:r>
          </w:p>
          <w:p w14:paraId="1AC231E1">
            <w:pPr>
              <w:pStyle w:val="4"/>
              <w:numPr>
                <w:ilvl w:val="2"/>
                <w:numId w:val="1"/>
              </w:numPr>
              <w:bidi w:val="0"/>
              <w:ind w:left="720" w:leftChars="0" w:hanging="720" w:firstLineChars="0"/>
              <w:rPr>
                <w:rFonts w:hint="eastAsia"/>
                <w:color w:val="auto"/>
                <w:highlight w:val="none"/>
                <w:lang w:val="en-US" w:eastAsia="zh-CN"/>
              </w:rPr>
            </w:pPr>
            <w:r>
              <w:rPr>
                <w:rFonts w:hint="eastAsia"/>
                <w:color w:val="auto"/>
                <w:highlight w:val="none"/>
                <w:lang w:val="en-US" w:eastAsia="zh-CN"/>
              </w:rPr>
              <w:t>声环境质量现状</w:t>
            </w:r>
          </w:p>
          <w:p w14:paraId="1AF027D9">
            <w:pPr>
              <w:pStyle w:val="46"/>
              <w:numPr>
                <w:ilvl w:val="0"/>
                <w:numId w:val="11"/>
              </w:numPr>
              <w:autoSpaceDE w:val="0"/>
              <w:autoSpaceDN w:val="0"/>
              <w:spacing w:before="120" w:beforeLines="50"/>
              <w:ind w:left="425" w:leftChars="0" w:hanging="425" w:firstLineChars="0"/>
              <w:rPr>
                <w:rFonts w:hint="eastAsia"/>
                <w:color w:val="auto"/>
                <w:highlight w:val="none"/>
              </w:rPr>
            </w:pPr>
            <w:r>
              <w:rPr>
                <w:rFonts w:hint="eastAsia"/>
                <w:color w:val="auto"/>
                <w:highlight w:val="none"/>
              </w:rPr>
              <w:t>声环境功能区</w:t>
            </w:r>
          </w:p>
          <w:p w14:paraId="48F9EEAD">
            <w:pPr>
              <w:pStyle w:val="46"/>
              <w:shd w:val="clear"/>
              <w:bidi w:val="0"/>
              <w:rPr>
                <w:rFonts w:hint="eastAsia" w:ascii="Times New Roman" w:hAnsi="Times New Roman" w:eastAsia="宋体" w:cs="宋体"/>
                <w:color w:val="auto"/>
                <w:highlight w:val="none"/>
                <w:lang w:val="en-US" w:eastAsia="zh-CN"/>
              </w:rPr>
            </w:pPr>
            <w:r>
              <w:rPr>
                <w:rFonts w:hint="eastAsia" w:ascii="Times New Roman" w:hAnsi="Times New Roman" w:eastAsia="宋体" w:cs="宋体"/>
                <w:color w:val="auto"/>
                <w:highlight w:val="none"/>
                <w:lang w:val="en-US" w:eastAsia="zh-CN"/>
              </w:rPr>
              <w:t>本项目位于</w:t>
            </w:r>
            <w:r>
              <w:rPr>
                <w:rFonts w:hint="eastAsia"/>
                <w:color w:val="auto"/>
                <w:lang w:val="en-US" w:eastAsia="zh-CN"/>
              </w:rPr>
              <w:t>福建省福州市罗源县凤山镇东大新村3号（2#楼、负压病房大楼以及1#楼1-3层）</w:t>
            </w:r>
            <w:r>
              <w:rPr>
                <w:rFonts w:hint="eastAsia" w:ascii="Times New Roman" w:hAnsi="Times New Roman" w:eastAsia="宋体" w:cs="宋体"/>
                <w:color w:val="auto"/>
                <w:highlight w:val="none"/>
                <w:lang w:val="en-US" w:eastAsia="zh-CN"/>
              </w:rPr>
              <w:t>，根据调查，</w:t>
            </w:r>
            <w:r>
              <w:rPr>
                <w:rFonts w:hint="eastAsia" w:cs="宋体"/>
                <w:color w:val="auto"/>
                <w:highlight w:val="none"/>
                <w:lang w:val="en-US" w:eastAsia="zh-CN"/>
              </w:rPr>
              <w:t>项目属于商住混合区</w:t>
            </w:r>
            <w:r>
              <w:rPr>
                <w:rFonts w:hint="eastAsia" w:ascii="Times New Roman" w:hAnsi="Times New Roman" w:eastAsia="宋体" w:cs="宋体"/>
                <w:color w:val="auto"/>
                <w:highlight w:val="none"/>
                <w:lang w:val="en-US" w:eastAsia="zh-CN"/>
              </w:rPr>
              <w:t>，</w:t>
            </w:r>
            <w:r>
              <w:rPr>
                <w:rFonts w:hint="eastAsia" w:cs="宋体"/>
                <w:color w:val="auto"/>
                <w:highlight w:val="none"/>
                <w:lang w:val="en-US" w:eastAsia="zh-CN"/>
              </w:rPr>
              <w:t>区域噪声</w:t>
            </w:r>
            <w:r>
              <w:rPr>
                <w:rFonts w:hint="eastAsia" w:ascii="Times New Roman" w:hAnsi="Times New Roman" w:eastAsia="宋体" w:cs="宋体"/>
                <w:color w:val="auto"/>
                <w:highlight w:val="none"/>
                <w:lang w:val="en-US" w:eastAsia="zh-CN"/>
              </w:rPr>
              <w:t>执行《声环境质量标准》</w:t>
            </w:r>
            <w:r>
              <w:rPr>
                <w:rFonts w:hint="eastAsia" w:cs="宋体"/>
                <w:color w:val="auto"/>
                <w:highlight w:val="none"/>
                <w:lang w:val="en-US" w:eastAsia="zh-CN"/>
              </w:rPr>
              <w:t>（GB 3096</w:t>
            </w:r>
            <w:r>
              <w:rPr>
                <w:rFonts w:hint="eastAsia" w:ascii="Times New Roman" w:hAnsi="Times New Roman" w:eastAsia="宋体" w:cs="宋体"/>
                <w:color w:val="auto"/>
                <w:highlight w:val="none"/>
                <w:lang w:val="en-US" w:eastAsia="zh-CN"/>
              </w:rPr>
              <w:t>-2008</w:t>
            </w:r>
            <w:r>
              <w:rPr>
                <w:rFonts w:hint="eastAsia" w:cs="宋体"/>
                <w:color w:val="auto"/>
                <w:highlight w:val="none"/>
                <w:lang w:val="en-US" w:eastAsia="zh-CN"/>
              </w:rPr>
              <w:t>）</w:t>
            </w:r>
            <w:r>
              <w:rPr>
                <w:rFonts w:hint="eastAsia" w:ascii="Times New Roman" w:hAnsi="Times New Roman" w:eastAsia="宋体" w:cs="宋体"/>
                <w:color w:val="auto"/>
                <w:highlight w:val="none"/>
                <w:lang w:val="en-US" w:eastAsia="zh-CN"/>
              </w:rPr>
              <w:t>表1中</w:t>
            </w:r>
            <w:r>
              <w:rPr>
                <w:rFonts w:hint="eastAsia" w:cs="宋体"/>
                <w:color w:val="auto"/>
                <w:highlight w:val="none"/>
                <w:lang w:val="en-US" w:eastAsia="zh-CN"/>
              </w:rPr>
              <w:t>2</w:t>
            </w:r>
            <w:r>
              <w:rPr>
                <w:rFonts w:hint="eastAsia" w:ascii="Times New Roman" w:hAnsi="Times New Roman" w:eastAsia="宋体" w:cs="宋体"/>
                <w:color w:val="auto"/>
                <w:highlight w:val="none"/>
                <w:lang w:val="en-US" w:eastAsia="zh-CN"/>
              </w:rPr>
              <w:t>类标准</w:t>
            </w:r>
            <w:r>
              <w:rPr>
                <w:rFonts w:hint="eastAsia" w:cs="宋体"/>
                <w:color w:val="auto"/>
                <w:highlight w:val="none"/>
                <w:lang w:val="en-US" w:eastAsia="zh-CN"/>
              </w:rPr>
              <w:t>。</w:t>
            </w:r>
          </w:p>
          <w:p w14:paraId="7FE91469">
            <w:pPr>
              <w:pStyle w:val="44"/>
              <w:keepNext/>
              <w:keepLines/>
              <w:pageBreakBefore w:val="0"/>
              <w:widowControl w:val="0"/>
              <w:numPr>
                <w:ilvl w:val="7"/>
                <w:numId w:val="10"/>
              </w:numPr>
              <w:tabs>
                <w:tab w:val="left" w:pos="0"/>
              </w:tabs>
              <w:kinsoku/>
              <w:wordWrap/>
              <w:overflowPunct/>
              <w:topLinePunct w:val="0"/>
              <w:autoSpaceDE/>
              <w:autoSpaceDN/>
              <w:bidi w:val="0"/>
              <w:adjustRightInd/>
              <w:snapToGrid/>
              <w:spacing w:before="0" w:after="0"/>
              <w:ind w:left="630" w:leftChars="0" w:firstLineChars="0"/>
              <w:textAlignment w:val="auto"/>
              <w:rPr>
                <w:rFonts w:hint="eastAsia" w:ascii="Times New Roman" w:hAnsi="Times New Roman" w:eastAsia="宋体"/>
                <w:color w:val="auto"/>
                <w:highlight w:val="none"/>
              </w:rPr>
            </w:pPr>
            <w:r>
              <w:rPr>
                <w:rFonts w:hint="eastAsia" w:ascii="Times New Roman" w:hAnsi="Times New Roman" w:eastAsia="宋体"/>
                <w:color w:val="auto"/>
                <w:highlight w:val="none"/>
              </w:rPr>
              <w:t>《声环境质量标准》</w:t>
            </w:r>
            <w:r>
              <w:rPr>
                <w:rFonts w:hint="eastAsia"/>
                <w:color w:val="auto"/>
                <w:highlight w:val="none"/>
                <w:lang w:eastAsia="zh-CN"/>
              </w:rPr>
              <w:t>（</w:t>
            </w:r>
            <w:r>
              <w:rPr>
                <w:rFonts w:hint="eastAsia" w:ascii="Times New Roman" w:hAnsi="Times New Roman" w:eastAsia="宋体"/>
                <w:color w:val="auto"/>
                <w:highlight w:val="none"/>
              </w:rPr>
              <w:t>GB3096-2008</w:t>
            </w:r>
            <w:r>
              <w:rPr>
                <w:rFonts w:hint="eastAsia"/>
                <w:color w:val="auto"/>
                <w:highlight w:val="none"/>
                <w:lang w:eastAsia="zh-CN"/>
              </w:rPr>
              <w:t>）（</w:t>
            </w:r>
            <w:r>
              <w:rPr>
                <w:rFonts w:hint="eastAsia" w:ascii="Times New Roman" w:hAnsi="Times New Roman" w:eastAsia="宋体"/>
                <w:color w:val="auto"/>
                <w:highlight w:val="none"/>
              </w:rPr>
              <w:t>摘录</w:t>
            </w:r>
            <w:r>
              <w:rPr>
                <w:rFonts w:hint="eastAsia"/>
                <w:color w:val="auto"/>
                <w:highlight w:val="none"/>
                <w:lang w:eastAsia="zh-CN"/>
              </w:rPr>
              <w:t>）</w:t>
            </w:r>
          </w:p>
          <w:tbl>
            <w:tblPr>
              <w:tblStyle w:val="34"/>
              <w:tblW w:w="5073" w:type="pct"/>
              <w:tblInd w:w="-79" w:type="dxa"/>
              <w:tblBorders>
                <w:top w:val="single" w:color="000000" w:sz="12" w:space="0"/>
                <w:left w:val="none" w:color="auto" w:sz="0" w:space="0"/>
                <w:bottom w:val="single" w:color="000000" w:sz="12" w:space="0"/>
                <w:right w:val="none" w:color="auto" w:sz="0" w:space="0"/>
                <w:insideH w:val="single" w:color="000000" w:sz="12" w:space="0"/>
                <w:insideV w:val="single" w:color="000000" w:sz="4" w:space="0"/>
              </w:tblBorders>
              <w:tblLayout w:type="autofit"/>
              <w:tblCellMar>
                <w:top w:w="0" w:type="dxa"/>
                <w:left w:w="0" w:type="dxa"/>
                <w:bottom w:w="0" w:type="dxa"/>
                <w:right w:w="0" w:type="dxa"/>
              </w:tblCellMar>
            </w:tblPr>
            <w:tblGrid>
              <w:gridCol w:w="1021"/>
              <w:gridCol w:w="4651"/>
              <w:gridCol w:w="1536"/>
              <w:gridCol w:w="1566"/>
            </w:tblGrid>
            <w:tr w14:paraId="2E438545">
              <w:tblPrEx>
                <w:tblBorders>
                  <w:top w:val="single" w:color="000000" w:sz="12" w:space="0"/>
                  <w:left w:val="none" w:color="auto" w:sz="0" w:space="0"/>
                  <w:bottom w:val="single" w:color="000000" w:sz="12" w:space="0"/>
                  <w:right w:val="none" w:color="auto" w:sz="0" w:space="0"/>
                  <w:insideH w:val="single" w:color="000000" w:sz="12" w:space="0"/>
                  <w:insideV w:val="single" w:color="000000" w:sz="4" w:space="0"/>
                </w:tblBorders>
                <w:tblCellMar>
                  <w:top w:w="0" w:type="dxa"/>
                  <w:left w:w="0" w:type="dxa"/>
                  <w:bottom w:w="0" w:type="dxa"/>
                  <w:right w:w="0" w:type="dxa"/>
                </w:tblCellMar>
              </w:tblPrEx>
              <w:trPr>
                <w:trHeight w:val="397" w:hRule="atLeast"/>
              </w:trPr>
              <w:tc>
                <w:tcPr>
                  <w:tcW w:w="582" w:type="pct"/>
                  <w:vMerge w:val="restart"/>
                  <w:tcBorders>
                    <w:bottom w:val="single" w:color="000000" w:sz="4" w:space="0"/>
                  </w:tcBorders>
                  <w:vAlign w:val="center"/>
                </w:tcPr>
                <w:p w14:paraId="04B26B30">
                  <w:pPr>
                    <w:pStyle w:val="97"/>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ascii="Times New Roman" w:hAnsi="Times New Roman" w:eastAsia="宋体"/>
                      <w:color w:val="auto"/>
                      <w:sz w:val="21"/>
                    </w:rPr>
                  </w:pPr>
                  <w:r>
                    <w:rPr>
                      <w:rFonts w:ascii="Times New Roman" w:hAnsi="Times New Roman" w:eastAsia="宋体"/>
                      <w:color w:val="auto"/>
                      <w:spacing w:val="-6"/>
                      <w:sz w:val="21"/>
                    </w:rPr>
                    <w:t>标准</w:t>
                  </w:r>
                  <w:r>
                    <w:rPr>
                      <w:rFonts w:ascii="Times New Roman" w:hAnsi="Times New Roman" w:eastAsia="宋体"/>
                      <w:color w:val="auto"/>
                      <w:spacing w:val="-8"/>
                      <w:sz w:val="21"/>
                    </w:rPr>
                    <w:t>类别</w:t>
                  </w:r>
                </w:p>
              </w:tc>
              <w:tc>
                <w:tcPr>
                  <w:tcW w:w="2650" w:type="pct"/>
                  <w:vMerge w:val="restart"/>
                  <w:tcBorders>
                    <w:bottom w:val="single" w:color="000000" w:sz="4" w:space="0"/>
                  </w:tcBorders>
                  <w:vAlign w:val="center"/>
                </w:tcPr>
                <w:p w14:paraId="7BB776F2">
                  <w:pPr>
                    <w:pStyle w:val="9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宋体"/>
                      <w:color w:val="auto"/>
                      <w:sz w:val="21"/>
                    </w:rPr>
                  </w:pPr>
                  <w:r>
                    <w:rPr>
                      <w:rFonts w:ascii="Times New Roman" w:hAnsi="Times New Roman" w:eastAsia="宋体"/>
                      <w:color w:val="auto"/>
                      <w:spacing w:val="-7"/>
                      <w:sz w:val="21"/>
                    </w:rPr>
                    <w:t>适用区域</w:t>
                  </w:r>
                </w:p>
              </w:tc>
              <w:tc>
                <w:tcPr>
                  <w:tcW w:w="1767" w:type="pct"/>
                  <w:gridSpan w:val="2"/>
                  <w:tcBorders>
                    <w:bottom w:val="single" w:color="000000" w:sz="4" w:space="0"/>
                  </w:tcBorders>
                  <w:vAlign w:val="center"/>
                </w:tcPr>
                <w:p w14:paraId="4B88EDA6">
                  <w:pPr>
                    <w:pStyle w:val="9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宋体"/>
                      <w:color w:val="auto"/>
                      <w:spacing w:val="-12"/>
                      <w:position w:val="2"/>
                      <w:sz w:val="21"/>
                    </w:rPr>
                  </w:pPr>
                  <w:r>
                    <w:rPr>
                      <w:rFonts w:ascii="Times New Roman" w:hAnsi="Times New Roman" w:eastAsia="宋体"/>
                      <w:color w:val="auto"/>
                      <w:spacing w:val="-12"/>
                      <w:position w:val="2"/>
                      <w:sz w:val="21"/>
                    </w:rPr>
                    <w:t xml:space="preserve">等效声级 </w:t>
                  </w:r>
                  <w:r>
                    <w:rPr>
                      <w:rFonts w:ascii="Times New Roman" w:hAnsi="Times New Roman" w:eastAsia="宋体"/>
                      <w:color w:val="auto"/>
                      <w:spacing w:val="-4"/>
                      <w:position w:val="2"/>
                      <w:sz w:val="21"/>
                    </w:rPr>
                    <w:t>L</w:t>
                  </w:r>
                  <w:r>
                    <w:rPr>
                      <w:rFonts w:ascii="Times New Roman" w:hAnsi="Times New Roman" w:eastAsia="宋体"/>
                      <w:color w:val="auto"/>
                      <w:spacing w:val="-4"/>
                      <w:sz w:val="13"/>
                    </w:rPr>
                    <w:t>eq</w:t>
                  </w:r>
                  <w:r>
                    <w:rPr>
                      <w:rFonts w:ascii="Times New Roman" w:hAnsi="Times New Roman" w:eastAsia="宋体"/>
                      <w:color w:val="auto"/>
                      <w:spacing w:val="-4"/>
                      <w:position w:val="2"/>
                      <w:sz w:val="21"/>
                    </w:rPr>
                    <w:t>(dB(A))</w:t>
                  </w:r>
                </w:p>
              </w:tc>
            </w:tr>
            <w:tr w14:paraId="412C4ECD">
              <w:tblPrEx>
                <w:tblBorders>
                  <w:top w:val="single" w:color="000000" w:sz="12" w:space="0"/>
                  <w:left w:val="none" w:color="auto" w:sz="0" w:space="0"/>
                  <w:bottom w:val="single" w:color="000000" w:sz="12" w:space="0"/>
                  <w:right w:val="none" w:color="auto" w:sz="0" w:space="0"/>
                  <w:insideH w:val="single" w:color="000000" w:sz="12" w:space="0"/>
                  <w:insideV w:val="single" w:color="000000" w:sz="4" w:space="0"/>
                </w:tblBorders>
                <w:tblCellMar>
                  <w:top w:w="0" w:type="dxa"/>
                  <w:left w:w="0" w:type="dxa"/>
                  <w:bottom w:w="0" w:type="dxa"/>
                  <w:right w:w="0" w:type="dxa"/>
                </w:tblCellMar>
              </w:tblPrEx>
              <w:trPr>
                <w:trHeight w:val="397" w:hRule="atLeast"/>
              </w:trPr>
              <w:tc>
                <w:tcPr>
                  <w:tcW w:w="582" w:type="pct"/>
                  <w:vMerge w:val="continue"/>
                  <w:tcBorders>
                    <w:top w:val="single" w:color="000000" w:sz="4" w:space="0"/>
                    <w:tl2br w:val="nil"/>
                    <w:tr2bl w:val="nil"/>
                  </w:tcBorders>
                  <w:vAlign w:val="center"/>
                </w:tcPr>
                <w:p w14:paraId="17D091C3">
                  <w:pPr>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ascii="Times New Roman" w:hAnsi="Times New Roman" w:eastAsia="宋体"/>
                      <w:color w:val="auto"/>
                      <w:sz w:val="2"/>
                      <w:szCs w:val="2"/>
                    </w:rPr>
                  </w:pPr>
                </w:p>
              </w:tc>
              <w:tc>
                <w:tcPr>
                  <w:tcW w:w="2650" w:type="pct"/>
                  <w:vMerge w:val="continue"/>
                  <w:tcBorders>
                    <w:top w:val="single" w:color="000000" w:sz="4" w:space="0"/>
                    <w:tl2br w:val="nil"/>
                    <w:tr2bl w:val="nil"/>
                  </w:tcBorders>
                  <w:vAlign w:val="center"/>
                </w:tcPr>
                <w:p w14:paraId="60B9A47B">
                  <w:pPr>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ascii="Times New Roman" w:hAnsi="Times New Roman" w:eastAsia="宋体"/>
                      <w:color w:val="auto"/>
                      <w:sz w:val="2"/>
                      <w:szCs w:val="2"/>
                    </w:rPr>
                  </w:pPr>
                </w:p>
              </w:tc>
              <w:tc>
                <w:tcPr>
                  <w:tcW w:w="875" w:type="pct"/>
                  <w:tcBorders>
                    <w:top w:val="single" w:color="000000" w:sz="4" w:space="0"/>
                    <w:tl2br w:val="nil"/>
                    <w:tr2bl w:val="nil"/>
                  </w:tcBorders>
                  <w:vAlign w:val="center"/>
                </w:tcPr>
                <w:p w14:paraId="04E936AD">
                  <w:pPr>
                    <w:pStyle w:val="9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宋体"/>
                      <w:color w:val="auto"/>
                      <w:sz w:val="21"/>
                    </w:rPr>
                  </w:pPr>
                  <w:r>
                    <w:rPr>
                      <w:rFonts w:ascii="Times New Roman" w:hAnsi="Times New Roman" w:eastAsia="宋体"/>
                      <w:color w:val="auto"/>
                      <w:spacing w:val="-8"/>
                      <w:sz w:val="21"/>
                    </w:rPr>
                    <w:t>昼间</w:t>
                  </w:r>
                </w:p>
              </w:tc>
              <w:tc>
                <w:tcPr>
                  <w:tcW w:w="891" w:type="pct"/>
                  <w:tcBorders>
                    <w:top w:val="single" w:color="000000" w:sz="4" w:space="0"/>
                    <w:tl2br w:val="nil"/>
                    <w:tr2bl w:val="nil"/>
                  </w:tcBorders>
                  <w:vAlign w:val="center"/>
                </w:tcPr>
                <w:p w14:paraId="60166D49">
                  <w:pPr>
                    <w:pStyle w:val="9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Times New Roman" w:hAnsi="Times New Roman" w:eastAsia="宋体"/>
                      <w:color w:val="auto"/>
                      <w:spacing w:val="-8"/>
                      <w:sz w:val="21"/>
                      <w:lang w:val="en-US" w:eastAsia="zh-CN"/>
                    </w:rPr>
                  </w:pPr>
                  <w:r>
                    <w:rPr>
                      <w:rFonts w:hint="eastAsia" w:ascii="Times New Roman" w:hAnsi="Times New Roman" w:eastAsia="宋体"/>
                      <w:color w:val="auto"/>
                      <w:spacing w:val="-8"/>
                      <w:sz w:val="21"/>
                      <w:lang w:val="en-US" w:eastAsia="zh-CN"/>
                    </w:rPr>
                    <w:t>夜间</w:t>
                  </w:r>
                </w:p>
              </w:tc>
            </w:tr>
            <w:tr w14:paraId="0B438903">
              <w:tblPrEx>
                <w:tblBorders>
                  <w:top w:val="single" w:color="000000" w:sz="12" w:space="0"/>
                  <w:left w:val="none" w:color="auto" w:sz="0" w:space="0"/>
                  <w:bottom w:val="single" w:color="000000" w:sz="12" w:space="0"/>
                  <w:right w:val="none" w:color="auto" w:sz="0" w:space="0"/>
                  <w:insideH w:val="single" w:color="000000" w:sz="12" w:space="0"/>
                  <w:insideV w:val="single" w:color="000000" w:sz="4" w:space="0"/>
                </w:tblBorders>
                <w:tblCellMar>
                  <w:top w:w="0" w:type="dxa"/>
                  <w:left w:w="0" w:type="dxa"/>
                  <w:bottom w:w="0" w:type="dxa"/>
                  <w:right w:w="0" w:type="dxa"/>
                </w:tblCellMar>
              </w:tblPrEx>
              <w:trPr>
                <w:trHeight w:val="679" w:hRule="atLeast"/>
              </w:trPr>
              <w:tc>
                <w:tcPr>
                  <w:tcW w:w="582" w:type="pct"/>
                  <w:tcBorders>
                    <w:tl2br w:val="nil"/>
                    <w:tr2bl w:val="nil"/>
                  </w:tcBorders>
                  <w:vAlign w:val="center"/>
                </w:tcPr>
                <w:p w14:paraId="4F3DCBFD">
                  <w:pPr>
                    <w:pStyle w:val="9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Times New Roman" w:hAnsi="Times New Roman" w:eastAsia="宋体"/>
                      <w:color w:val="auto"/>
                      <w:spacing w:val="-10"/>
                      <w:sz w:val="21"/>
                      <w:lang w:val="en-US" w:eastAsia="zh-CN"/>
                    </w:rPr>
                  </w:pPr>
                  <w:r>
                    <w:rPr>
                      <w:rFonts w:hint="eastAsia" w:ascii="Times New Roman" w:hAnsi="Times New Roman"/>
                      <w:color w:val="auto"/>
                      <w:spacing w:val="-10"/>
                      <w:sz w:val="21"/>
                      <w:lang w:val="en-US" w:eastAsia="zh-CN"/>
                    </w:rPr>
                    <w:t>2</w:t>
                  </w:r>
                </w:p>
              </w:tc>
              <w:tc>
                <w:tcPr>
                  <w:tcW w:w="2650" w:type="pct"/>
                  <w:tcBorders>
                    <w:tl2br w:val="nil"/>
                    <w:tr2bl w:val="nil"/>
                  </w:tcBorders>
                  <w:vAlign w:val="center"/>
                </w:tcPr>
                <w:p w14:paraId="43FF782B">
                  <w:pPr>
                    <w:pStyle w:val="9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Times New Roman" w:hAnsi="Times New Roman" w:eastAsia="宋体"/>
                      <w:color w:val="auto"/>
                      <w:spacing w:val="-3"/>
                      <w:sz w:val="21"/>
                      <w:lang w:eastAsia="zh-CN"/>
                    </w:rPr>
                  </w:pPr>
                  <w:r>
                    <w:rPr>
                      <w:rFonts w:hint="eastAsia" w:ascii="Times New Roman" w:hAnsi="Times New Roman" w:eastAsia="宋体"/>
                      <w:color w:val="auto"/>
                      <w:spacing w:val="-3"/>
                      <w:sz w:val="21"/>
                    </w:rPr>
                    <w:t>指以商业金融、集市贸易为主要功能，或者居住、商业、工业混杂，需要维护住宅安静的区域</w:t>
                  </w:r>
                  <w:r>
                    <w:rPr>
                      <w:rFonts w:hint="eastAsia" w:ascii="Times New Roman" w:hAnsi="Times New Roman"/>
                      <w:color w:val="auto"/>
                      <w:spacing w:val="-3"/>
                      <w:sz w:val="21"/>
                      <w:lang w:eastAsia="zh-CN"/>
                    </w:rPr>
                    <w:t>。</w:t>
                  </w:r>
                </w:p>
              </w:tc>
              <w:tc>
                <w:tcPr>
                  <w:tcW w:w="875" w:type="pct"/>
                  <w:tcBorders>
                    <w:tl2br w:val="nil"/>
                    <w:tr2bl w:val="nil"/>
                  </w:tcBorders>
                  <w:vAlign w:val="center"/>
                </w:tcPr>
                <w:p w14:paraId="4B84F72C">
                  <w:pPr>
                    <w:pStyle w:val="9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eastAsia" w:ascii="Times New Roman" w:hAnsi="Times New Roman" w:eastAsia="宋体"/>
                      <w:color w:val="auto"/>
                      <w:spacing w:val="-5"/>
                      <w:sz w:val="21"/>
                      <w:lang w:eastAsia="zh-CN"/>
                    </w:rPr>
                  </w:pPr>
                  <w:r>
                    <w:rPr>
                      <w:rFonts w:ascii="Times New Roman" w:hAnsi="Times New Roman" w:eastAsia="宋体"/>
                      <w:color w:val="auto"/>
                      <w:spacing w:val="-5"/>
                      <w:sz w:val="21"/>
                    </w:rPr>
                    <w:t>≤6</w:t>
                  </w:r>
                  <w:r>
                    <w:rPr>
                      <w:rFonts w:hint="eastAsia" w:ascii="Times New Roman" w:hAnsi="Times New Roman"/>
                      <w:color w:val="auto"/>
                      <w:spacing w:val="-5"/>
                      <w:sz w:val="21"/>
                      <w:lang w:val="en-US" w:eastAsia="zh-CN"/>
                    </w:rPr>
                    <w:t>0</w:t>
                  </w:r>
                </w:p>
              </w:tc>
              <w:tc>
                <w:tcPr>
                  <w:tcW w:w="891" w:type="pct"/>
                  <w:tcBorders>
                    <w:tl2br w:val="nil"/>
                    <w:tr2bl w:val="nil"/>
                  </w:tcBorders>
                  <w:vAlign w:val="center"/>
                </w:tcPr>
                <w:p w14:paraId="3E7EF88F">
                  <w:pPr>
                    <w:pStyle w:val="9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olor w:val="auto"/>
                      <w:spacing w:val="-5"/>
                      <w:sz w:val="21"/>
                      <w:lang w:val="en-US" w:eastAsia="zh-CN"/>
                    </w:rPr>
                  </w:pPr>
                  <w:r>
                    <w:rPr>
                      <w:rFonts w:ascii="Times New Roman" w:hAnsi="Times New Roman" w:eastAsia="宋体"/>
                      <w:color w:val="auto"/>
                      <w:spacing w:val="-5"/>
                      <w:sz w:val="21"/>
                    </w:rPr>
                    <w:t>≤</w:t>
                  </w:r>
                  <w:r>
                    <w:rPr>
                      <w:rFonts w:hint="eastAsia" w:ascii="Times New Roman" w:hAnsi="Times New Roman" w:eastAsia="宋体"/>
                      <w:color w:val="auto"/>
                      <w:spacing w:val="-5"/>
                      <w:sz w:val="21"/>
                      <w:lang w:val="en-US" w:eastAsia="zh-CN"/>
                    </w:rPr>
                    <w:t>5</w:t>
                  </w:r>
                  <w:r>
                    <w:rPr>
                      <w:rFonts w:hint="eastAsia" w:ascii="Times New Roman" w:hAnsi="Times New Roman"/>
                      <w:color w:val="auto"/>
                      <w:spacing w:val="-5"/>
                      <w:sz w:val="21"/>
                      <w:lang w:val="en-US" w:eastAsia="zh-CN"/>
                    </w:rPr>
                    <w:t>0</w:t>
                  </w:r>
                </w:p>
              </w:tc>
            </w:tr>
          </w:tbl>
          <w:p w14:paraId="5D4638F9">
            <w:pPr>
              <w:pStyle w:val="46"/>
              <w:numPr>
                <w:ilvl w:val="0"/>
                <w:numId w:val="11"/>
              </w:numPr>
              <w:autoSpaceDE w:val="0"/>
              <w:autoSpaceDN w:val="0"/>
              <w:spacing w:before="120" w:beforeLines="50"/>
              <w:ind w:left="425" w:leftChars="0" w:hanging="425" w:firstLineChars="0"/>
              <w:rPr>
                <w:rFonts w:hint="eastAsia"/>
                <w:color w:val="auto"/>
                <w:highlight w:val="none"/>
              </w:rPr>
            </w:pPr>
            <w:r>
              <w:rPr>
                <w:rFonts w:hint="eastAsia"/>
                <w:color w:val="auto"/>
                <w:highlight w:val="none"/>
              </w:rPr>
              <w:t>声环境质量现状</w:t>
            </w:r>
          </w:p>
          <w:p w14:paraId="3AFCDD97">
            <w:pPr>
              <w:pStyle w:val="46"/>
              <w:bidi w:val="0"/>
              <w:rPr>
                <w:rFonts w:hint="eastAsia" w:cs="宋体"/>
                <w:color w:val="auto"/>
                <w:highlight w:val="none"/>
                <w:lang w:val="en-US" w:eastAsia="zh-CN"/>
              </w:rPr>
            </w:pPr>
            <w:r>
              <w:rPr>
                <w:rFonts w:hint="eastAsia" w:ascii="Times New Roman" w:hAnsi="Times New Roman" w:eastAsia="宋体" w:cs="宋体"/>
                <w:color w:val="auto"/>
                <w:highlight w:val="none"/>
                <w:lang w:val="en-US" w:eastAsia="zh-CN"/>
              </w:rPr>
              <w:t>为判定本项目环境特征污染物达标情况，本项目</w:t>
            </w:r>
            <w:r>
              <w:rPr>
                <w:rFonts w:hint="eastAsia" w:cs="宋体"/>
                <w:color w:val="auto"/>
                <w:highlight w:val="none"/>
                <w:lang w:val="en-US" w:eastAsia="zh-CN"/>
              </w:rPr>
              <w:t>委托福建安谱环境检测技术有限公司</w:t>
            </w:r>
            <w:r>
              <w:rPr>
                <w:rFonts w:hint="eastAsia" w:ascii="宋体" w:hAnsi="宋体" w:eastAsia="宋体" w:cs="宋体"/>
                <w:color w:val="auto"/>
                <w:highlight w:val="none"/>
                <w:lang w:val="en-US" w:eastAsia="zh-CN"/>
              </w:rPr>
              <w:t>对</w:t>
            </w:r>
            <w:r>
              <w:rPr>
                <w:rFonts w:hint="eastAsia" w:ascii="宋体" w:hAnsi="宋体" w:cs="宋体"/>
                <w:color w:val="auto"/>
                <w:highlight w:val="none"/>
                <w:lang w:val="en-US" w:eastAsia="zh-CN"/>
              </w:rPr>
              <w:t>项目</w:t>
            </w:r>
            <w:r>
              <w:rPr>
                <w:rFonts w:hint="eastAsia" w:ascii="宋体" w:hAnsi="宋体" w:eastAsia="宋体" w:cs="宋体"/>
                <w:color w:val="auto"/>
                <w:highlight w:val="none"/>
                <w:lang w:val="en-US" w:eastAsia="zh-CN"/>
              </w:rPr>
              <w:t>四周敏感点的噪声</w:t>
            </w:r>
            <w:r>
              <w:rPr>
                <w:rFonts w:hint="eastAsia" w:ascii="宋体" w:hAnsi="宋体" w:cs="宋体"/>
                <w:color w:val="auto"/>
                <w:highlight w:val="none"/>
                <w:lang w:val="en-US" w:eastAsia="zh-CN"/>
              </w:rPr>
              <w:t>进行检测</w:t>
            </w:r>
            <w:r>
              <w:rPr>
                <w:rFonts w:hint="eastAsia" w:cs="宋体"/>
                <w:color w:val="auto"/>
                <w:highlight w:val="none"/>
                <w:lang w:val="en-US" w:eastAsia="zh-CN"/>
              </w:rPr>
              <w:t>。</w:t>
            </w:r>
          </w:p>
          <w:p w14:paraId="00FCE242">
            <w:pPr>
              <w:numPr>
                <w:ilvl w:val="0"/>
                <w:numId w:val="0"/>
              </w:numPr>
              <w:tabs>
                <w:tab w:val="right" w:pos="7554"/>
              </w:tabs>
              <w:adjustRightInd w:val="0"/>
              <w:snapToGrid w:val="0"/>
              <w:spacing w:line="360" w:lineRule="auto"/>
              <w:ind w:firstLine="480" w:firstLineChars="200"/>
              <w:jc w:val="left"/>
              <w:rPr>
                <w:rFonts w:hint="eastAsia" w:ascii="Times New Roman" w:hAnsi="Times New Roman"/>
                <w:color w:val="auto"/>
                <w:sz w:val="24"/>
                <w:szCs w:val="32"/>
                <w:highlight w:val="none"/>
                <w:lang w:val="en-US" w:eastAsia="zh-CN"/>
              </w:rPr>
            </w:pPr>
            <w:r>
              <w:rPr>
                <w:rFonts w:hint="eastAsia" w:ascii="Times New Roman" w:hAnsi="Times New Roman"/>
                <w:color w:val="auto"/>
                <w:sz w:val="24"/>
                <w:szCs w:val="32"/>
                <w:highlight w:val="none"/>
                <w:lang w:val="en-US" w:eastAsia="zh-CN"/>
              </w:rPr>
              <w:t>①监测点位：西侧</w:t>
            </w:r>
            <w:r>
              <w:rPr>
                <w:rFonts w:hint="eastAsia"/>
                <w:color w:val="auto"/>
                <w:sz w:val="24"/>
                <w:szCs w:val="32"/>
                <w:highlight w:val="none"/>
                <w:lang w:val="en-US" w:eastAsia="zh-CN"/>
              </w:rPr>
              <w:t>居民点、</w:t>
            </w:r>
            <w:r>
              <w:rPr>
                <w:rFonts w:hint="eastAsia" w:ascii="Times New Roman" w:hAnsi="Times New Roman"/>
                <w:color w:val="auto"/>
                <w:sz w:val="24"/>
                <w:szCs w:val="32"/>
                <w:highlight w:val="none"/>
                <w:lang w:val="en-US" w:eastAsia="zh-CN"/>
              </w:rPr>
              <w:t>东侧</w:t>
            </w:r>
            <w:r>
              <w:rPr>
                <w:rFonts w:hint="eastAsia"/>
                <w:color w:val="auto"/>
                <w:sz w:val="24"/>
                <w:szCs w:val="32"/>
                <w:highlight w:val="none"/>
                <w:lang w:val="en-US" w:eastAsia="zh-CN"/>
              </w:rPr>
              <w:t>居民点、</w:t>
            </w:r>
            <w:r>
              <w:rPr>
                <w:rFonts w:hint="eastAsia" w:ascii="Times New Roman" w:hAnsi="Times New Roman"/>
                <w:color w:val="auto"/>
                <w:sz w:val="24"/>
                <w:szCs w:val="32"/>
                <w:highlight w:val="none"/>
                <w:lang w:val="en-US" w:eastAsia="zh-CN"/>
              </w:rPr>
              <w:t>北侧</w:t>
            </w:r>
            <w:r>
              <w:rPr>
                <w:rFonts w:hint="eastAsia"/>
                <w:color w:val="auto"/>
                <w:sz w:val="24"/>
                <w:szCs w:val="32"/>
                <w:highlight w:val="none"/>
                <w:lang w:val="en-US" w:eastAsia="zh-CN"/>
              </w:rPr>
              <w:t>居民点、南</w:t>
            </w:r>
            <w:r>
              <w:rPr>
                <w:rFonts w:hint="eastAsia" w:ascii="Times New Roman" w:hAnsi="Times New Roman"/>
                <w:color w:val="auto"/>
                <w:sz w:val="24"/>
                <w:szCs w:val="32"/>
                <w:highlight w:val="none"/>
                <w:lang w:val="en-US" w:eastAsia="zh-CN"/>
              </w:rPr>
              <w:t>侧</w:t>
            </w:r>
            <w:r>
              <w:rPr>
                <w:rFonts w:hint="eastAsia"/>
                <w:color w:val="auto"/>
                <w:sz w:val="24"/>
                <w:szCs w:val="32"/>
                <w:highlight w:val="none"/>
                <w:lang w:val="en-US" w:eastAsia="zh-CN"/>
              </w:rPr>
              <w:t>居民点</w:t>
            </w:r>
            <w:r>
              <w:rPr>
                <w:rFonts w:hint="eastAsia" w:ascii="Times New Roman" w:hAnsi="Times New Roman"/>
                <w:color w:val="auto"/>
                <w:sz w:val="24"/>
                <w:szCs w:val="32"/>
                <w:highlight w:val="none"/>
                <w:lang w:val="en-US" w:eastAsia="zh-CN"/>
              </w:rPr>
              <w:t>；</w:t>
            </w:r>
          </w:p>
          <w:p w14:paraId="453FB7E6">
            <w:pPr>
              <w:numPr>
                <w:ilvl w:val="0"/>
                <w:numId w:val="0"/>
              </w:numPr>
              <w:tabs>
                <w:tab w:val="right" w:pos="7554"/>
              </w:tabs>
              <w:adjustRightInd w:val="0"/>
              <w:snapToGrid w:val="0"/>
              <w:spacing w:line="360" w:lineRule="auto"/>
              <w:ind w:firstLine="480" w:firstLineChars="200"/>
              <w:jc w:val="left"/>
              <w:rPr>
                <w:rFonts w:hint="eastAsia" w:ascii="Times New Roman" w:hAnsi="Times New Roman"/>
                <w:color w:val="auto"/>
                <w:sz w:val="24"/>
                <w:szCs w:val="32"/>
                <w:highlight w:val="none"/>
                <w:lang w:val="en-US" w:eastAsia="zh-CN"/>
              </w:rPr>
            </w:pPr>
            <w:r>
              <w:rPr>
                <w:rFonts w:hint="eastAsia" w:ascii="Times New Roman" w:hAnsi="Times New Roman"/>
                <w:color w:val="auto"/>
                <w:sz w:val="24"/>
                <w:szCs w:val="32"/>
                <w:highlight w:val="none"/>
                <w:lang w:val="en-US" w:eastAsia="zh-CN"/>
              </w:rPr>
              <w:t>②监测项目：</w:t>
            </w:r>
            <w:r>
              <w:rPr>
                <w:rFonts w:hint="eastAsia"/>
                <w:color w:val="auto"/>
                <w:sz w:val="24"/>
                <w:szCs w:val="32"/>
                <w:highlight w:val="none"/>
                <w:lang w:val="en-US" w:eastAsia="zh-CN"/>
              </w:rPr>
              <w:t>噪声</w:t>
            </w:r>
            <w:r>
              <w:rPr>
                <w:rFonts w:hint="eastAsia" w:ascii="Times New Roman" w:hAnsi="Times New Roman"/>
                <w:color w:val="auto"/>
                <w:sz w:val="24"/>
                <w:szCs w:val="32"/>
                <w:highlight w:val="none"/>
                <w:lang w:val="en-US" w:eastAsia="zh-CN"/>
              </w:rPr>
              <w:t>；</w:t>
            </w:r>
          </w:p>
          <w:p w14:paraId="72F59872">
            <w:pPr>
              <w:pStyle w:val="46"/>
              <w:bidi w:val="0"/>
              <w:rPr>
                <w:rFonts w:hint="eastAsia" w:ascii="Times New Roman" w:hAnsi="Times New Roman"/>
                <w:color w:val="auto"/>
                <w:sz w:val="24"/>
                <w:szCs w:val="32"/>
                <w:highlight w:val="none"/>
                <w:lang w:val="en-US" w:eastAsia="zh-CN"/>
              </w:rPr>
            </w:pPr>
            <w:r>
              <w:rPr>
                <w:rFonts w:hint="eastAsia" w:ascii="Times New Roman" w:hAnsi="Times New Roman"/>
                <w:color w:val="auto"/>
                <w:sz w:val="24"/>
                <w:szCs w:val="32"/>
                <w:highlight w:val="none"/>
                <w:lang w:val="en-US" w:eastAsia="zh-CN"/>
              </w:rPr>
              <w:t>③监测时间及频率：监测</w:t>
            </w:r>
            <w:r>
              <w:rPr>
                <w:rFonts w:hint="eastAsia"/>
                <w:color w:val="auto"/>
                <w:sz w:val="24"/>
                <w:szCs w:val="32"/>
                <w:highlight w:val="none"/>
                <w:lang w:val="en-US" w:eastAsia="zh-CN"/>
              </w:rPr>
              <w:t>两</w:t>
            </w:r>
            <w:r>
              <w:rPr>
                <w:rFonts w:hint="eastAsia" w:ascii="Times New Roman" w:hAnsi="Times New Roman"/>
                <w:color w:val="auto"/>
                <w:sz w:val="24"/>
                <w:szCs w:val="32"/>
                <w:highlight w:val="none"/>
                <w:lang w:val="en-US" w:eastAsia="zh-CN"/>
              </w:rPr>
              <w:t>天，每天两次，昼、夜各一次。</w:t>
            </w:r>
          </w:p>
          <w:p w14:paraId="4882A628">
            <w:pPr>
              <w:pStyle w:val="46"/>
              <w:bidi w:val="0"/>
              <w:rPr>
                <w:rFonts w:hint="eastAsia" w:cs="Times New Roman"/>
                <w:color w:val="auto"/>
                <w:highlight w:val="none"/>
                <w:lang w:val="en-US" w:eastAsia="zh-CN"/>
              </w:rPr>
            </w:pPr>
            <w:r>
              <w:rPr>
                <w:rFonts w:hint="eastAsia" w:ascii="Times New Roman" w:hAnsi="Times New Roman"/>
                <w:color w:val="auto"/>
                <w:sz w:val="24"/>
                <w:szCs w:val="32"/>
                <w:highlight w:val="none"/>
                <w:lang w:val="en-US" w:eastAsia="zh-CN"/>
              </w:rPr>
              <w:t>采样时均观测并记录当时的风向、风速、气温、气压等气象条件。</w:t>
            </w:r>
            <w:r>
              <w:rPr>
                <w:rFonts w:hint="default" w:ascii="Times New Roman" w:hAnsi="Times New Roman" w:cs="Times New Roman"/>
                <w:color w:val="auto"/>
                <w:highlight w:val="none"/>
                <w:lang w:val="en-US" w:eastAsia="zh-CN"/>
              </w:rPr>
              <w:t>具体监测点位见</w:t>
            </w:r>
            <w:r>
              <w:rPr>
                <w:rFonts w:hint="default" w:ascii="Times New Roman" w:hAnsi="Times New Roman" w:cs="Times New Roman"/>
                <w:color w:val="auto"/>
                <w:highlight w:val="none"/>
                <w:lang w:val="en-US" w:eastAsia="zh-CN"/>
              </w:rPr>
              <w:fldChar w:fldCharType="begin"/>
            </w:r>
            <w:r>
              <w:rPr>
                <w:rFonts w:hint="default" w:ascii="Times New Roman" w:hAnsi="Times New Roman" w:cs="Times New Roman"/>
                <w:color w:val="auto"/>
                <w:highlight w:val="none"/>
                <w:lang w:val="en-US" w:eastAsia="zh-CN"/>
              </w:rPr>
              <w:instrText xml:space="preserve"> REF _Ref27686 \n \h </w:instrText>
            </w:r>
            <w:r>
              <w:rPr>
                <w:rFonts w:hint="default" w:ascii="Times New Roman" w:hAnsi="Times New Roman" w:cs="Times New Roman"/>
                <w:color w:val="auto"/>
                <w:highlight w:val="none"/>
                <w:lang w:val="en-US" w:eastAsia="zh-CN"/>
              </w:rPr>
              <w:fldChar w:fldCharType="separate"/>
            </w:r>
            <w:r>
              <w:rPr>
                <w:rFonts w:hint="default" w:ascii="Times New Roman" w:hAnsi="Times New Roman" w:cs="Times New Roman"/>
                <w:color w:val="auto"/>
                <w:highlight w:val="none"/>
                <w:lang w:val="en-US" w:eastAsia="zh-CN"/>
              </w:rPr>
              <w:t>图</w:t>
            </w:r>
            <w:r>
              <w:rPr>
                <w:rFonts w:hint="eastAsia" w:ascii="Times New Roman" w:hAnsi="Times New Roman" w:cs="Times New Roman"/>
                <w:color w:val="auto"/>
                <w:highlight w:val="none"/>
                <w:lang w:val="en-US" w:eastAsia="zh-CN"/>
              </w:rPr>
              <w:t>3.1</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2</w:t>
            </w:r>
            <w:r>
              <w:rPr>
                <w:rFonts w:hint="default" w:ascii="Times New Roman" w:hAnsi="Times New Roman" w:cs="Times New Roman"/>
                <w:color w:val="auto"/>
                <w:highlight w:val="none"/>
                <w:lang w:val="en-US" w:eastAsia="zh-CN"/>
              </w:rPr>
              <w:fldChar w:fldCharType="end"/>
            </w:r>
            <w:r>
              <w:rPr>
                <w:rFonts w:hint="eastAsia" w:cs="Times New Roman"/>
                <w:color w:val="auto"/>
                <w:highlight w:val="none"/>
                <w:lang w:val="en-US" w:eastAsia="zh-CN"/>
              </w:rPr>
              <w:t>。</w:t>
            </w:r>
          </w:p>
          <w:p w14:paraId="12E1665E">
            <w:pPr>
              <w:pStyle w:val="46"/>
              <w:bidi w:val="0"/>
              <w:ind w:left="0" w:leftChars="0" w:firstLine="0" w:firstLineChars="0"/>
              <w:rPr>
                <w:rFonts w:hint="eastAsia" w:cs="Times New Roman"/>
                <w:color w:val="auto"/>
                <w:highlight w:val="none"/>
                <w:lang w:val="en-US" w:eastAsia="zh-CN"/>
              </w:rPr>
            </w:pPr>
            <w:r>
              <w:drawing>
                <wp:inline distT="0" distB="0" distL="114300" distR="114300">
                  <wp:extent cx="5520690" cy="3642360"/>
                  <wp:effectExtent l="0" t="0" r="3810" b="15240"/>
                  <wp:docPr id="17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6"/>
                          <pic:cNvPicPr>
                            <a:picLocks noChangeAspect="1"/>
                          </pic:cNvPicPr>
                        </pic:nvPicPr>
                        <pic:blipFill>
                          <a:blip r:embed="rId16"/>
                          <a:stretch>
                            <a:fillRect/>
                          </a:stretch>
                        </pic:blipFill>
                        <pic:spPr>
                          <a:xfrm>
                            <a:off x="0" y="0"/>
                            <a:ext cx="5520690" cy="3642360"/>
                          </a:xfrm>
                          <a:prstGeom prst="rect">
                            <a:avLst/>
                          </a:prstGeom>
                          <a:noFill/>
                          <a:ln>
                            <a:noFill/>
                          </a:ln>
                        </pic:spPr>
                      </pic:pic>
                    </a:graphicData>
                  </a:graphic>
                </wp:inline>
              </w:drawing>
            </w:r>
          </w:p>
          <w:p w14:paraId="0EA2DE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center"/>
              <w:textAlignment w:val="auto"/>
              <w:rPr>
                <w:rFonts w:hint="eastAsia" w:cs="Times New Roman"/>
                <w:b/>
                <w:bCs/>
                <w:color w:val="auto"/>
                <w:kern w:val="2"/>
                <w:sz w:val="24"/>
                <w:szCs w:val="20"/>
                <w:highlight w:val="none"/>
                <w:lang w:val="en-US" w:eastAsia="zh-CN" w:bidi="ar-SA"/>
              </w:rPr>
            </w:pPr>
            <w:r>
              <w:rPr>
                <w:rFonts w:hint="eastAsia" w:cs="Times New Roman"/>
                <w:b/>
                <w:bCs/>
                <w:color w:val="auto"/>
                <w:kern w:val="2"/>
                <w:sz w:val="24"/>
                <w:szCs w:val="20"/>
                <w:highlight w:val="none"/>
                <w:lang w:val="en-US" w:eastAsia="zh-CN" w:bidi="ar-SA"/>
              </w:rPr>
              <w:t>图3.1-2噪声监测点位图</w:t>
            </w:r>
          </w:p>
          <w:p w14:paraId="4101A1A6">
            <w:pPr>
              <w:pStyle w:val="16"/>
              <w:rPr>
                <w:rFonts w:hint="eastAsia" w:ascii="Times New Roman" w:hAnsi="Times New Roman" w:eastAsia="宋体" w:cs="宋体"/>
                <w:color w:val="auto"/>
                <w:kern w:val="0"/>
                <w:sz w:val="24"/>
                <w:szCs w:val="32"/>
                <w:highlight w:val="none"/>
                <w:lang w:val="en-US" w:eastAsia="zh-CN" w:bidi="ar-SA"/>
              </w:rPr>
            </w:pPr>
            <w:r>
              <w:rPr>
                <w:rFonts w:hint="eastAsia" w:ascii="微软雅黑" w:hAnsi="微软雅黑" w:eastAsia="微软雅黑" w:cs="微软雅黑"/>
                <w:color w:val="auto"/>
                <w:kern w:val="0"/>
                <w:sz w:val="24"/>
                <w:szCs w:val="32"/>
                <w:highlight w:val="none"/>
                <w:lang w:val="en-US" w:eastAsia="zh-CN" w:bidi="ar-SA"/>
              </w:rPr>
              <w:t>④</w:t>
            </w:r>
            <w:r>
              <w:rPr>
                <w:rFonts w:hint="eastAsia" w:ascii="Times New Roman" w:hAnsi="Times New Roman" w:eastAsia="宋体" w:cs="宋体"/>
                <w:color w:val="auto"/>
                <w:kern w:val="0"/>
                <w:sz w:val="24"/>
                <w:szCs w:val="32"/>
                <w:highlight w:val="none"/>
                <w:lang w:val="en-US" w:eastAsia="zh-CN" w:bidi="ar-SA"/>
              </w:rPr>
              <w:t>检测依据和主要仪器</w:t>
            </w:r>
          </w:p>
          <w:p w14:paraId="6B0A5D4B">
            <w:pPr>
              <w:pStyle w:val="44"/>
              <w:keepNext/>
              <w:keepLines/>
              <w:pageBreakBefore w:val="0"/>
              <w:widowControl w:val="0"/>
              <w:numPr>
                <w:ilvl w:val="7"/>
                <w:numId w:val="0"/>
              </w:numPr>
              <w:tabs>
                <w:tab w:val="left" w:pos="0"/>
              </w:tabs>
              <w:kinsoku/>
              <w:wordWrap/>
              <w:overflowPunct/>
              <w:topLinePunct w:val="0"/>
              <w:autoSpaceDE/>
              <w:autoSpaceDN/>
              <w:bidi w:val="0"/>
              <w:adjustRightInd/>
              <w:snapToGrid/>
              <w:spacing w:before="0" w:after="0"/>
              <w:ind w:left="630" w:leftChars="0" w:firstLine="0" w:firstLineChars="0"/>
              <w:textAlignment w:val="auto"/>
              <w:rPr>
                <w:rFonts w:hint="eastAsia"/>
                <w:color w:val="auto"/>
                <w:lang w:val="en-US" w:eastAsia="zh-CN"/>
              </w:rPr>
            </w:pPr>
            <w:r>
              <w:rPr>
                <w:rFonts w:hint="eastAsia" w:ascii="Times New Roman" w:hAnsi="Times New Roman" w:eastAsia="宋体" w:cs="宋体"/>
                <w:b/>
                <w:bCs/>
                <w:color w:val="auto"/>
                <w:kern w:val="2"/>
                <w:sz w:val="24"/>
                <w:szCs w:val="21"/>
                <w:lang w:val="en-US" w:eastAsia="zh-CN" w:bidi="ar-SA"/>
              </w:rPr>
              <w:t>表3.1-</w:t>
            </w:r>
            <w:r>
              <w:rPr>
                <w:rFonts w:hint="eastAsia" w:cs="宋体"/>
                <w:b/>
                <w:bCs/>
                <w:color w:val="auto"/>
                <w:kern w:val="2"/>
                <w:sz w:val="24"/>
                <w:szCs w:val="21"/>
                <w:lang w:val="en-US" w:eastAsia="zh-CN" w:bidi="ar-SA"/>
              </w:rPr>
              <w:t>5</w:t>
            </w:r>
            <w:r>
              <w:rPr>
                <w:rFonts w:hint="eastAsia" w:ascii="Times New Roman" w:hAnsi="Times New Roman" w:eastAsia="宋体"/>
                <w:color w:val="auto"/>
                <w:highlight w:val="none"/>
                <w:lang w:val="en-US" w:eastAsia="zh-CN"/>
              </w:rPr>
              <w:t>检测依据和主要仪器</w:t>
            </w:r>
          </w:p>
          <w:tbl>
            <w:tblPr>
              <w:tblStyle w:val="34"/>
              <w:tblW w:w="8645"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98"/>
              <w:gridCol w:w="1356"/>
              <w:gridCol w:w="4312"/>
              <w:gridCol w:w="1879"/>
            </w:tblGrid>
            <w:tr w14:paraId="2D63C5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1098" w:type="dxa"/>
                  <w:tcBorders>
                    <w:bottom w:val="single" w:color="000000" w:sz="12" w:space="0"/>
                    <w:tl2br w:val="nil"/>
                    <w:tr2bl w:val="nil"/>
                  </w:tcBorders>
                  <w:vAlign w:val="center"/>
                </w:tcPr>
                <w:p w14:paraId="0A6F9D4E">
                  <w:pPr>
                    <w:pStyle w:val="148"/>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b w:val="0"/>
                      <w:color w:val="auto"/>
                      <w:kern w:val="2"/>
                      <w:sz w:val="21"/>
                      <w:szCs w:val="21"/>
                      <w:highlight w:val="none"/>
                      <w:lang w:val="en-US" w:eastAsia="zh-CN" w:bidi="ar-SA"/>
                    </w:rPr>
                  </w:pPr>
                  <w:r>
                    <w:rPr>
                      <w:rFonts w:hint="default" w:ascii="Times New Roman" w:hAnsi="Times New Roman" w:eastAsia="宋体" w:cs="Times New Roman"/>
                      <w:b w:val="0"/>
                      <w:color w:val="auto"/>
                      <w:kern w:val="2"/>
                      <w:sz w:val="21"/>
                      <w:szCs w:val="21"/>
                      <w:highlight w:val="none"/>
                      <w:lang w:val="en-US" w:eastAsia="zh-CN" w:bidi="ar-SA"/>
                    </w:rPr>
                    <w:t>检测类别</w:t>
                  </w:r>
                </w:p>
              </w:tc>
              <w:tc>
                <w:tcPr>
                  <w:tcW w:w="1356" w:type="dxa"/>
                  <w:tcBorders>
                    <w:bottom w:val="single" w:color="000000" w:sz="12" w:space="0"/>
                    <w:tl2br w:val="nil"/>
                    <w:tr2bl w:val="nil"/>
                  </w:tcBorders>
                  <w:vAlign w:val="center"/>
                </w:tcPr>
                <w:p w14:paraId="2CC138B9">
                  <w:pPr>
                    <w:pStyle w:val="148"/>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b w:val="0"/>
                      <w:color w:val="auto"/>
                      <w:kern w:val="2"/>
                      <w:sz w:val="21"/>
                      <w:szCs w:val="21"/>
                      <w:highlight w:val="none"/>
                      <w:lang w:val="en-US" w:eastAsia="zh-CN" w:bidi="ar-SA"/>
                    </w:rPr>
                  </w:pPr>
                  <w:r>
                    <w:rPr>
                      <w:rFonts w:hint="default" w:ascii="Times New Roman" w:hAnsi="Times New Roman" w:eastAsia="宋体" w:cs="Times New Roman"/>
                      <w:b w:val="0"/>
                      <w:color w:val="auto"/>
                      <w:kern w:val="2"/>
                      <w:sz w:val="21"/>
                      <w:szCs w:val="21"/>
                      <w:highlight w:val="none"/>
                      <w:lang w:val="en-US" w:eastAsia="zh-CN" w:bidi="ar-SA"/>
                    </w:rPr>
                    <w:t>检测因子</w:t>
                  </w:r>
                </w:p>
              </w:tc>
              <w:tc>
                <w:tcPr>
                  <w:tcW w:w="4312" w:type="dxa"/>
                  <w:tcBorders>
                    <w:bottom w:val="single" w:color="000000" w:sz="12" w:space="0"/>
                    <w:tl2br w:val="nil"/>
                    <w:tr2bl w:val="nil"/>
                  </w:tcBorders>
                  <w:vAlign w:val="center"/>
                </w:tcPr>
                <w:p w14:paraId="3394D367">
                  <w:pPr>
                    <w:pStyle w:val="148"/>
                    <w:keepNext w:val="0"/>
                    <w:keepLines w:val="0"/>
                    <w:pageBreakBefore w:val="0"/>
                    <w:widowControl/>
                    <w:kinsoku/>
                    <w:wordWrap/>
                    <w:overflowPunct/>
                    <w:topLinePunct w:val="0"/>
                    <w:autoSpaceDE/>
                    <w:autoSpaceDN/>
                    <w:bidi w:val="0"/>
                    <w:adjustRightInd/>
                    <w:snapToGrid/>
                    <w:jc w:val="center"/>
                    <w:rPr>
                      <w:rFonts w:hint="default" w:ascii="Times New Roman" w:hAnsi="Times New Roman" w:eastAsia="宋体" w:cs="Times New Roman"/>
                      <w:b w:val="0"/>
                      <w:color w:val="auto"/>
                      <w:kern w:val="2"/>
                      <w:sz w:val="21"/>
                      <w:szCs w:val="21"/>
                      <w:highlight w:val="none"/>
                      <w:lang w:val="en-US" w:eastAsia="zh-CN" w:bidi="ar-SA"/>
                    </w:rPr>
                  </w:pPr>
                  <w:r>
                    <w:rPr>
                      <w:rFonts w:hint="default" w:ascii="Times New Roman" w:hAnsi="Times New Roman" w:eastAsia="宋体" w:cs="Times New Roman"/>
                      <w:b w:val="0"/>
                      <w:color w:val="auto"/>
                      <w:kern w:val="2"/>
                      <w:sz w:val="21"/>
                      <w:szCs w:val="21"/>
                      <w:highlight w:val="none"/>
                      <w:lang w:val="en-US" w:eastAsia="zh-CN" w:bidi="ar-SA"/>
                    </w:rPr>
                    <w:t>检测方法</w:t>
                  </w:r>
                </w:p>
              </w:tc>
              <w:tc>
                <w:tcPr>
                  <w:tcW w:w="1879" w:type="dxa"/>
                  <w:tcBorders>
                    <w:bottom w:val="single" w:color="000000" w:sz="12" w:space="0"/>
                    <w:tl2br w:val="nil"/>
                    <w:tr2bl w:val="nil"/>
                  </w:tcBorders>
                  <w:vAlign w:val="center"/>
                </w:tcPr>
                <w:p w14:paraId="4A1182BE">
                  <w:pPr>
                    <w:pStyle w:val="148"/>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b w:val="0"/>
                      <w:color w:val="auto"/>
                      <w:kern w:val="2"/>
                      <w:sz w:val="21"/>
                      <w:szCs w:val="21"/>
                      <w:highlight w:val="none"/>
                      <w:lang w:val="en-US" w:eastAsia="zh-CN" w:bidi="ar-SA"/>
                    </w:rPr>
                  </w:pPr>
                  <w:r>
                    <w:rPr>
                      <w:rFonts w:hint="default" w:ascii="Times New Roman" w:hAnsi="Times New Roman" w:eastAsia="宋体" w:cs="Times New Roman"/>
                      <w:b w:val="0"/>
                      <w:color w:val="auto"/>
                      <w:kern w:val="2"/>
                      <w:sz w:val="21"/>
                      <w:szCs w:val="21"/>
                      <w:highlight w:val="none"/>
                      <w:lang w:val="en-US" w:eastAsia="zh-CN" w:bidi="ar-SA"/>
                    </w:rPr>
                    <w:t>仪器名称及型号</w:t>
                  </w:r>
                </w:p>
              </w:tc>
            </w:tr>
            <w:tr w14:paraId="12F425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98" w:type="dxa"/>
                  <w:tcBorders>
                    <w:top w:val="single" w:color="000000" w:sz="12" w:space="0"/>
                    <w:tl2br w:val="nil"/>
                    <w:tr2bl w:val="nil"/>
                  </w:tcBorders>
                  <w:vAlign w:val="center"/>
                </w:tcPr>
                <w:p w14:paraId="4E20A3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highlight w:val="none"/>
                      <w:u w:val="none"/>
                      <w:lang w:val="en-US" w:eastAsia="zh-CN" w:bidi="ar"/>
                    </w:rPr>
                    <w:t>噪声</w:t>
                  </w:r>
                </w:p>
              </w:tc>
              <w:tc>
                <w:tcPr>
                  <w:tcW w:w="1356" w:type="dxa"/>
                  <w:tcBorders>
                    <w:top w:val="single" w:color="000000" w:sz="12" w:space="0"/>
                    <w:tl2br w:val="nil"/>
                    <w:tr2bl w:val="nil"/>
                  </w:tcBorders>
                  <w:vAlign w:val="center"/>
                </w:tcPr>
                <w:p w14:paraId="0636952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环境噪声</w:t>
                  </w:r>
                </w:p>
              </w:tc>
              <w:tc>
                <w:tcPr>
                  <w:tcW w:w="4312" w:type="dxa"/>
                  <w:tcBorders>
                    <w:top w:val="single" w:color="000000" w:sz="12" w:space="0"/>
                    <w:tl2br w:val="nil"/>
                    <w:tr2bl w:val="nil"/>
                  </w:tcBorders>
                  <w:vAlign w:val="center"/>
                </w:tcPr>
                <w:p w14:paraId="12118BA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u w:val="none"/>
                      <w:lang w:val="en-US" w:eastAsia="zh-CN" w:bidi="ar"/>
                    </w:rPr>
                    <w:t>《声环境质量标准》（</w:t>
                  </w:r>
                  <w:r>
                    <w:rPr>
                      <w:rFonts w:hint="default" w:ascii="Times New Roman" w:hAnsi="Times New Roman" w:eastAsia="宋体" w:cs="Times New Roman"/>
                      <w:i w:val="0"/>
                      <w:iCs w:val="0"/>
                      <w:color w:val="auto"/>
                      <w:kern w:val="0"/>
                      <w:sz w:val="21"/>
                      <w:szCs w:val="21"/>
                      <w:u w:val="none"/>
                      <w:lang w:val="en-US" w:eastAsia="zh-CN" w:bidi="ar"/>
                    </w:rPr>
                    <w:t>GB 3096-</w:t>
                  </w:r>
                  <w:r>
                    <w:rPr>
                      <w:rFonts w:hint="eastAsia" w:cs="Times New Roman"/>
                      <w:i w:val="0"/>
                      <w:iCs w:val="0"/>
                      <w:color w:val="auto"/>
                      <w:kern w:val="0"/>
                      <w:sz w:val="21"/>
                      <w:szCs w:val="21"/>
                      <w:u w:val="none"/>
                      <w:lang w:val="en-US" w:eastAsia="zh-CN" w:bidi="ar"/>
                    </w:rPr>
                    <w:t>2008）</w:t>
                  </w:r>
                </w:p>
              </w:tc>
              <w:tc>
                <w:tcPr>
                  <w:tcW w:w="1879" w:type="dxa"/>
                  <w:tcBorders>
                    <w:top w:val="single" w:color="000000" w:sz="12" w:space="0"/>
                    <w:tl2br w:val="nil"/>
                    <w:tr2bl w:val="nil"/>
                  </w:tcBorders>
                  <w:vAlign w:val="center"/>
                </w:tcPr>
                <w:p w14:paraId="3D0BB1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AWA5688型</w:t>
                  </w:r>
                </w:p>
                <w:p w14:paraId="2CBDA1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i w:val="0"/>
                      <w:iCs w:val="0"/>
                      <w:color w:val="auto"/>
                      <w:kern w:val="0"/>
                      <w:sz w:val="21"/>
                      <w:szCs w:val="21"/>
                      <w:highlight w:val="none"/>
                      <w:u w:val="none"/>
                      <w:lang w:val="en-US" w:eastAsia="zh-CN" w:bidi="ar"/>
                    </w:rPr>
                    <w:t>多功能声级计</w:t>
                  </w:r>
                </w:p>
              </w:tc>
            </w:tr>
          </w:tbl>
          <w:p w14:paraId="2F7F369B">
            <w:pPr>
              <w:rPr>
                <w:rFonts w:hint="default" w:ascii="Times New Roman" w:hAnsi="Times New Roman" w:eastAsia="宋体" w:cs="宋体"/>
                <w:color w:val="auto"/>
                <w:kern w:val="0"/>
                <w:sz w:val="24"/>
                <w:szCs w:val="32"/>
                <w:highlight w:val="none"/>
                <w:lang w:val="en-US" w:eastAsia="zh-CN" w:bidi="ar-SA"/>
              </w:rPr>
            </w:pPr>
            <w:r>
              <w:rPr>
                <w:rFonts w:hint="eastAsia" w:ascii="Times New Roman" w:hAnsi="Times New Roman" w:eastAsia="宋体" w:cs="宋体"/>
                <w:color w:val="auto"/>
                <w:kern w:val="0"/>
                <w:sz w:val="24"/>
                <w:szCs w:val="32"/>
                <w:highlight w:val="none"/>
                <w:lang w:val="en-US" w:eastAsia="zh-CN" w:bidi="ar-SA"/>
              </w:rPr>
              <w:t>⑤检测期间气象参数</w:t>
            </w:r>
          </w:p>
          <w:tbl>
            <w:tblPr>
              <w:tblStyle w:val="34"/>
              <w:tblW w:w="49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6"/>
              <w:gridCol w:w="2136"/>
              <w:gridCol w:w="2136"/>
              <w:gridCol w:w="2137"/>
            </w:tblGrid>
            <w:tr w14:paraId="0AF72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0" w:type="pct"/>
                  <w:tcBorders>
                    <w:top w:val="single" w:color="auto" w:sz="12" w:space="0"/>
                  </w:tcBorders>
                  <w:noWrap w:val="0"/>
                  <w:vAlign w:val="center"/>
                </w:tcPr>
                <w:p w14:paraId="12C5EF0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采样日期</w:t>
                  </w:r>
                </w:p>
              </w:tc>
              <w:tc>
                <w:tcPr>
                  <w:tcW w:w="1250" w:type="pct"/>
                  <w:tcBorders>
                    <w:top w:val="single" w:color="auto" w:sz="12" w:space="0"/>
                  </w:tcBorders>
                  <w:noWrap w:val="0"/>
                  <w:vAlign w:val="center"/>
                </w:tcPr>
                <w:p w14:paraId="3673AB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天气</w:t>
                  </w:r>
                </w:p>
              </w:tc>
              <w:tc>
                <w:tcPr>
                  <w:tcW w:w="1250" w:type="pct"/>
                  <w:tcBorders>
                    <w:top w:val="single" w:color="auto" w:sz="12" w:space="0"/>
                  </w:tcBorders>
                  <w:noWrap w:val="0"/>
                  <w:vAlign w:val="center"/>
                </w:tcPr>
                <w:p w14:paraId="606966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风向</w:t>
                  </w:r>
                </w:p>
              </w:tc>
              <w:tc>
                <w:tcPr>
                  <w:tcW w:w="1250" w:type="pct"/>
                  <w:tcBorders>
                    <w:top w:val="single" w:color="auto" w:sz="12" w:space="0"/>
                    <w:right w:val="nil"/>
                  </w:tcBorders>
                  <w:noWrap w:val="0"/>
                  <w:vAlign w:val="center"/>
                </w:tcPr>
                <w:p w14:paraId="39EBCC3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风速（m/s）</w:t>
                  </w:r>
                </w:p>
              </w:tc>
            </w:tr>
            <w:tr w14:paraId="1343A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50" w:type="pct"/>
                  <w:tcBorders>
                    <w:left w:val="nil"/>
                    <w:bottom w:val="single" w:color="auto" w:sz="12" w:space="0"/>
                  </w:tcBorders>
                  <w:noWrap w:val="0"/>
                  <w:vAlign w:val="center"/>
                </w:tcPr>
                <w:p w14:paraId="346B5DB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2026.4.14</w:t>
                  </w:r>
                </w:p>
              </w:tc>
              <w:tc>
                <w:tcPr>
                  <w:tcW w:w="1250" w:type="pct"/>
                  <w:tcBorders>
                    <w:bottom w:val="single" w:color="auto" w:sz="12" w:space="0"/>
                  </w:tcBorders>
                  <w:noWrap w:val="0"/>
                  <w:vAlign w:val="center"/>
                </w:tcPr>
                <w:p w14:paraId="48B5975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多云</w:t>
                  </w:r>
                </w:p>
              </w:tc>
              <w:tc>
                <w:tcPr>
                  <w:tcW w:w="1250" w:type="pct"/>
                  <w:tcBorders>
                    <w:bottom w:val="single" w:color="auto" w:sz="12" w:space="0"/>
                  </w:tcBorders>
                  <w:noWrap w:val="0"/>
                  <w:vAlign w:val="center"/>
                </w:tcPr>
                <w:p w14:paraId="52F3432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东风</w:t>
                  </w:r>
                </w:p>
              </w:tc>
              <w:tc>
                <w:tcPr>
                  <w:tcW w:w="1250" w:type="pct"/>
                  <w:tcBorders>
                    <w:bottom w:val="single" w:color="auto" w:sz="12" w:space="0"/>
                    <w:right w:val="nil"/>
                  </w:tcBorders>
                  <w:noWrap w:val="0"/>
                  <w:vAlign w:val="center"/>
                </w:tcPr>
                <w:p w14:paraId="7EBABD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ascii="Times New Roman" w:hAnsi="Times New Roman" w:eastAsia="宋体" w:cs="Times New Roman"/>
                      <w:i w:val="0"/>
                      <w:iCs w:val="0"/>
                      <w:color w:val="auto"/>
                      <w:kern w:val="0"/>
                      <w:sz w:val="21"/>
                      <w:szCs w:val="21"/>
                      <w:u w:val="none"/>
                      <w:lang w:val="en-US" w:eastAsia="zh-CN" w:bidi="ar"/>
                    </w:rPr>
                    <w:t>1.2~1.7</w:t>
                  </w:r>
                </w:p>
              </w:tc>
            </w:tr>
          </w:tbl>
          <w:p w14:paraId="3B62EFE1">
            <w:pPr>
              <w:pStyle w:val="16"/>
              <w:rPr>
                <w:rFonts w:hint="default" w:ascii="Times New Roman" w:hAnsi="Times New Roman" w:eastAsia="宋体" w:cs="宋体"/>
                <w:color w:val="auto"/>
                <w:kern w:val="0"/>
                <w:sz w:val="24"/>
                <w:szCs w:val="32"/>
                <w:highlight w:val="none"/>
                <w:lang w:val="en-US" w:eastAsia="zh-CN" w:bidi="ar-SA"/>
              </w:rPr>
            </w:pPr>
            <w:r>
              <w:rPr>
                <w:rFonts w:hint="eastAsia" w:ascii="宋体" w:hAnsi="宋体" w:eastAsia="宋体" w:cs="宋体"/>
                <w:color w:val="auto"/>
                <w:kern w:val="0"/>
                <w:sz w:val="24"/>
                <w:szCs w:val="32"/>
                <w:highlight w:val="none"/>
                <w:lang w:val="en-US" w:eastAsia="zh-CN" w:bidi="ar-SA"/>
              </w:rPr>
              <w:t>⑥</w:t>
            </w:r>
            <w:r>
              <w:rPr>
                <w:rFonts w:hint="eastAsia" w:ascii="微软雅黑" w:hAnsi="微软雅黑" w:eastAsia="微软雅黑" w:cs="微软雅黑"/>
                <w:color w:val="auto"/>
                <w:kern w:val="0"/>
                <w:sz w:val="24"/>
                <w:szCs w:val="32"/>
                <w:highlight w:val="none"/>
                <w:lang w:val="en-US" w:eastAsia="zh-CN" w:bidi="ar-SA"/>
              </w:rPr>
              <w:t>检</w:t>
            </w:r>
            <w:r>
              <w:rPr>
                <w:rFonts w:hint="default" w:ascii="Times New Roman" w:hAnsi="Times New Roman" w:eastAsia="宋体" w:cs="宋体"/>
                <w:color w:val="auto"/>
                <w:kern w:val="0"/>
                <w:sz w:val="24"/>
                <w:szCs w:val="32"/>
                <w:highlight w:val="none"/>
                <w:lang w:val="en-US" w:eastAsia="zh-CN" w:bidi="ar-SA"/>
              </w:rPr>
              <w:t>测结果分析</w:t>
            </w:r>
          </w:p>
          <w:p w14:paraId="6389DB7F">
            <w:pPr>
              <w:pStyle w:val="44"/>
              <w:keepNext/>
              <w:keepLines/>
              <w:pageBreakBefore w:val="0"/>
              <w:widowControl w:val="0"/>
              <w:numPr>
                <w:ilvl w:val="7"/>
                <w:numId w:val="0"/>
              </w:numPr>
              <w:tabs>
                <w:tab w:val="left" w:pos="0"/>
              </w:tabs>
              <w:kinsoku/>
              <w:wordWrap/>
              <w:overflowPunct/>
              <w:topLinePunct w:val="0"/>
              <w:autoSpaceDE/>
              <w:autoSpaceDN/>
              <w:bidi w:val="0"/>
              <w:adjustRightInd/>
              <w:snapToGrid/>
              <w:spacing w:before="0" w:after="0"/>
              <w:ind w:left="630" w:leftChars="0" w:firstLine="0" w:firstLineChars="0"/>
              <w:textAlignment w:val="auto"/>
              <w:rPr>
                <w:rFonts w:hint="eastAsia" w:ascii="Times New Roman" w:hAnsi="Times New Roman" w:eastAsia="宋体"/>
                <w:color w:val="auto"/>
                <w:highlight w:val="none"/>
                <w:lang w:val="en-US" w:eastAsia="zh-CN"/>
              </w:rPr>
            </w:pPr>
            <w:r>
              <w:rPr>
                <w:rFonts w:hint="eastAsia" w:ascii="Times New Roman" w:hAnsi="Times New Roman" w:eastAsia="宋体" w:cs="宋体"/>
                <w:b/>
                <w:bCs/>
                <w:color w:val="auto"/>
                <w:kern w:val="2"/>
                <w:sz w:val="24"/>
                <w:szCs w:val="21"/>
                <w:lang w:val="en-US" w:eastAsia="zh-CN" w:bidi="ar-SA"/>
              </w:rPr>
              <w:t>表3.1-7</w:t>
            </w:r>
            <w:r>
              <w:rPr>
                <w:rFonts w:hint="eastAsia" w:ascii="Times New Roman" w:hAnsi="Times New Roman" w:eastAsia="宋体"/>
                <w:color w:val="auto"/>
                <w:highlight w:val="none"/>
                <w:lang w:val="en-US" w:eastAsia="zh-CN"/>
              </w:rPr>
              <w:t>检测结果</w:t>
            </w:r>
          </w:p>
          <w:tbl>
            <w:tblPr>
              <w:tblStyle w:val="34"/>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75"/>
              <w:gridCol w:w="1246"/>
              <w:gridCol w:w="2151"/>
              <w:gridCol w:w="1337"/>
              <w:gridCol w:w="2139"/>
            </w:tblGrid>
            <w:tr w14:paraId="67F37A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3" w:type="dxa"/>
                  <w:tcBorders>
                    <w:bottom w:val="single" w:color="000000" w:sz="12" w:space="0"/>
                    <w:tl2br w:val="nil"/>
                    <w:tr2bl w:val="nil"/>
                  </w:tcBorders>
                  <w:noWrap w:val="0"/>
                  <w:vAlign w:val="center"/>
                </w:tcPr>
                <w:p w14:paraId="1EA9B362">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eastAsia="宋体" w:cs="Times New Roman"/>
                      <w:b w:val="0"/>
                      <w:color w:val="000000"/>
                      <w:kern w:val="2"/>
                      <w:sz w:val="21"/>
                      <w:szCs w:val="21"/>
                      <w:highlight w:val="none"/>
                      <w:lang w:val="en-US" w:eastAsia="zh-CN" w:bidi="ar"/>
                    </w:rPr>
                  </w:pPr>
                  <w:r>
                    <w:rPr>
                      <w:rFonts w:hint="eastAsia" w:ascii="Times New Roman" w:hAnsi="Times New Roman" w:eastAsia="宋体" w:cs="Times New Roman"/>
                      <w:b w:val="0"/>
                      <w:color w:val="000000"/>
                      <w:kern w:val="2"/>
                      <w:sz w:val="21"/>
                      <w:szCs w:val="21"/>
                      <w:highlight w:val="none"/>
                      <w:lang w:val="en-US" w:eastAsia="zh-CN" w:bidi="ar"/>
                    </w:rPr>
                    <w:t>检测日期</w:t>
                  </w:r>
                </w:p>
              </w:tc>
              <w:tc>
                <w:tcPr>
                  <w:tcW w:w="1380" w:type="dxa"/>
                  <w:tcBorders>
                    <w:bottom w:val="single" w:color="000000" w:sz="12" w:space="0"/>
                    <w:tl2br w:val="nil"/>
                    <w:tr2bl w:val="nil"/>
                  </w:tcBorders>
                  <w:noWrap w:val="0"/>
                  <w:vAlign w:val="center"/>
                </w:tcPr>
                <w:p w14:paraId="50B8EB47">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000000"/>
                      <w:kern w:val="2"/>
                      <w:sz w:val="21"/>
                      <w:szCs w:val="21"/>
                      <w:highlight w:val="none"/>
                      <w:lang w:val="en-US" w:eastAsia="zh-CN" w:bidi="ar"/>
                    </w:rPr>
                  </w:pPr>
                  <w:r>
                    <w:rPr>
                      <w:rFonts w:hint="eastAsia" w:ascii="Times New Roman" w:hAnsi="Times New Roman" w:eastAsia="宋体" w:cs="Times New Roman"/>
                      <w:b w:val="0"/>
                      <w:color w:val="000000"/>
                      <w:kern w:val="2"/>
                      <w:sz w:val="21"/>
                      <w:szCs w:val="21"/>
                      <w:highlight w:val="none"/>
                      <w:lang w:val="en-US" w:eastAsia="zh-CN" w:bidi="ar"/>
                    </w:rPr>
                    <w:t>检测时段</w:t>
                  </w:r>
                </w:p>
              </w:tc>
              <w:tc>
                <w:tcPr>
                  <w:tcW w:w="2430" w:type="dxa"/>
                  <w:tcBorders>
                    <w:bottom w:val="single" w:color="000000" w:sz="12" w:space="0"/>
                    <w:tl2br w:val="nil"/>
                    <w:tr2bl w:val="nil"/>
                  </w:tcBorders>
                  <w:noWrap w:val="0"/>
                  <w:vAlign w:val="center"/>
                </w:tcPr>
                <w:p w14:paraId="09CF0A56">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000000"/>
                      <w:kern w:val="2"/>
                      <w:sz w:val="21"/>
                      <w:szCs w:val="21"/>
                      <w:highlight w:val="none"/>
                      <w:lang w:val="en-US" w:eastAsia="zh-CN" w:bidi="ar"/>
                    </w:rPr>
                  </w:pPr>
                  <w:r>
                    <w:rPr>
                      <w:rFonts w:hint="default" w:ascii="Times New Roman" w:hAnsi="Times New Roman" w:eastAsia="宋体" w:cs="Times New Roman"/>
                      <w:b w:val="0"/>
                      <w:kern w:val="2"/>
                      <w:sz w:val="21"/>
                      <w:szCs w:val="21"/>
                      <w:lang w:val="en-US" w:eastAsia="zh-CN" w:bidi="ar"/>
                    </w:rPr>
                    <w:t>检测点位</w:t>
                  </w:r>
                </w:p>
              </w:tc>
              <w:tc>
                <w:tcPr>
                  <w:tcW w:w="1433" w:type="dxa"/>
                  <w:tcBorders>
                    <w:bottom w:val="single" w:color="000000" w:sz="12" w:space="0"/>
                    <w:tl2br w:val="nil"/>
                    <w:tr2bl w:val="nil"/>
                  </w:tcBorders>
                  <w:noWrap w:val="0"/>
                  <w:vAlign w:val="center"/>
                </w:tcPr>
                <w:p w14:paraId="53EF236D">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kern w:val="2"/>
                      <w:sz w:val="21"/>
                      <w:szCs w:val="21"/>
                      <w:lang w:val="en-US" w:eastAsia="zh-CN" w:bidi="ar"/>
                    </w:rPr>
                  </w:pPr>
                  <w:r>
                    <w:rPr>
                      <w:rFonts w:hint="eastAsia" w:ascii="Times New Roman" w:hAnsi="Times New Roman" w:eastAsia="宋体" w:cs="Times New Roman"/>
                      <w:b w:val="0"/>
                      <w:kern w:val="2"/>
                      <w:sz w:val="21"/>
                      <w:szCs w:val="21"/>
                      <w:lang w:val="en-US" w:eastAsia="zh-CN" w:bidi="ar"/>
                    </w:rPr>
                    <w:t>单位</w:t>
                  </w:r>
                </w:p>
              </w:tc>
              <w:tc>
                <w:tcPr>
                  <w:tcW w:w="2332" w:type="dxa"/>
                  <w:tcBorders>
                    <w:bottom w:val="single" w:color="000000" w:sz="12" w:space="0"/>
                    <w:tl2br w:val="nil"/>
                    <w:tr2bl w:val="nil"/>
                  </w:tcBorders>
                  <w:noWrap w:val="0"/>
                  <w:vAlign w:val="center"/>
                </w:tcPr>
                <w:p w14:paraId="3095DC02">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000000"/>
                      <w:kern w:val="2"/>
                      <w:sz w:val="21"/>
                      <w:szCs w:val="21"/>
                      <w:highlight w:val="none"/>
                      <w:lang w:val="en-US" w:eastAsia="zh-CN" w:bidi="ar"/>
                    </w:rPr>
                  </w:pPr>
                  <w:r>
                    <w:rPr>
                      <w:rFonts w:hint="eastAsia" w:ascii="Times New Roman" w:hAnsi="Times New Roman" w:eastAsia="宋体" w:cs="Times New Roman"/>
                      <w:b w:val="0"/>
                      <w:color w:val="000000"/>
                      <w:kern w:val="2"/>
                      <w:sz w:val="21"/>
                      <w:szCs w:val="21"/>
                      <w:highlight w:val="none"/>
                      <w:lang w:val="en-US" w:eastAsia="zh-CN" w:bidi="ar"/>
                    </w:rPr>
                    <w:t>检测数据</w:t>
                  </w:r>
                  <w:r>
                    <w:rPr>
                      <w:rFonts w:hint="eastAsia" w:ascii="Times New Roman" w:hAnsi="Times New Roman" w:eastAsia="宋体" w:cs="Times New Roman"/>
                      <w:b w:val="0"/>
                      <w:sz w:val="21"/>
                      <w:szCs w:val="21"/>
                      <w:lang w:val="en-US" w:eastAsia="zh-CN"/>
                    </w:rPr>
                    <w:t>（Leq）</w:t>
                  </w:r>
                </w:p>
              </w:tc>
            </w:tr>
            <w:tr w14:paraId="09DD5C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3" w:type="dxa"/>
                  <w:vMerge w:val="restart"/>
                  <w:tcBorders>
                    <w:top w:val="single" w:color="000000" w:sz="12" w:space="0"/>
                    <w:tl2br w:val="nil"/>
                    <w:tr2bl w:val="nil"/>
                  </w:tcBorders>
                  <w:noWrap w:val="0"/>
                  <w:vAlign w:val="center"/>
                </w:tcPr>
                <w:p w14:paraId="7FBC6E88">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r>
                    <w:rPr>
                      <w:rFonts w:hint="eastAsia" w:cs="Times New Roman"/>
                      <w:b w:val="0"/>
                      <w:color w:val="auto"/>
                      <w:kern w:val="2"/>
                      <w:sz w:val="21"/>
                      <w:szCs w:val="21"/>
                      <w:highlight w:val="none"/>
                      <w:lang w:val="en-US" w:eastAsia="zh-CN" w:bidi="ar"/>
                    </w:rPr>
                    <w:t>2026.4.14</w:t>
                  </w:r>
                </w:p>
              </w:tc>
              <w:tc>
                <w:tcPr>
                  <w:tcW w:w="1380" w:type="dxa"/>
                  <w:vMerge w:val="restart"/>
                  <w:tcBorders>
                    <w:top w:val="single" w:color="000000" w:sz="12" w:space="0"/>
                    <w:tl2br w:val="nil"/>
                    <w:tr2bl w:val="nil"/>
                  </w:tcBorders>
                  <w:noWrap w:val="0"/>
                  <w:vAlign w:val="center"/>
                </w:tcPr>
                <w:p w14:paraId="478800EB">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000000"/>
                      <w:kern w:val="2"/>
                      <w:sz w:val="21"/>
                      <w:szCs w:val="21"/>
                      <w:highlight w:val="none"/>
                      <w:lang w:val="en-US" w:eastAsia="zh-CN" w:bidi="ar"/>
                    </w:rPr>
                  </w:pPr>
                  <w:r>
                    <w:rPr>
                      <w:rFonts w:hint="eastAsia" w:ascii="Times New Roman" w:hAnsi="Times New Roman" w:eastAsia="宋体" w:cs="Times New Roman"/>
                      <w:b w:val="0"/>
                      <w:color w:val="auto"/>
                      <w:kern w:val="2"/>
                      <w:sz w:val="21"/>
                      <w:szCs w:val="21"/>
                      <w:highlight w:val="none"/>
                      <w:lang w:val="en-US" w:eastAsia="zh-CN" w:bidi="ar"/>
                    </w:rPr>
                    <w:t>昼间</w:t>
                  </w:r>
                </w:p>
              </w:tc>
              <w:tc>
                <w:tcPr>
                  <w:tcW w:w="2430" w:type="dxa"/>
                  <w:tcBorders>
                    <w:top w:val="single" w:color="000000" w:sz="12" w:space="0"/>
                    <w:tl2br w:val="nil"/>
                    <w:tr2bl w:val="nil"/>
                  </w:tcBorders>
                  <w:shd w:val="clear" w:color="auto" w:fill="auto"/>
                  <w:noWrap w:val="0"/>
                  <w:vAlign w:val="center"/>
                </w:tcPr>
                <w:p w14:paraId="7861E86B">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eastAsia="宋体" w:cs="Times New Roman"/>
                      <w:b w:val="0"/>
                      <w:bCs/>
                      <w:color w:val="000000"/>
                      <w:kern w:val="2"/>
                      <w:sz w:val="21"/>
                      <w:szCs w:val="21"/>
                      <w:highlight w:val="none"/>
                      <w:lang w:val="en-US" w:eastAsia="zh-CN" w:bidi="ar-SA"/>
                    </w:rPr>
                  </w:pPr>
                  <w:r>
                    <w:rPr>
                      <w:rFonts w:hint="eastAsia" w:ascii="Times New Roman" w:hAnsi="Times New Roman" w:eastAsia="宋体" w:cs="Times New Roman"/>
                      <w:b w:val="0"/>
                      <w:color w:val="auto"/>
                      <w:kern w:val="2"/>
                      <w:sz w:val="21"/>
                      <w:szCs w:val="21"/>
                      <w:highlight w:val="none"/>
                      <w:lang w:val="en-US" w:eastAsia="zh-CN" w:bidi="ar"/>
                    </w:rPr>
                    <w:t>Z1</w:t>
                  </w:r>
                  <w:r>
                    <w:rPr>
                      <w:rFonts w:hint="eastAsia" w:cs="Times New Roman"/>
                      <w:b w:val="0"/>
                      <w:color w:val="auto"/>
                      <w:kern w:val="2"/>
                      <w:sz w:val="21"/>
                      <w:szCs w:val="21"/>
                      <w:highlight w:val="none"/>
                      <w:lang w:val="en-US" w:eastAsia="zh-CN" w:bidi="ar"/>
                    </w:rPr>
                    <w:t>东侧居民点</w:t>
                  </w:r>
                </w:p>
              </w:tc>
              <w:tc>
                <w:tcPr>
                  <w:tcW w:w="1433" w:type="dxa"/>
                  <w:vMerge w:val="restart"/>
                  <w:tcBorders>
                    <w:top w:val="single" w:color="000000" w:sz="12" w:space="0"/>
                    <w:tl2br w:val="nil"/>
                    <w:tr2bl w:val="nil"/>
                  </w:tcBorders>
                  <w:noWrap w:val="0"/>
                  <w:vAlign w:val="center"/>
                </w:tcPr>
                <w:p w14:paraId="09EB1859">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r>
                    <w:rPr>
                      <w:rFonts w:hint="default" w:ascii="Times New Roman" w:hAnsi="Times New Roman" w:eastAsia="宋体" w:cs="Times New Roman"/>
                      <w:b w:val="0"/>
                      <w:bCs/>
                      <w:sz w:val="21"/>
                      <w:szCs w:val="21"/>
                      <w:lang w:val="en-US" w:eastAsia="zh-CN"/>
                    </w:rPr>
                    <w:t>dB</w:t>
                  </w:r>
                  <w:r>
                    <w:rPr>
                      <w:rFonts w:hint="eastAsia" w:cs="Times New Roman"/>
                      <w:b w:val="0"/>
                      <w:bCs/>
                      <w:sz w:val="21"/>
                      <w:szCs w:val="21"/>
                      <w:lang w:val="en-US" w:eastAsia="zh-CN"/>
                    </w:rPr>
                    <w:t>(</w:t>
                  </w:r>
                  <w:r>
                    <w:rPr>
                      <w:rFonts w:hint="default" w:ascii="Times New Roman" w:hAnsi="Times New Roman" w:eastAsia="宋体" w:cs="Times New Roman"/>
                      <w:b w:val="0"/>
                      <w:bCs/>
                      <w:sz w:val="21"/>
                      <w:szCs w:val="21"/>
                      <w:lang w:val="en-US" w:eastAsia="zh-CN"/>
                    </w:rPr>
                    <w:t>A</w:t>
                  </w:r>
                  <w:r>
                    <w:rPr>
                      <w:rFonts w:hint="eastAsia" w:cs="Times New Roman"/>
                      <w:b w:val="0"/>
                      <w:bCs/>
                      <w:sz w:val="21"/>
                      <w:szCs w:val="21"/>
                      <w:lang w:val="en-US" w:eastAsia="zh-CN"/>
                    </w:rPr>
                    <w:t>)</w:t>
                  </w:r>
                </w:p>
              </w:tc>
              <w:tc>
                <w:tcPr>
                  <w:tcW w:w="2332" w:type="dxa"/>
                  <w:tcBorders>
                    <w:top w:val="single" w:color="000000" w:sz="12" w:space="0"/>
                    <w:tl2br w:val="nil"/>
                    <w:tr2bl w:val="nil"/>
                  </w:tcBorders>
                  <w:noWrap w:val="0"/>
                  <w:vAlign w:val="center"/>
                </w:tcPr>
                <w:p w14:paraId="6E38E620">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r>
                    <w:rPr>
                      <w:rFonts w:hint="eastAsia" w:cs="Times New Roman"/>
                      <w:b w:val="0"/>
                      <w:color w:val="auto"/>
                      <w:kern w:val="2"/>
                      <w:sz w:val="21"/>
                      <w:szCs w:val="21"/>
                      <w:highlight w:val="none"/>
                      <w:lang w:val="en-US" w:eastAsia="zh-CN" w:bidi="ar"/>
                    </w:rPr>
                    <w:t>53.8</w:t>
                  </w:r>
                </w:p>
              </w:tc>
            </w:tr>
            <w:tr w14:paraId="461851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3" w:type="dxa"/>
                  <w:vMerge w:val="continue"/>
                  <w:tcBorders>
                    <w:tl2br w:val="nil"/>
                    <w:tr2bl w:val="nil"/>
                  </w:tcBorders>
                  <w:noWrap w:val="0"/>
                  <w:vAlign w:val="center"/>
                </w:tcPr>
                <w:p w14:paraId="6741523F">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p>
              </w:tc>
              <w:tc>
                <w:tcPr>
                  <w:tcW w:w="1380" w:type="dxa"/>
                  <w:vMerge w:val="continue"/>
                  <w:tcBorders>
                    <w:tl2br w:val="nil"/>
                    <w:tr2bl w:val="nil"/>
                  </w:tcBorders>
                  <w:noWrap w:val="0"/>
                  <w:vAlign w:val="center"/>
                </w:tcPr>
                <w:p w14:paraId="202F30BC">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eastAsia="宋体" w:cs="Times New Roman"/>
                      <w:b w:val="0"/>
                      <w:color w:val="auto"/>
                      <w:kern w:val="2"/>
                      <w:sz w:val="21"/>
                      <w:szCs w:val="21"/>
                      <w:highlight w:val="none"/>
                      <w:lang w:val="en-US" w:eastAsia="zh-CN" w:bidi="ar"/>
                    </w:rPr>
                  </w:pPr>
                </w:p>
              </w:tc>
              <w:tc>
                <w:tcPr>
                  <w:tcW w:w="2430" w:type="dxa"/>
                  <w:tcBorders>
                    <w:tl2br w:val="nil"/>
                    <w:tr2bl w:val="nil"/>
                  </w:tcBorders>
                  <w:shd w:val="clear" w:color="auto" w:fill="auto"/>
                  <w:noWrap w:val="0"/>
                  <w:vAlign w:val="center"/>
                </w:tcPr>
                <w:p w14:paraId="131033E5">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bCs/>
                      <w:color w:val="000000"/>
                      <w:kern w:val="2"/>
                      <w:sz w:val="21"/>
                      <w:szCs w:val="21"/>
                      <w:highlight w:val="none"/>
                      <w:lang w:val="en-US" w:eastAsia="zh-CN" w:bidi="ar-SA"/>
                    </w:rPr>
                  </w:pPr>
                  <w:r>
                    <w:rPr>
                      <w:rFonts w:hint="eastAsia" w:ascii="Times New Roman" w:hAnsi="Times New Roman" w:eastAsia="宋体" w:cs="Times New Roman"/>
                      <w:b w:val="0"/>
                      <w:color w:val="auto"/>
                      <w:kern w:val="2"/>
                      <w:sz w:val="21"/>
                      <w:szCs w:val="21"/>
                      <w:highlight w:val="none"/>
                      <w:lang w:val="en-US" w:eastAsia="zh-CN" w:bidi="ar"/>
                    </w:rPr>
                    <w:t>Z2</w:t>
                  </w:r>
                  <w:r>
                    <w:rPr>
                      <w:rFonts w:hint="eastAsia" w:cs="Times New Roman"/>
                      <w:b w:val="0"/>
                      <w:color w:val="auto"/>
                      <w:kern w:val="2"/>
                      <w:sz w:val="21"/>
                      <w:szCs w:val="21"/>
                      <w:highlight w:val="none"/>
                      <w:lang w:val="en-US" w:eastAsia="zh-CN" w:bidi="ar"/>
                    </w:rPr>
                    <w:t>南侧居民点</w:t>
                  </w:r>
                </w:p>
              </w:tc>
              <w:tc>
                <w:tcPr>
                  <w:tcW w:w="1433" w:type="dxa"/>
                  <w:vMerge w:val="continue"/>
                  <w:tcBorders>
                    <w:tl2br w:val="nil"/>
                    <w:tr2bl w:val="nil"/>
                  </w:tcBorders>
                  <w:noWrap w:val="0"/>
                  <w:vAlign w:val="center"/>
                </w:tcPr>
                <w:p w14:paraId="2DED8B92">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p>
              </w:tc>
              <w:tc>
                <w:tcPr>
                  <w:tcW w:w="2332" w:type="dxa"/>
                  <w:tcBorders>
                    <w:tl2br w:val="nil"/>
                    <w:tr2bl w:val="nil"/>
                  </w:tcBorders>
                  <w:noWrap w:val="0"/>
                  <w:vAlign w:val="center"/>
                </w:tcPr>
                <w:p w14:paraId="4BFEA3ED">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r>
                    <w:rPr>
                      <w:rFonts w:hint="eastAsia" w:cs="Times New Roman"/>
                      <w:b w:val="0"/>
                      <w:color w:val="auto"/>
                      <w:kern w:val="2"/>
                      <w:sz w:val="21"/>
                      <w:szCs w:val="21"/>
                      <w:highlight w:val="none"/>
                      <w:lang w:val="en-US" w:eastAsia="zh-CN" w:bidi="ar"/>
                    </w:rPr>
                    <w:t>53.1</w:t>
                  </w:r>
                </w:p>
              </w:tc>
            </w:tr>
            <w:tr w14:paraId="7F3EF4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3" w:type="dxa"/>
                  <w:vMerge w:val="continue"/>
                  <w:tcBorders>
                    <w:tl2br w:val="nil"/>
                    <w:tr2bl w:val="nil"/>
                  </w:tcBorders>
                  <w:noWrap w:val="0"/>
                  <w:vAlign w:val="center"/>
                </w:tcPr>
                <w:p w14:paraId="42E48D82">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p>
              </w:tc>
              <w:tc>
                <w:tcPr>
                  <w:tcW w:w="1380" w:type="dxa"/>
                  <w:vMerge w:val="continue"/>
                  <w:tcBorders>
                    <w:tl2br w:val="nil"/>
                    <w:tr2bl w:val="nil"/>
                  </w:tcBorders>
                  <w:noWrap w:val="0"/>
                  <w:vAlign w:val="center"/>
                </w:tcPr>
                <w:p w14:paraId="6388D472">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eastAsia="宋体" w:cs="Times New Roman"/>
                      <w:b w:val="0"/>
                      <w:color w:val="auto"/>
                      <w:kern w:val="2"/>
                      <w:sz w:val="21"/>
                      <w:szCs w:val="21"/>
                      <w:highlight w:val="none"/>
                      <w:lang w:val="en-US" w:eastAsia="zh-CN" w:bidi="ar"/>
                    </w:rPr>
                  </w:pPr>
                </w:p>
              </w:tc>
              <w:tc>
                <w:tcPr>
                  <w:tcW w:w="2430" w:type="dxa"/>
                  <w:tcBorders>
                    <w:tl2br w:val="nil"/>
                    <w:tr2bl w:val="nil"/>
                  </w:tcBorders>
                  <w:shd w:val="clear" w:color="auto" w:fill="auto"/>
                  <w:noWrap w:val="0"/>
                  <w:vAlign w:val="center"/>
                </w:tcPr>
                <w:p w14:paraId="02CF6905">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bCs/>
                      <w:color w:val="000000"/>
                      <w:kern w:val="2"/>
                      <w:sz w:val="21"/>
                      <w:szCs w:val="21"/>
                      <w:highlight w:val="none"/>
                      <w:lang w:val="en-US" w:eastAsia="zh-CN" w:bidi="ar-SA"/>
                    </w:rPr>
                  </w:pPr>
                  <w:r>
                    <w:rPr>
                      <w:rFonts w:hint="eastAsia" w:ascii="Times New Roman" w:hAnsi="Times New Roman" w:eastAsia="宋体" w:cs="Times New Roman"/>
                      <w:b w:val="0"/>
                      <w:color w:val="auto"/>
                      <w:kern w:val="2"/>
                      <w:sz w:val="21"/>
                      <w:szCs w:val="21"/>
                      <w:highlight w:val="none"/>
                      <w:lang w:val="en-US" w:eastAsia="zh-CN" w:bidi="ar"/>
                    </w:rPr>
                    <w:t>Z3</w:t>
                  </w:r>
                  <w:r>
                    <w:rPr>
                      <w:rFonts w:hint="eastAsia" w:cs="Times New Roman"/>
                      <w:b w:val="0"/>
                      <w:color w:val="auto"/>
                      <w:kern w:val="2"/>
                      <w:sz w:val="21"/>
                      <w:szCs w:val="21"/>
                      <w:highlight w:val="none"/>
                      <w:lang w:val="en-US" w:eastAsia="zh-CN" w:bidi="ar"/>
                    </w:rPr>
                    <w:t>西侧居民点</w:t>
                  </w:r>
                </w:p>
              </w:tc>
              <w:tc>
                <w:tcPr>
                  <w:tcW w:w="1433" w:type="dxa"/>
                  <w:vMerge w:val="continue"/>
                  <w:tcBorders>
                    <w:tl2br w:val="nil"/>
                    <w:tr2bl w:val="nil"/>
                  </w:tcBorders>
                  <w:noWrap w:val="0"/>
                  <w:vAlign w:val="center"/>
                </w:tcPr>
                <w:p w14:paraId="300958A9">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p>
              </w:tc>
              <w:tc>
                <w:tcPr>
                  <w:tcW w:w="2332" w:type="dxa"/>
                  <w:tcBorders>
                    <w:tl2br w:val="nil"/>
                    <w:tr2bl w:val="nil"/>
                  </w:tcBorders>
                  <w:noWrap w:val="0"/>
                  <w:vAlign w:val="center"/>
                </w:tcPr>
                <w:p w14:paraId="27BC6709">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r>
                    <w:rPr>
                      <w:rFonts w:hint="eastAsia" w:cs="Times New Roman"/>
                      <w:b w:val="0"/>
                      <w:color w:val="auto"/>
                      <w:kern w:val="2"/>
                      <w:sz w:val="21"/>
                      <w:szCs w:val="21"/>
                      <w:highlight w:val="none"/>
                      <w:lang w:val="en-US" w:eastAsia="zh-CN" w:bidi="ar"/>
                    </w:rPr>
                    <w:t>58.1</w:t>
                  </w:r>
                </w:p>
              </w:tc>
            </w:tr>
            <w:tr w14:paraId="46A52F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3" w:type="dxa"/>
                  <w:vMerge w:val="continue"/>
                  <w:tcBorders>
                    <w:tl2br w:val="nil"/>
                    <w:tr2bl w:val="nil"/>
                  </w:tcBorders>
                  <w:noWrap w:val="0"/>
                  <w:vAlign w:val="center"/>
                </w:tcPr>
                <w:p w14:paraId="13AF7F17">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000000"/>
                      <w:kern w:val="2"/>
                      <w:sz w:val="21"/>
                      <w:szCs w:val="21"/>
                      <w:highlight w:val="none"/>
                      <w:lang w:val="en-US" w:eastAsia="zh-CN" w:bidi="ar"/>
                    </w:rPr>
                  </w:pPr>
                </w:p>
              </w:tc>
              <w:tc>
                <w:tcPr>
                  <w:tcW w:w="1380" w:type="dxa"/>
                  <w:vMerge w:val="continue"/>
                  <w:tcBorders>
                    <w:tl2br w:val="nil"/>
                    <w:tr2bl w:val="nil"/>
                  </w:tcBorders>
                  <w:noWrap w:val="0"/>
                  <w:vAlign w:val="center"/>
                </w:tcPr>
                <w:p w14:paraId="421F4494">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000000"/>
                      <w:kern w:val="2"/>
                      <w:sz w:val="21"/>
                      <w:szCs w:val="21"/>
                      <w:highlight w:val="none"/>
                      <w:lang w:val="en-US" w:eastAsia="zh-CN" w:bidi="ar"/>
                    </w:rPr>
                  </w:pPr>
                </w:p>
              </w:tc>
              <w:tc>
                <w:tcPr>
                  <w:tcW w:w="2430" w:type="dxa"/>
                  <w:tcBorders>
                    <w:tl2br w:val="nil"/>
                    <w:tr2bl w:val="nil"/>
                  </w:tcBorders>
                  <w:shd w:val="clear" w:color="auto" w:fill="auto"/>
                  <w:noWrap w:val="0"/>
                  <w:vAlign w:val="center"/>
                </w:tcPr>
                <w:p w14:paraId="0555D11A">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bCs/>
                      <w:color w:val="000000"/>
                      <w:kern w:val="2"/>
                      <w:sz w:val="21"/>
                      <w:szCs w:val="21"/>
                      <w:highlight w:val="none"/>
                      <w:lang w:val="en-US" w:eastAsia="zh-CN" w:bidi="ar-SA"/>
                    </w:rPr>
                  </w:pPr>
                  <w:r>
                    <w:rPr>
                      <w:rFonts w:hint="eastAsia" w:ascii="Times New Roman" w:hAnsi="Times New Roman" w:eastAsia="宋体" w:cs="Times New Roman"/>
                      <w:b w:val="0"/>
                      <w:color w:val="auto"/>
                      <w:kern w:val="2"/>
                      <w:sz w:val="21"/>
                      <w:szCs w:val="21"/>
                      <w:highlight w:val="none"/>
                      <w:lang w:val="en-US" w:eastAsia="zh-CN" w:bidi="ar"/>
                    </w:rPr>
                    <w:t>Z4</w:t>
                  </w:r>
                  <w:r>
                    <w:rPr>
                      <w:rFonts w:hint="eastAsia" w:cs="Times New Roman"/>
                      <w:b w:val="0"/>
                      <w:color w:val="auto"/>
                      <w:kern w:val="2"/>
                      <w:sz w:val="21"/>
                      <w:szCs w:val="21"/>
                      <w:highlight w:val="none"/>
                      <w:lang w:val="en-US" w:eastAsia="zh-CN" w:bidi="ar"/>
                    </w:rPr>
                    <w:t>北侧居民点</w:t>
                  </w:r>
                </w:p>
              </w:tc>
              <w:tc>
                <w:tcPr>
                  <w:tcW w:w="1433" w:type="dxa"/>
                  <w:vMerge w:val="continue"/>
                  <w:tcBorders>
                    <w:tl2br w:val="nil"/>
                    <w:tr2bl w:val="nil"/>
                  </w:tcBorders>
                  <w:noWrap w:val="0"/>
                  <w:vAlign w:val="center"/>
                </w:tcPr>
                <w:p w14:paraId="3BE11D5F">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p>
              </w:tc>
              <w:tc>
                <w:tcPr>
                  <w:tcW w:w="2332" w:type="dxa"/>
                  <w:tcBorders>
                    <w:tl2br w:val="nil"/>
                    <w:tr2bl w:val="nil"/>
                  </w:tcBorders>
                  <w:noWrap w:val="0"/>
                  <w:vAlign w:val="center"/>
                </w:tcPr>
                <w:p w14:paraId="585195DC">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r>
                    <w:rPr>
                      <w:rFonts w:hint="eastAsia" w:cs="Times New Roman"/>
                      <w:b w:val="0"/>
                      <w:color w:val="auto"/>
                      <w:kern w:val="2"/>
                      <w:sz w:val="21"/>
                      <w:szCs w:val="21"/>
                      <w:highlight w:val="none"/>
                      <w:lang w:val="en-US" w:eastAsia="zh-CN" w:bidi="ar"/>
                    </w:rPr>
                    <w:t>58.0</w:t>
                  </w:r>
                </w:p>
              </w:tc>
            </w:tr>
            <w:tr w14:paraId="7CD82A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3" w:type="dxa"/>
                  <w:vMerge w:val="continue"/>
                  <w:tcBorders>
                    <w:tl2br w:val="nil"/>
                    <w:tr2bl w:val="nil"/>
                  </w:tcBorders>
                  <w:noWrap w:val="0"/>
                  <w:vAlign w:val="center"/>
                </w:tcPr>
                <w:p w14:paraId="709475E9">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p>
              </w:tc>
              <w:tc>
                <w:tcPr>
                  <w:tcW w:w="1380" w:type="dxa"/>
                  <w:vMerge w:val="restart"/>
                  <w:tcBorders>
                    <w:tl2br w:val="nil"/>
                    <w:tr2bl w:val="nil"/>
                  </w:tcBorders>
                  <w:noWrap w:val="0"/>
                  <w:vAlign w:val="center"/>
                </w:tcPr>
                <w:p w14:paraId="696FA9BE">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000000"/>
                      <w:kern w:val="2"/>
                      <w:sz w:val="21"/>
                      <w:szCs w:val="21"/>
                      <w:highlight w:val="none"/>
                      <w:lang w:val="en-US" w:eastAsia="zh-CN" w:bidi="ar"/>
                    </w:rPr>
                  </w:pPr>
                  <w:r>
                    <w:rPr>
                      <w:rFonts w:hint="eastAsia" w:cs="Times New Roman"/>
                      <w:b w:val="0"/>
                      <w:color w:val="auto"/>
                      <w:kern w:val="2"/>
                      <w:sz w:val="21"/>
                      <w:szCs w:val="21"/>
                      <w:highlight w:val="none"/>
                      <w:lang w:val="en-US" w:eastAsia="zh-CN" w:bidi="ar"/>
                    </w:rPr>
                    <w:t>夜</w:t>
                  </w:r>
                  <w:r>
                    <w:rPr>
                      <w:rFonts w:hint="eastAsia" w:ascii="Times New Roman" w:hAnsi="Times New Roman" w:eastAsia="宋体" w:cs="Times New Roman"/>
                      <w:b w:val="0"/>
                      <w:color w:val="auto"/>
                      <w:kern w:val="2"/>
                      <w:sz w:val="21"/>
                      <w:szCs w:val="21"/>
                      <w:highlight w:val="none"/>
                      <w:lang w:val="en-US" w:eastAsia="zh-CN" w:bidi="ar"/>
                    </w:rPr>
                    <w:t>间</w:t>
                  </w:r>
                </w:p>
              </w:tc>
              <w:tc>
                <w:tcPr>
                  <w:tcW w:w="2430" w:type="dxa"/>
                  <w:tcBorders>
                    <w:tl2br w:val="nil"/>
                    <w:tr2bl w:val="nil"/>
                  </w:tcBorders>
                  <w:shd w:val="clear" w:color="auto" w:fill="auto"/>
                  <w:noWrap w:val="0"/>
                  <w:vAlign w:val="center"/>
                </w:tcPr>
                <w:p w14:paraId="2C82DC20">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eastAsia="宋体" w:cs="Times New Roman"/>
                      <w:b w:val="0"/>
                      <w:bCs/>
                      <w:color w:val="000000"/>
                      <w:kern w:val="2"/>
                      <w:sz w:val="21"/>
                      <w:szCs w:val="21"/>
                      <w:highlight w:val="none"/>
                      <w:lang w:val="en-US" w:eastAsia="zh-CN" w:bidi="ar-SA"/>
                    </w:rPr>
                  </w:pPr>
                  <w:r>
                    <w:rPr>
                      <w:rFonts w:hint="eastAsia" w:ascii="Times New Roman" w:hAnsi="Times New Roman" w:eastAsia="宋体" w:cs="Times New Roman"/>
                      <w:b w:val="0"/>
                      <w:color w:val="auto"/>
                      <w:kern w:val="2"/>
                      <w:sz w:val="21"/>
                      <w:szCs w:val="21"/>
                      <w:highlight w:val="none"/>
                      <w:lang w:val="en-US" w:eastAsia="zh-CN" w:bidi="ar"/>
                    </w:rPr>
                    <w:t>Z1</w:t>
                  </w:r>
                  <w:r>
                    <w:rPr>
                      <w:rFonts w:hint="eastAsia" w:cs="Times New Roman"/>
                      <w:b w:val="0"/>
                      <w:color w:val="auto"/>
                      <w:kern w:val="2"/>
                      <w:sz w:val="21"/>
                      <w:szCs w:val="21"/>
                      <w:highlight w:val="none"/>
                      <w:lang w:val="en-US" w:eastAsia="zh-CN" w:bidi="ar"/>
                    </w:rPr>
                    <w:t>东侧居民点</w:t>
                  </w:r>
                </w:p>
              </w:tc>
              <w:tc>
                <w:tcPr>
                  <w:tcW w:w="1433" w:type="dxa"/>
                  <w:vMerge w:val="restart"/>
                  <w:tcBorders>
                    <w:tl2br w:val="nil"/>
                    <w:tr2bl w:val="nil"/>
                  </w:tcBorders>
                  <w:noWrap w:val="0"/>
                  <w:vAlign w:val="center"/>
                </w:tcPr>
                <w:p w14:paraId="5582F9ED">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r>
                    <w:rPr>
                      <w:rFonts w:hint="default" w:ascii="Times New Roman" w:hAnsi="Times New Roman" w:eastAsia="宋体" w:cs="Times New Roman"/>
                      <w:b w:val="0"/>
                      <w:bCs/>
                      <w:sz w:val="21"/>
                      <w:szCs w:val="21"/>
                      <w:lang w:val="en-US" w:eastAsia="zh-CN"/>
                    </w:rPr>
                    <w:t>dB</w:t>
                  </w:r>
                  <w:r>
                    <w:rPr>
                      <w:rFonts w:hint="eastAsia" w:cs="Times New Roman"/>
                      <w:b w:val="0"/>
                      <w:bCs/>
                      <w:sz w:val="21"/>
                      <w:szCs w:val="21"/>
                      <w:lang w:val="en-US" w:eastAsia="zh-CN"/>
                    </w:rPr>
                    <w:t>(</w:t>
                  </w:r>
                  <w:r>
                    <w:rPr>
                      <w:rFonts w:hint="default" w:ascii="Times New Roman" w:hAnsi="Times New Roman" w:eastAsia="宋体" w:cs="Times New Roman"/>
                      <w:b w:val="0"/>
                      <w:bCs/>
                      <w:sz w:val="21"/>
                      <w:szCs w:val="21"/>
                      <w:lang w:val="en-US" w:eastAsia="zh-CN"/>
                    </w:rPr>
                    <w:t>A</w:t>
                  </w:r>
                  <w:r>
                    <w:rPr>
                      <w:rFonts w:hint="eastAsia" w:cs="Times New Roman"/>
                      <w:b w:val="0"/>
                      <w:bCs/>
                      <w:sz w:val="21"/>
                      <w:szCs w:val="21"/>
                      <w:lang w:val="en-US" w:eastAsia="zh-CN"/>
                    </w:rPr>
                    <w:t>)</w:t>
                  </w:r>
                </w:p>
              </w:tc>
              <w:tc>
                <w:tcPr>
                  <w:tcW w:w="2332" w:type="dxa"/>
                  <w:tcBorders>
                    <w:tl2br w:val="nil"/>
                    <w:tr2bl w:val="nil"/>
                  </w:tcBorders>
                  <w:noWrap w:val="0"/>
                  <w:vAlign w:val="center"/>
                </w:tcPr>
                <w:p w14:paraId="7C237660">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r>
                    <w:rPr>
                      <w:rFonts w:hint="eastAsia" w:cs="Times New Roman"/>
                      <w:b w:val="0"/>
                      <w:color w:val="auto"/>
                      <w:kern w:val="2"/>
                      <w:sz w:val="21"/>
                      <w:szCs w:val="21"/>
                      <w:highlight w:val="none"/>
                      <w:lang w:val="en-US" w:eastAsia="zh-CN" w:bidi="ar"/>
                    </w:rPr>
                    <w:t>41.1</w:t>
                  </w:r>
                </w:p>
              </w:tc>
            </w:tr>
            <w:tr w14:paraId="2CF6702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3" w:type="dxa"/>
                  <w:vMerge w:val="continue"/>
                  <w:tcBorders>
                    <w:tl2br w:val="nil"/>
                    <w:tr2bl w:val="nil"/>
                  </w:tcBorders>
                  <w:noWrap w:val="0"/>
                  <w:vAlign w:val="center"/>
                </w:tcPr>
                <w:p w14:paraId="0DA06319">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p>
              </w:tc>
              <w:tc>
                <w:tcPr>
                  <w:tcW w:w="1380" w:type="dxa"/>
                  <w:vMerge w:val="continue"/>
                  <w:tcBorders>
                    <w:tl2br w:val="nil"/>
                    <w:tr2bl w:val="nil"/>
                  </w:tcBorders>
                  <w:noWrap w:val="0"/>
                  <w:vAlign w:val="center"/>
                </w:tcPr>
                <w:p w14:paraId="0AB339F6">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eastAsia="宋体" w:cs="Times New Roman"/>
                      <w:b w:val="0"/>
                      <w:color w:val="auto"/>
                      <w:kern w:val="2"/>
                      <w:sz w:val="21"/>
                      <w:szCs w:val="21"/>
                      <w:highlight w:val="none"/>
                      <w:lang w:val="en-US" w:eastAsia="zh-CN" w:bidi="ar"/>
                    </w:rPr>
                  </w:pPr>
                </w:p>
              </w:tc>
              <w:tc>
                <w:tcPr>
                  <w:tcW w:w="2430" w:type="dxa"/>
                  <w:tcBorders>
                    <w:tl2br w:val="nil"/>
                    <w:tr2bl w:val="nil"/>
                  </w:tcBorders>
                  <w:shd w:val="clear" w:color="auto" w:fill="auto"/>
                  <w:noWrap w:val="0"/>
                  <w:vAlign w:val="center"/>
                </w:tcPr>
                <w:p w14:paraId="6C8C125C">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bCs/>
                      <w:color w:val="000000"/>
                      <w:kern w:val="2"/>
                      <w:sz w:val="21"/>
                      <w:szCs w:val="21"/>
                      <w:highlight w:val="none"/>
                      <w:lang w:val="en-US" w:eastAsia="zh-CN" w:bidi="ar-SA"/>
                    </w:rPr>
                  </w:pPr>
                  <w:r>
                    <w:rPr>
                      <w:rFonts w:hint="eastAsia" w:ascii="Times New Roman" w:hAnsi="Times New Roman" w:eastAsia="宋体" w:cs="Times New Roman"/>
                      <w:b w:val="0"/>
                      <w:color w:val="auto"/>
                      <w:kern w:val="2"/>
                      <w:sz w:val="21"/>
                      <w:szCs w:val="21"/>
                      <w:highlight w:val="none"/>
                      <w:lang w:val="en-US" w:eastAsia="zh-CN" w:bidi="ar"/>
                    </w:rPr>
                    <w:t>Z2</w:t>
                  </w:r>
                  <w:r>
                    <w:rPr>
                      <w:rFonts w:hint="eastAsia" w:cs="Times New Roman"/>
                      <w:b w:val="0"/>
                      <w:color w:val="auto"/>
                      <w:kern w:val="2"/>
                      <w:sz w:val="21"/>
                      <w:szCs w:val="21"/>
                      <w:highlight w:val="none"/>
                      <w:lang w:val="en-US" w:eastAsia="zh-CN" w:bidi="ar"/>
                    </w:rPr>
                    <w:t>南侧居民点</w:t>
                  </w:r>
                </w:p>
              </w:tc>
              <w:tc>
                <w:tcPr>
                  <w:tcW w:w="1433" w:type="dxa"/>
                  <w:vMerge w:val="continue"/>
                  <w:tcBorders>
                    <w:tl2br w:val="nil"/>
                    <w:tr2bl w:val="nil"/>
                  </w:tcBorders>
                  <w:noWrap w:val="0"/>
                  <w:vAlign w:val="center"/>
                </w:tcPr>
                <w:p w14:paraId="4B4BC129">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p>
              </w:tc>
              <w:tc>
                <w:tcPr>
                  <w:tcW w:w="2332" w:type="dxa"/>
                  <w:tcBorders>
                    <w:tl2br w:val="nil"/>
                    <w:tr2bl w:val="nil"/>
                  </w:tcBorders>
                  <w:noWrap w:val="0"/>
                  <w:vAlign w:val="center"/>
                </w:tcPr>
                <w:p w14:paraId="69D8DB8C">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r>
                    <w:rPr>
                      <w:rFonts w:hint="eastAsia" w:cs="Times New Roman"/>
                      <w:b w:val="0"/>
                      <w:color w:val="auto"/>
                      <w:kern w:val="2"/>
                      <w:sz w:val="21"/>
                      <w:szCs w:val="21"/>
                      <w:highlight w:val="none"/>
                      <w:lang w:val="en-US" w:eastAsia="zh-CN" w:bidi="ar"/>
                    </w:rPr>
                    <w:t>42.2</w:t>
                  </w:r>
                </w:p>
              </w:tc>
            </w:tr>
            <w:tr w14:paraId="5B5EFA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93" w:type="dxa"/>
                  <w:vMerge w:val="continue"/>
                  <w:tcBorders>
                    <w:tl2br w:val="nil"/>
                    <w:tr2bl w:val="nil"/>
                  </w:tcBorders>
                  <w:noWrap w:val="0"/>
                  <w:vAlign w:val="center"/>
                </w:tcPr>
                <w:p w14:paraId="43833C4F">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p>
              </w:tc>
              <w:tc>
                <w:tcPr>
                  <w:tcW w:w="1380" w:type="dxa"/>
                  <w:vMerge w:val="continue"/>
                  <w:tcBorders>
                    <w:tl2br w:val="nil"/>
                    <w:tr2bl w:val="nil"/>
                  </w:tcBorders>
                  <w:noWrap w:val="0"/>
                  <w:vAlign w:val="center"/>
                </w:tcPr>
                <w:p w14:paraId="5A593AF2">
                  <w:pPr>
                    <w:keepNext w:val="0"/>
                    <w:keepLines w:val="0"/>
                    <w:widowControl w:val="0"/>
                    <w:suppressLineNumbers w:val="0"/>
                    <w:spacing w:before="0" w:beforeAutospacing="0" w:after="0" w:afterAutospacing="0"/>
                    <w:ind w:left="0" w:leftChars="0" w:right="0" w:rightChars="0"/>
                    <w:jc w:val="center"/>
                    <w:rPr>
                      <w:rFonts w:hint="eastAsia" w:ascii="Times New Roman" w:hAnsi="Times New Roman" w:eastAsia="宋体" w:cs="Times New Roman"/>
                      <w:b w:val="0"/>
                      <w:color w:val="auto"/>
                      <w:kern w:val="2"/>
                      <w:sz w:val="21"/>
                      <w:szCs w:val="21"/>
                      <w:highlight w:val="none"/>
                      <w:lang w:val="en-US" w:eastAsia="zh-CN" w:bidi="ar"/>
                    </w:rPr>
                  </w:pPr>
                </w:p>
              </w:tc>
              <w:tc>
                <w:tcPr>
                  <w:tcW w:w="2430" w:type="dxa"/>
                  <w:tcBorders>
                    <w:tl2br w:val="nil"/>
                    <w:tr2bl w:val="nil"/>
                  </w:tcBorders>
                  <w:shd w:val="clear" w:color="auto" w:fill="auto"/>
                  <w:noWrap w:val="0"/>
                  <w:vAlign w:val="center"/>
                </w:tcPr>
                <w:p w14:paraId="4BD51BFC">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bCs/>
                      <w:color w:val="000000"/>
                      <w:kern w:val="2"/>
                      <w:sz w:val="21"/>
                      <w:szCs w:val="21"/>
                      <w:highlight w:val="none"/>
                      <w:lang w:val="en-US" w:eastAsia="zh-CN" w:bidi="ar-SA"/>
                    </w:rPr>
                  </w:pPr>
                  <w:r>
                    <w:rPr>
                      <w:rFonts w:hint="eastAsia" w:ascii="Times New Roman" w:hAnsi="Times New Roman" w:eastAsia="宋体" w:cs="Times New Roman"/>
                      <w:b w:val="0"/>
                      <w:color w:val="auto"/>
                      <w:kern w:val="2"/>
                      <w:sz w:val="21"/>
                      <w:szCs w:val="21"/>
                      <w:highlight w:val="none"/>
                      <w:lang w:val="en-US" w:eastAsia="zh-CN" w:bidi="ar"/>
                    </w:rPr>
                    <w:t>Z3</w:t>
                  </w:r>
                  <w:r>
                    <w:rPr>
                      <w:rFonts w:hint="eastAsia" w:cs="Times New Roman"/>
                      <w:b w:val="0"/>
                      <w:color w:val="auto"/>
                      <w:kern w:val="2"/>
                      <w:sz w:val="21"/>
                      <w:szCs w:val="21"/>
                      <w:highlight w:val="none"/>
                      <w:lang w:val="en-US" w:eastAsia="zh-CN" w:bidi="ar"/>
                    </w:rPr>
                    <w:t>西侧居民点</w:t>
                  </w:r>
                </w:p>
              </w:tc>
              <w:tc>
                <w:tcPr>
                  <w:tcW w:w="1433" w:type="dxa"/>
                  <w:vMerge w:val="continue"/>
                  <w:tcBorders>
                    <w:tl2br w:val="nil"/>
                    <w:tr2bl w:val="nil"/>
                  </w:tcBorders>
                  <w:noWrap w:val="0"/>
                  <w:vAlign w:val="center"/>
                </w:tcPr>
                <w:p w14:paraId="678E274D">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p>
              </w:tc>
              <w:tc>
                <w:tcPr>
                  <w:tcW w:w="2332" w:type="dxa"/>
                  <w:tcBorders>
                    <w:tl2br w:val="nil"/>
                    <w:tr2bl w:val="nil"/>
                  </w:tcBorders>
                  <w:noWrap w:val="0"/>
                  <w:vAlign w:val="center"/>
                </w:tcPr>
                <w:p w14:paraId="4ED401A8">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r>
                    <w:rPr>
                      <w:rFonts w:hint="eastAsia" w:cs="Times New Roman"/>
                      <w:b w:val="0"/>
                      <w:color w:val="auto"/>
                      <w:kern w:val="2"/>
                      <w:sz w:val="21"/>
                      <w:szCs w:val="21"/>
                      <w:highlight w:val="none"/>
                      <w:lang w:val="en-US" w:eastAsia="zh-CN" w:bidi="ar"/>
                    </w:rPr>
                    <w:t>47.4</w:t>
                  </w:r>
                </w:p>
              </w:tc>
            </w:tr>
            <w:tr w14:paraId="1B858C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93" w:type="dxa"/>
                  <w:vMerge w:val="continue"/>
                  <w:tcBorders>
                    <w:tl2br w:val="nil"/>
                    <w:tr2bl w:val="nil"/>
                  </w:tcBorders>
                  <w:noWrap w:val="0"/>
                  <w:vAlign w:val="center"/>
                </w:tcPr>
                <w:p w14:paraId="0EF26504">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000000"/>
                      <w:kern w:val="2"/>
                      <w:sz w:val="21"/>
                      <w:szCs w:val="21"/>
                      <w:highlight w:val="none"/>
                      <w:lang w:val="en-US" w:eastAsia="zh-CN" w:bidi="ar"/>
                    </w:rPr>
                  </w:pPr>
                </w:p>
              </w:tc>
              <w:tc>
                <w:tcPr>
                  <w:tcW w:w="1380" w:type="dxa"/>
                  <w:vMerge w:val="continue"/>
                  <w:tcBorders>
                    <w:tl2br w:val="nil"/>
                    <w:tr2bl w:val="nil"/>
                  </w:tcBorders>
                  <w:noWrap w:val="0"/>
                  <w:vAlign w:val="center"/>
                </w:tcPr>
                <w:p w14:paraId="57F5E65B">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000000"/>
                      <w:kern w:val="2"/>
                      <w:sz w:val="21"/>
                      <w:szCs w:val="21"/>
                      <w:highlight w:val="none"/>
                      <w:lang w:val="en-US" w:eastAsia="zh-CN" w:bidi="ar"/>
                    </w:rPr>
                  </w:pPr>
                </w:p>
              </w:tc>
              <w:tc>
                <w:tcPr>
                  <w:tcW w:w="2430" w:type="dxa"/>
                  <w:tcBorders>
                    <w:tl2br w:val="nil"/>
                    <w:tr2bl w:val="nil"/>
                  </w:tcBorders>
                  <w:shd w:val="clear" w:color="auto" w:fill="auto"/>
                  <w:noWrap w:val="0"/>
                  <w:vAlign w:val="center"/>
                </w:tcPr>
                <w:p w14:paraId="07A6BD99">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bCs/>
                      <w:color w:val="000000"/>
                      <w:kern w:val="2"/>
                      <w:sz w:val="21"/>
                      <w:szCs w:val="21"/>
                      <w:highlight w:val="none"/>
                      <w:lang w:val="en-US" w:eastAsia="zh-CN" w:bidi="ar-SA"/>
                    </w:rPr>
                  </w:pPr>
                  <w:r>
                    <w:rPr>
                      <w:rFonts w:hint="eastAsia" w:ascii="Times New Roman" w:hAnsi="Times New Roman" w:eastAsia="宋体" w:cs="Times New Roman"/>
                      <w:b w:val="0"/>
                      <w:color w:val="auto"/>
                      <w:kern w:val="2"/>
                      <w:sz w:val="21"/>
                      <w:szCs w:val="21"/>
                      <w:highlight w:val="none"/>
                      <w:lang w:val="en-US" w:eastAsia="zh-CN" w:bidi="ar"/>
                    </w:rPr>
                    <w:t>Z4</w:t>
                  </w:r>
                  <w:r>
                    <w:rPr>
                      <w:rFonts w:hint="eastAsia" w:cs="Times New Roman"/>
                      <w:b w:val="0"/>
                      <w:color w:val="auto"/>
                      <w:kern w:val="2"/>
                      <w:sz w:val="21"/>
                      <w:szCs w:val="21"/>
                      <w:highlight w:val="none"/>
                      <w:lang w:val="en-US" w:eastAsia="zh-CN" w:bidi="ar"/>
                    </w:rPr>
                    <w:t>北侧居民点</w:t>
                  </w:r>
                </w:p>
              </w:tc>
              <w:tc>
                <w:tcPr>
                  <w:tcW w:w="1433" w:type="dxa"/>
                  <w:vMerge w:val="continue"/>
                  <w:tcBorders>
                    <w:tl2br w:val="nil"/>
                    <w:tr2bl w:val="nil"/>
                  </w:tcBorders>
                  <w:noWrap w:val="0"/>
                  <w:vAlign w:val="center"/>
                </w:tcPr>
                <w:p w14:paraId="29DA0236">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p>
              </w:tc>
              <w:tc>
                <w:tcPr>
                  <w:tcW w:w="2332" w:type="dxa"/>
                  <w:tcBorders>
                    <w:tl2br w:val="nil"/>
                    <w:tr2bl w:val="nil"/>
                  </w:tcBorders>
                  <w:noWrap w:val="0"/>
                  <w:vAlign w:val="center"/>
                </w:tcPr>
                <w:p w14:paraId="205BA8B2">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r>
                    <w:rPr>
                      <w:rFonts w:hint="eastAsia" w:cs="Times New Roman"/>
                      <w:b w:val="0"/>
                      <w:color w:val="auto"/>
                      <w:kern w:val="2"/>
                      <w:sz w:val="21"/>
                      <w:szCs w:val="21"/>
                      <w:highlight w:val="none"/>
                      <w:lang w:val="en-US" w:eastAsia="zh-CN" w:bidi="ar"/>
                    </w:rPr>
                    <w:t>44.9</w:t>
                  </w:r>
                </w:p>
              </w:tc>
            </w:tr>
          </w:tbl>
          <w:p w14:paraId="7CA80528">
            <w:pPr>
              <w:pStyle w:val="46"/>
              <w:keepNext w:val="0"/>
              <w:keepLines w:val="0"/>
              <w:pageBreakBefore w:val="0"/>
              <w:widowControl w:val="0"/>
              <w:kinsoku/>
              <w:wordWrap/>
              <w:overflowPunct/>
              <w:topLinePunct w:val="0"/>
              <w:autoSpaceDE w:val="0"/>
              <w:autoSpaceDN w:val="0"/>
              <w:bidi w:val="0"/>
              <w:adjustRightInd/>
              <w:snapToGrid/>
              <w:ind w:firstLine="480"/>
              <w:textAlignment w:val="auto"/>
              <w:rPr>
                <w:rFonts w:hint="eastAsia" w:eastAsia="宋体" w:cs="宋体"/>
                <w:color w:val="auto"/>
                <w:highlight w:val="none"/>
                <w:lang w:val="en-US" w:eastAsia="zh-CN"/>
              </w:rPr>
            </w:pPr>
            <w:r>
              <w:rPr>
                <w:rFonts w:hint="eastAsia" w:eastAsia="宋体" w:cs="宋体"/>
                <w:color w:val="auto"/>
                <w:highlight w:val="none"/>
                <w:lang w:val="en-US" w:eastAsia="zh-CN"/>
              </w:rPr>
              <w:t>根据监测结果</w:t>
            </w:r>
            <w:r>
              <w:rPr>
                <w:rFonts w:hint="eastAsia" w:ascii="Times New Roman" w:hAnsi="Times New Roman" w:eastAsia="宋体" w:cs="宋体"/>
                <w:color w:val="auto"/>
                <w:highlight w:val="none"/>
                <w:lang w:val="en-US" w:eastAsia="zh-CN"/>
              </w:rPr>
              <w:t>分析：项目东侧居民点（Z1）、南侧居民点（Z2）、西侧居民点（Z3）、北侧居民点（Z4）厂界均符</w:t>
            </w:r>
            <w:r>
              <w:rPr>
                <w:rFonts w:hint="eastAsia" w:eastAsia="宋体" w:cs="宋体"/>
                <w:color w:val="auto"/>
                <w:highlight w:val="none"/>
                <w:lang w:val="en-US" w:eastAsia="zh-CN"/>
              </w:rPr>
              <w:t>合《声环境质量标准》</w:t>
            </w:r>
            <w:r>
              <w:rPr>
                <w:rFonts w:hint="eastAsia" w:cs="宋体"/>
                <w:color w:val="auto"/>
                <w:highlight w:val="none"/>
                <w:lang w:val="en-US" w:eastAsia="zh-CN"/>
              </w:rPr>
              <w:t>（</w:t>
            </w:r>
            <w:r>
              <w:rPr>
                <w:rFonts w:hint="eastAsia" w:eastAsia="宋体" w:cs="宋体"/>
                <w:color w:val="auto"/>
                <w:highlight w:val="none"/>
                <w:lang w:val="en-US" w:eastAsia="zh-CN"/>
              </w:rPr>
              <w:t>GB3096-2008</w:t>
            </w:r>
            <w:r>
              <w:rPr>
                <w:rFonts w:hint="eastAsia" w:cs="宋体"/>
                <w:color w:val="auto"/>
                <w:highlight w:val="none"/>
                <w:lang w:val="en-US" w:eastAsia="zh-CN"/>
              </w:rPr>
              <w:t>）</w:t>
            </w:r>
            <w:r>
              <w:rPr>
                <w:rFonts w:hint="eastAsia" w:eastAsia="宋体" w:cs="宋体"/>
                <w:color w:val="auto"/>
                <w:highlight w:val="none"/>
                <w:lang w:val="en-US" w:eastAsia="zh-CN"/>
              </w:rPr>
              <w:t>表1中2类标准，项目所处的声环境质量较好。</w:t>
            </w:r>
          </w:p>
          <w:p w14:paraId="7CA8EA33">
            <w:pPr>
              <w:pStyle w:val="4"/>
              <w:numPr>
                <w:ilvl w:val="2"/>
                <w:numId w:val="1"/>
              </w:numPr>
              <w:bidi w:val="0"/>
              <w:ind w:left="720" w:leftChars="0" w:hanging="720" w:firstLineChars="0"/>
              <w:rPr>
                <w:rFonts w:hint="eastAsia"/>
                <w:color w:val="auto"/>
                <w:highlight w:val="none"/>
                <w:lang w:val="en-US" w:eastAsia="zh-CN"/>
              </w:rPr>
            </w:pPr>
            <w:r>
              <w:rPr>
                <w:rFonts w:hint="eastAsia"/>
                <w:color w:val="auto"/>
                <w:highlight w:val="none"/>
                <w:lang w:val="en-US" w:eastAsia="zh-CN"/>
              </w:rPr>
              <w:t>生态环境</w:t>
            </w:r>
          </w:p>
          <w:p w14:paraId="7803A33C">
            <w:pPr>
              <w:pStyle w:val="46"/>
              <w:keepNext w:val="0"/>
              <w:keepLines w:val="0"/>
              <w:pageBreakBefore w:val="0"/>
              <w:widowControl w:val="0"/>
              <w:kinsoku/>
              <w:wordWrap/>
              <w:overflowPunct/>
              <w:topLinePunct w:val="0"/>
              <w:autoSpaceDE w:val="0"/>
              <w:autoSpaceDN w:val="0"/>
              <w:bidi w:val="0"/>
              <w:adjustRightInd/>
              <w:snapToGrid/>
              <w:ind w:firstLine="480"/>
              <w:textAlignment w:val="auto"/>
              <w:rPr>
                <w:color w:val="auto"/>
                <w:highlight w:val="none"/>
              </w:rPr>
            </w:pPr>
            <w:r>
              <w:rPr>
                <w:rFonts w:hint="eastAsia"/>
                <w:color w:val="auto"/>
                <w:highlight w:val="none"/>
              </w:rPr>
              <w:t>根据《建设项目环境影响报告表编制技术指南（污染影响类）（试行）》</w:t>
            </w:r>
            <w:r>
              <w:rPr>
                <w:rFonts w:hint="eastAsia"/>
                <w:color w:val="auto"/>
                <w:highlight w:val="none"/>
                <w:lang w:eastAsia="zh-CN"/>
              </w:rPr>
              <w:t>，</w:t>
            </w:r>
            <w:r>
              <w:rPr>
                <w:rFonts w:hint="eastAsia"/>
                <w:color w:val="auto"/>
                <w:highlight w:val="none"/>
              </w:rPr>
              <w:t>“产业园区外建设项目新增用地且用地范围内含生态环境保护目标时，应进行生态现状调查”。本项目位于</w:t>
            </w:r>
            <w:r>
              <w:rPr>
                <w:rFonts w:hint="eastAsia"/>
                <w:color w:val="auto"/>
                <w:highlight w:val="none"/>
                <w:lang w:eastAsia="zh-CN"/>
              </w:rPr>
              <w:t>福建省福州市罗源县凤山镇东大新村3号（2#楼、负压病房大楼以及1#楼1-3层）</w:t>
            </w:r>
            <w:r>
              <w:rPr>
                <w:rFonts w:hint="eastAsia"/>
                <w:color w:val="auto"/>
                <w:highlight w:val="none"/>
              </w:rPr>
              <w:t>，</w:t>
            </w:r>
            <w:r>
              <w:rPr>
                <w:rFonts w:hint="eastAsia"/>
                <w:color w:val="auto"/>
                <w:highlight w:val="none"/>
                <w:lang w:val="en-US" w:eastAsia="zh-CN"/>
              </w:rPr>
              <w:t>厂房已建设，</w:t>
            </w:r>
            <w:r>
              <w:rPr>
                <w:rFonts w:hint="eastAsia"/>
                <w:color w:val="auto"/>
                <w:highlight w:val="none"/>
              </w:rPr>
              <w:t>用地范围内无生态环境保护目标，无需进行生态现状调查。</w:t>
            </w:r>
          </w:p>
          <w:p w14:paraId="57447257">
            <w:pPr>
              <w:pStyle w:val="4"/>
              <w:numPr>
                <w:ilvl w:val="2"/>
                <w:numId w:val="1"/>
              </w:numPr>
              <w:bidi w:val="0"/>
              <w:ind w:left="720" w:leftChars="0" w:hanging="720" w:firstLineChars="0"/>
              <w:rPr>
                <w:rFonts w:hint="eastAsia"/>
                <w:color w:val="auto"/>
                <w:highlight w:val="none"/>
                <w:lang w:val="en-US" w:eastAsia="zh-CN"/>
              </w:rPr>
            </w:pPr>
            <w:r>
              <w:rPr>
                <w:rFonts w:hint="eastAsia"/>
                <w:color w:val="auto"/>
                <w:highlight w:val="none"/>
                <w:lang w:val="en-US" w:eastAsia="zh-CN"/>
              </w:rPr>
              <w:t>地下水、土壤环境</w:t>
            </w:r>
          </w:p>
          <w:p w14:paraId="2B1A1968">
            <w:pPr>
              <w:pStyle w:val="46"/>
              <w:keepNext w:val="0"/>
              <w:keepLines w:val="0"/>
              <w:pageBreakBefore w:val="0"/>
              <w:widowControl w:val="0"/>
              <w:kinsoku/>
              <w:wordWrap/>
              <w:overflowPunct/>
              <w:topLinePunct w:val="0"/>
              <w:autoSpaceDE w:val="0"/>
              <w:autoSpaceDN w:val="0"/>
              <w:bidi w:val="0"/>
              <w:adjustRightInd/>
              <w:snapToGrid/>
              <w:ind w:firstLine="480"/>
              <w:textAlignment w:val="auto"/>
              <w:rPr>
                <w:color w:val="auto"/>
                <w:highlight w:val="none"/>
              </w:rPr>
            </w:pPr>
            <w:r>
              <w:rPr>
                <w:color w:val="auto"/>
                <w:highlight w:val="none"/>
              </w:rPr>
              <w:t>根据</w:t>
            </w:r>
            <w:r>
              <w:rPr>
                <w:rFonts w:hint="eastAsia"/>
                <w:color w:val="auto"/>
                <w:highlight w:val="none"/>
              </w:rPr>
              <w:t>《建设项目环境影响报告表编制技术指南（污染影响类）</w:t>
            </w:r>
            <w:r>
              <w:rPr>
                <w:rFonts w:hint="eastAsia"/>
                <w:color w:val="auto"/>
                <w:highlight w:val="none"/>
                <w:lang w:eastAsia="zh-CN"/>
              </w:rPr>
              <w:t>（试行）》</w:t>
            </w:r>
            <w:r>
              <w:rPr>
                <w:color w:val="auto"/>
                <w:highlight w:val="none"/>
              </w:rPr>
              <w:t>中表明：原则上不开展地下水、土壤环境质量现状调查</w:t>
            </w:r>
            <w:r>
              <w:rPr>
                <w:rFonts w:hint="eastAsia"/>
                <w:color w:val="auto"/>
                <w:highlight w:val="none"/>
              </w:rPr>
              <w:t>。本项目厂区车间经分区防渗后，项目基本不会对土壤、地下水产生影响。且项目</w:t>
            </w:r>
            <w:r>
              <w:rPr>
                <w:color w:val="auto"/>
                <w:highlight w:val="none"/>
              </w:rPr>
              <w:t>厂界外500</w:t>
            </w:r>
            <w:r>
              <w:rPr>
                <w:rFonts w:hint="eastAsia"/>
                <w:color w:val="auto"/>
                <w:highlight w:val="none"/>
              </w:rPr>
              <w:t>m</w:t>
            </w:r>
            <w:r>
              <w:rPr>
                <w:color w:val="auto"/>
                <w:highlight w:val="none"/>
              </w:rPr>
              <w:t>范围内无地下水集中式饮用水水源和热水、矿泉水、泉水等特殊地下水资源。因此，本项目不</w:t>
            </w:r>
            <w:r>
              <w:rPr>
                <w:rFonts w:hint="eastAsia"/>
                <w:color w:val="auto"/>
                <w:highlight w:val="none"/>
              </w:rPr>
              <w:t>开展</w:t>
            </w:r>
            <w:r>
              <w:rPr>
                <w:color w:val="auto"/>
                <w:highlight w:val="none"/>
              </w:rPr>
              <w:t>地下水、土壤环境质量现状</w:t>
            </w:r>
            <w:r>
              <w:rPr>
                <w:rFonts w:hint="eastAsia"/>
                <w:color w:val="auto"/>
                <w:highlight w:val="none"/>
              </w:rPr>
              <w:t>调查</w:t>
            </w:r>
            <w:r>
              <w:rPr>
                <w:color w:val="auto"/>
                <w:highlight w:val="none"/>
              </w:rPr>
              <w:t>。</w:t>
            </w:r>
          </w:p>
        </w:tc>
      </w:tr>
    </w:tbl>
    <w:p w14:paraId="63E87F74">
      <w:pPr>
        <w:rPr>
          <w:color w:val="auto"/>
          <w:highlight w:val="none"/>
        </w:rPr>
        <w:sectPr>
          <w:pgSz w:w="11905" w:h="16838"/>
          <w:pgMar w:top="1417" w:right="1417" w:bottom="1417" w:left="1417" w:header="851" w:footer="1077" w:gutter="0"/>
          <w:pgBorders>
            <w:top w:val="none" w:sz="0" w:space="0"/>
            <w:left w:val="none" w:sz="0" w:space="0"/>
            <w:bottom w:val="none" w:sz="0" w:space="0"/>
            <w:right w:val="none" w:sz="0" w:space="0"/>
          </w:pgBorders>
          <w:pgNumType w:fmt="decimal"/>
          <w:cols w:space="0" w:num="1"/>
          <w:docGrid w:linePitch="312" w:charSpace="0"/>
        </w:sectPr>
      </w:pPr>
    </w:p>
    <w:tbl>
      <w:tblPr>
        <w:tblStyle w:val="34"/>
        <w:tblW w:w="89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8190"/>
      </w:tblGrid>
      <w:tr w14:paraId="2D0012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68" w:hRule="atLeast"/>
          <w:jc w:val="center"/>
        </w:trPr>
        <w:tc>
          <w:tcPr>
            <w:tcW w:w="800" w:type="dxa"/>
            <w:vAlign w:val="center"/>
          </w:tcPr>
          <w:p w14:paraId="0F847932">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环境</w:t>
            </w:r>
          </w:p>
          <w:p w14:paraId="76030C52">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保护</w:t>
            </w:r>
          </w:p>
          <w:p w14:paraId="225B8022">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目标</w:t>
            </w:r>
          </w:p>
        </w:tc>
        <w:tc>
          <w:tcPr>
            <w:tcW w:w="8190" w:type="dxa"/>
            <w:vAlign w:val="center"/>
          </w:tcPr>
          <w:p w14:paraId="7872162B">
            <w:pPr>
              <w:pStyle w:val="3"/>
              <w:numPr>
                <w:ilvl w:val="1"/>
                <w:numId w:val="1"/>
              </w:numPr>
              <w:bidi w:val="0"/>
              <w:ind w:left="0" w:leftChars="0" w:firstLine="0" w:firstLineChars="0"/>
              <w:rPr>
                <w:color w:val="auto"/>
                <w:highlight w:val="none"/>
              </w:rPr>
            </w:pPr>
            <w:bookmarkStart w:id="27" w:name="_Toc15528"/>
            <w:r>
              <w:rPr>
                <w:rFonts w:hint="eastAsia"/>
                <w:color w:val="auto"/>
                <w:highlight w:val="none"/>
              </w:rPr>
              <w:t>环境保护目标</w:t>
            </w:r>
            <w:bookmarkEnd w:id="27"/>
          </w:p>
          <w:p w14:paraId="244A48B4">
            <w:pPr>
              <w:pStyle w:val="4"/>
              <w:bidi w:val="0"/>
              <w:rPr>
                <w:rFonts w:hint="default"/>
                <w:color w:val="auto"/>
                <w:highlight w:val="none"/>
                <w:lang w:val="en-US" w:eastAsia="zh-CN"/>
              </w:rPr>
            </w:pPr>
            <w:r>
              <w:rPr>
                <w:rFonts w:hint="eastAsia"/>
                <w:color w:val="auto"/>
                <w:highlight w:val="none"/>
                <w:lang w:val="en-US" w:eastAsia="zh-CN"/>
              </w:rPr>
              <w:t>环境敏感目标</w:t>
            </w:r>
          </w:p>
          <w:p w14:paraId="12ADA2D7">
            <w:pPr>
              <w:pStyle w:val="46"/>
              <w:bidi w:val="0"/>
              <w:rPr>
                <w:color w:val="auto"/>
                <w:highlight w:val="none"/>
              </w:rPr>
            </w:pPr>
            <w:r>
              <w:rPr>
                <w:rFonts w:hint="default" w:ascii="Times New Roman" w:hAnsi="Times New Roman" w:cs="Times New Roman"/>
                <w:color w:val="auto"/>
                <w:highlight w:val="none"/>
                <w:lang w:val="en-US" w:eastAsia="zh-CN"/>
              </w:rPr>
              <w:t>本项目位于</w:t>
            </w:r>
            <w:r>
              <w:rPr>
                <w:rFonts w:hint="eastAsia"/>
                <w:color w:val="auto"/>
                <w:lang w:val="en-US" w:eastAsia="zh-CN"/>
              </w:rPr>
              <w:t>福建省福州市罗源县凤山镇东大新村3号（2#楼、负压病房大楼以及1#楼1-3层）</w:t>
            </w:r>
            <w:r>
              <w:rPr>
                <w:rFonts w:hint="eastAsia" w:ascii="Times New Roman" w:hAnsi="Times New Roman" w:cs="Times New Roman"/>
                <w:color w:val="auto"/>
                <w:highlight w:val="none"/>
                <w:lang w:val="en-US" w:eastAsia="zh-CN"/>
              </w:rPr>
              <w:t>，</w:t>
            </w:r>
            <w:r>
              <w:rPr>
                <w:rFonts w:hint="eastAsia"/>
                <w:color w:val="auto"/>
                <w:highlight w:val="none"/>
              </w:rPr>
              <w:t>项目评价范围内不涉及自然保护区、风景名胜区、文物古迹等敏感目标。本项目周边环境敏感目标详见</w:t>
            </w:r>
            <w:r>
              <w:rPr>
                <w:rFonts w:hint="eastAsia"/>
                <w:color w:val="auto"/>
                <w:highlight w:val="none"/>
                <w:lang w:val="en-US" w:eastAsia="zh-CN"/>
              </w:rPr>
              <w:t>下表</w:t>
            </w:r>
            <w:r>
              <w:rPr>
                <w:rFonts w:hint="eastAsia"/>
                <w:color w:val="auto"/>
                <w:highlight w:val="none"/>
              </w:rPr>
              <w:t>和附图2。</w:t>
            </w:r>
          </w:p>
          <w:p w14:paraId="0A07D094">
            <w:pPr>
              <w:pStyle w:val="44"/>
              <w:keepNext/>
              <w:keepLines/>
              <w:pageBreakBefore w:val="0"/>
              <w:widowControl w:val="0"/>
              <w:numPr>
                <w:ilvl w:val="7"/>
                <w:numId w:val="1"/>
              </w:numPr>
              <w:kinsoku/>
              <w:wordWrap/>
              <w:overflowPunct/>
              <w:topLinePunct w:val="0"/>
              <w:autoSpaceDE/>
              <w:autoSpaceDN/>
              <w:bidi w:val="0"/>
              <w:adjustRightInd/>
              <w:snapToGrid/>
              <w:spacing w:before="0" w:after="0"/>
              <w:ind w:left="630" w:leftChars="0" w:firstLine="0" w:firstLineChars="0"/>
              <w:textAlignment w:val="auto"/>
              <w:rPr>
                <w:color w:val="auto"/>
                <w:highlight w:val="none"/>
              </w:rPr>
            </w:pPr>
            <w:bookmarkStart w:id="28" w:name="_Ref4901"/>
            <w:r>
              <w:rPr>
                <w:rFonts w:hint="eastAsia"/>
                <w:color w:val="auto"/>
                <w:highlight w:val="none"/>
              </w:rPr>
              <w:t>本项目周边环境敏感目标一览表</w:t>
            </w:r>
            <w:bookmarkEnd w:id="28"/>
          </w:p>
          <w:tbl>
            <w:tblPr>
              <w:tblStyle w:val="86"/>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785"/>
              <w:gridCol w:w="1218"/>
              <w:gridCol w:w="1370"/>
              <w:gridCol w:w="1370"/>
              <w:gridCol w:w="1190"/>
              <w:gridCol w:w="2038"/>
            </w:tblGrid>
            <w:tr w14:paraId="2555D6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493" w:type="pct"/>
                  <w:tcBorders>
                    <w:bottom w:val="single" w:color="000000" w:sz="12" w:space="0"/>
                  </w:tcBorders>
                  <w:vAlign w:val="center"/>
                </w:tcPr>
                <w:p w14:paraId="73427867">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r>
                    <w:rPr>
                      <w:rFonts w:hint="default" w:ascii="Times New Roman" w:hAnsi="Times New Roman" w:eastAsia="宋体" w:cs="Times New Roman"/>
                      <w:snapToGrid/>
                      <w:color w:val="auto"/>
                      <w:kern w:val="2"/>
                      <w:sz w:val="21"/>
                      <w:szCs w:val="21"/>
                      <w:lang w:val="en-US" w:eastAsia="zh-CN"/>
                    </w:rPr>
                    <w:t>环境要素</w:t>
                  </w:r>
                </w:p>
              </w:tc>
              <w:tc>
                <w:tcPr>
                  <w:tcW w:w="764" w:type="pct"/>
                  <w:tcBorders>
                    <w:bottom w:val="single" w:color="000000" w:sz="12" w:space="0"/>
                  </w:tcBorders>
                  <w:vAlign w:val="center"/>
                </w:tcPr>
                <w:p w14:paraId="35264FE0">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r>
                    <w:rPr>
                      <w:rFonts w:hint="default" w:ascii="Times New Roman" w:hAnsi="Times New Roman" w:eastAsia="宋体" w:cs="Times New Roman"/>
                      <w:snapToGrid/>
                      <w:color w:val="auto"/>
                      <w:kern w:val="2"/>
                      <w:sz w:val="21"/>
                      <w:szCs w:val="21"/>
                      <w:lang w:val="en-US" w:eastAsia="zh-CN"/>
                    </w:rPr>
                    <w:t>环境保护对象名称</w:t>
                  </w:r>
                </w:p>
              </w:tc>
              <w:tc>
                <w:tcPr>
                  <w:tcW w:w="859" w:type="pct"/>
                  <w:tcBorders>
                    <w:bottom w:val="single" w:color="000000" w:sz="12" w:space="0"/>
                  </w:tcBorders>
                  <w:vAlign w:val="center"/>
                </w:tcPr>
                <w:p w14:paraId="092B1D3F">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r>
                    <w:rPr>
                      <w:rFonts w:hint="eastAsia" w:cs="Times New Roman"/>
                      <w:snapToGrid/>
                      <w:color w:val="auto"/>
                      <w:kern w:val="2"/>
                      <w:sz w:val="21"/>
                      <w:szCs w:val="21"/>
                      <w:lang w:val="en-US" w:eastAsia="zh-CN"/>
                    </w:rPr>
                    <w:t>规模</w:t>
                  </w:r>
                </w:p>
              </w:tc>
              <w:tc>
                <w:tcPr>
                  <w:tcW w:w="859" w:type="pct"/>
                  <w:tcBorders>
                    <w:bottom w:val="single" w:color="000000" w:sz="12" w:space="0"/>
                  </w:tcBorders>
                  <w:vAlign w:val="center"/>
                </w:tcPr>
                <w:p w14:paraId="7F6204EA">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r>
                    <w:rPr>
                      <w:rFonts w:hint="default" w:ascii="Times New Roman" w:hAnsi="Times New Roman" w:eastAsia="宋体" w:cs="Times New Roman"/>
                      <w:snapToGrid/>
                      <w:color w:val="auto"/>
                      <w:kern w:val="2"/>
                      <w:sz w:val="21"/>
                      <w:szCs w:val="21"/>
                      <w:lang w:val="en-US" w:eastAsia="zh-CN"/>
                    </w:rPr>
                    <w:t>与项目厂界的方位和最近距离</w:t>
                  </w:r>
                </w:p>
              </w:tc>
              <w:tc>
                <w:tcPr>
                  <w:tcW w:w="746" w:type="pct"/>
                  <w:tcBorders>
                    <w:bottom w:val="single" w:color="000000" w:sz="12" w:space="0"/>
                  </w:tcBorders>
                  <w:vAlign w:val="center"/>
                </w:tcPr>
                <w:p w14:paraId="0C32D9AC">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r>
                    <w:rPr>
                      <w:rFonts w:hint="default" w:ascii="Times New Roman" w:hAnsi="Times New Roman" w:eastAsia="宋体" w:cs="Times New Roman"/>
                      <w:snapToGrid/>
                      <w:color w:val="auto"/>
                      <w:kern w:val="2"/>
                      <w:sz w:val="21"/>
                      <w:szCs w:val="21"/>
                      <w:lang w:val="en-US" w:eastAsia="zh-CN"/>
                    </w:rPr>
                    <w:t>基本特征</w:t>
                  </w:r>
                </w:p>
              </w:tc>
              <w:tc>
                <w:tcPr>
                  <w:tcW w:w="1276" w:type="pct"/>
                  <w:tcBorders>
                    <w:bottom w:val="single" w:color="000000" w:sz="12" w:space="0"/>
                  </w:tcBorders>
                  <w:vAlign w:val="center"/>
                </w:tcPr>
                <w:p w14:paraId="75D34E5C">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r>
                    <w:rPr>
                      <w:rFonts w:hint="default" w:ascii="Times New Roman" w:hAnsi="Times New Roman" w:eastAsia="宋体" w:cs="Times New Roman"/>
                      <w:snapToGrid/>
                      <w:color w:val="auto"/>
                      <w:kern w:val="2"/>
                      <w:sz w:val="21"/>
                      <w:szCs w:val="21"/>
                      <w:lang w:val="en-US" w:eastAsia="zh-CN"/>
                    </w:rPr>
                    <w:t>环境功能</w:t>
                  </w:r>
                </w:p>
              </w:tc>
            </w:tr>
            <w:tr w14:paraId="15C1856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493" w:type="pct"/>
                  <w:vMerge w:val="restart"/>
                  <w:tcBorders>
                    <w:top w:val="single" w:color="000000" w:sz="12" w:space="0"/>
                    <w:tl2br w:val="nil"/>
                    <w:tr2bl w:val="nil"/>
                  </w:tcBorders>
                  <w:vAlign w:val="center"/>
                </w:tcPr>
                <w:p w14:paraId="67B0D1E1">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r>
                    <w:rPr>
                      <w:rFonts w:hint="default" w:ascii="Times New Roman" w:hAnsi="Times New Roman" w:eastAsia="宋体" w:cs="Times New Roman"/>
                      <w:snapToGrid/>
                      <w:color w:val="auto"/>
                      <w:kern w:val="2"/>
                      <w:sz w:val="21"/>
                      <w:szCs w:val="21"/>
                      <w:lang w:val="en-US" w:eastAsia="zh-CN"/>
                    </w:rPr>
                    <w:t>环境空气</w:t>
                  </w:r>
                </w:p>
              </w:tc>
              <w:tc>
                <w:tcPr>
                  <w:tcW w:w="764" w:type="pct"/>
                  <w:tcBorders>
                    <w:top w:val="single" w:color="000000" w:sz="12" w:space="0"/>
                    <w:bottom w:val="single" w:color="000000" w:sz="4" w:space="0"/>
                  </w:tcBorders>
                  <w:vAlign w:val="center"/>
                </w:tcPr>
                <w:p w14:paraId="572C61FD">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cs="Times New Roman"/>
                      <w:snapToGrid/>
                      <w:color w:val="auto"/>
                      <w:kern w:val="2"/>
                      <w:sz w:val="21"/>
                      <w:szCs w:val="21"/>
                      <w:lang w:val="en-US" w:eastAsia="zh-CN"/>
                    </w:rPr>
                  </w:pPr>
                  <w:r>
                    <w:rPr>
                      <w:rFonts w:hint="eastAsia" w:cs="Times New Roman"/>
                      <w:snapToGrid/>
                      <w:color w:val="auto"/>
                      <w:kern w:val="2"/>
                      <w:sz w:val="21"/>
                      <w:szCs w:val="21"/>
                      <w:lang w:val="en-US" w:eastAsia="zh-CN"/>
                    </w:rPr>
                    <w:t>项目周边居民</w:t>
                  </w:r>
                </w:p>
              </w:tc>
              <w:tc>
                <w:tcPr>
                  <w:tcW w:w="859" w:type="pct"/>
                  <w:tcBorders>
                    <w:top w:val="single" w:color="000000" w:sz="12" w:space="0"/>
                    <w:bottom w:val="single" w:color="000000" w:sz="4" w:space="0"/>
                  </w:tcBorders>
                  <w:vAlign w:val="center"/>
                </w:tcPr>
                <w:p w14:paraId="669B711D">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cs="Times New Roman"/>
                      <w:snapToGrid/>
                      <w:color w:val="auto"/>
                      <w:kern w:val="2"/>
                      <w:sz w:val="21"/>
                      <w:szCs w:val="21"/>
                      <w:lang w:val="en-US" w:eastAsia="zh-CN"/>
                    </w:rPr>
                  </w:pPr>
                  <w:r>
                    <w:rPr>
                      <w:rFonts w:hint="eastAsia" w:cs="Times New Roman"/>
                      <w:snapToGrid/>
                      <w:color w:val="auto"/>
                      <w:kern w:val="2"/>
                      <w:sz w:val="21"/>
                      <w:szCs w:val="21"/>
                      <w:lang w:val="en-US" w:eastAsia="zh-CN"/>
                    </w:rPr>
                    <w:t>约2000人</w:t>
                  </w:r>
                </w:p>
              </w:tc>
              <w:tc>
                <w:tcPr>
                  <w:tcW w:w="859" w:type="pct"/>
                  <w:tcBorders>
                    <w:top w:val="single" w:color="000000" w:sz="12" w:space="0"/>
                    <w:bottom w:val="single" w:color="000000" w:sz="4" w:space="0"/>
                  </w:tcBorders>
                  <w:vAlign w:val="center"/>
                </w:tcPr>
                <w:p w14:paraId="0E320C48">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cs="Times New Roman"/>
                      <w:snapToGrid/>
                      <w:color w:val="auto"/>
                      <w:kern w:val="2"/>
                      <w:sz w:val="21"/>
                      <w:szCs w:val="21"/>
                      <w:lang w:val="en-US" w:eastAsia="zh-CN"/>
                    </w:rPr>
                  </w:pPr>
                  <w:r>
                    <w:rPr>
                      <w:rFonts w:hint="eastAsia" w:cs="Times New Roman"/>
                      <w:snapToGrid/>
                      <w:color w:val="auto"/>
                      <w:kern w:val="2"/>
                      <w:sz w:val="21"/>
                      <w:szCs w:val="21"/>
                      <w:lang w:val="en-US" w:eastAsia="zh-CN"/>
                    </w:rPr>
                    <w:t>与厂界最近距离为西侧5m</w:t>
                  </w:r>
                </w:p>
              </w:tc>
              <w:tc>
                <w:tcPr>
                  <w:tcW w:w="746" w:type="pct"/>
                  <w:tcBorders>
                    <w:top w:val="single" w:color="000000" w:sz="12" w:space="0"/>
                    <w:bottom w:val="single" w:color="000000" w:sz="4" w:space="0"/>
                  </w:tcBorders>
                  <w:vAlign w:val="center"/>
                </w:tcPr>
                <w:p w14:paraId="168FDD76">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cs="Times New Roman"/>
                      <w:snapToGrid/>
                      <w:color w:val="auto"/>
                      <w:kern w:val="2"/>
                      <w:sz w:val="21"/>
                      <w:szCs w:val="21"/>
                      <w:lang w:val="en-US" w:eastAsia="zh-CN"/>
                    </w:rPr>
                  </w:pPr>
                  <w:r>
                    <w:rPr>
                      <w:rFonts w:hint="eastAsia" w:cs="Times New Roman"/>
                      <w:snapToGrid/>
                      <w:color w:val="auto"/>
                      <w:kern w:val="2"/>
                      <w:sz w:val="21"/>
                      <w:szCs w:val="21"/>
                      <w:lang w:val="en-US" w:eastAsia="zh-CN"/>
                    </w:rPr>
                    <w:t>居民区</w:t>
                  </w:r>
                </w:p>
              </w:tc>
              <w:tc>
                <w:tcPr>
                  <w:tcW w:w="1276" w:type="pct"/>
                  <w:vMerge w:val="restart"/>
                  <w:tcBorders>
                    <w:top w:val="single" w:color="000000" w:sz="12" w:space="0"/>
                    <w:tl2br w:val="nil"/>
                    <w:tr2bl w:val="nil"/>
                  </w:tcBorders>
                  <w:vAlign w:val="center"/>
                </w:tcPr>
                <w:p w14:paraId="3455DB4F">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r>
                    <w:rPr>
                      <w:rFonts w:hint="default" w:ascii="Times New Roman" w:hAnsi="Times New Roman" w:eastAsia="宋体" w:cs="Times New Roman"/>
                      <w:snapToGrid/>
                      <w:color w:val="auto"/>
                      <w:kern w:val="2"/>
                      <w:sz w:val="21"/>
                      <w:szCs w:val="21"/>
                      <w:lang w:val="en-US" w:eastAsia="zh-CN"/>
                    </w:rPr>
                    <w:t>《环境空气质量标准》</w:t>
                  </w:r>
                </w:p>
                <w:p w14:paraId="45BF6988">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r>
                    <w:rPr>
                      <w:rFonts w:hint="eastAsia" w:cs="Times New Roman"/>
                      <w:snapToGrid/>
                      <w:color w:val="auto"/>
                      <w:kern w:val="2"/>
                      <w:sz w:val="21"/>
                      <w:szCs w:val="21"/>
                      <w:lang w:val="en-US" w:eastAsia="zh-CN"/>
                    </w:rPr>
                    <w:t>（</w:t>
                  </w:r>
                  <w:r>
                    <w:rPr>
                      <w:rFonts w:hint="default" w:ascii="Times New Roman" w:hAnsi="Times New Roman" w:eastAsia="宋体" w:cs="Times New Roman"/>
                      <w:snapToGrid/>
                      <w:color w:val="auto"/>
                      <w:kern w:val="2"/>
                      <w:sz w:val="21"/>
                      <w:szCs w:val="21"/>
                      <w:lang w:val="en-US" w:eastAsia="zh-CN"/>
                    </w:rPr>
                    <w:t>GB3095-20</w:t>
                  </w:r>
                  <w:r>
                    <w:rPr>
                      <w:rFonts w:hint="eastAsia" w:cs="Times New Roman"/>
                      <w:snapToGrid/>
                      <w:color w:val="auto"/>
                      <w:kern w:val="2"/>
                      <w:sz w:val="21"/>
                      <w:szCs w:val="21"/>
                      <w:lang w:val="en-US" w:eastAsia="zh-CN"/>
                    </w:rPr>
                    <w:t>26）</w:t>
                  </w:r>
                  <w:r>
                    <w:rPr>
                      <w:rFonts w:hint="default" w:ascii="Times New Roman" w:hAnsi="Times New Roman" w:eastAsia="宋体" w:cs="Times New Roman"/>
                      <w:snapToGrid/>
                      <w:color w:val="auto"/>
                      <w:kern w:val="2"/>
                      <w:sz w:val="21"/>
                      <w:szCs w:val="21"/>
                      <w:lang w:val="en-US" w:eastAsia="zh-CN"/>
                    </w:rPr>
                    <w:t>中的二级标准</w:t>
                  </w:r>
                </w:p>
              </w:tc>
            </w:tr>
            <w:tr w14:paraId="48E6252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493" w:type="pct"/>
                  <w:vMerge w:val="continue"/>
                  <w:tcBorders>
                    <w:tl2br w:val="nil"/>
                    <w:tr2bl w:val="nil"/>
                  </w:tcBorders>
                  <w:vAlign w:val="center"/>
                </w:tcPr>
                <w:p w14:paraId="6DE2EC79">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p>
              </w:tc>
              <w:tc>
                <w:tcPr>
                  <w:tcW w:w="764" w:type="pct"/>
                  <w:tcBorders>
                    <w:top w:val="single" w:color="000000" w:sz="4" w:space="0"/>
                    <w:tl2br w:val="nil"/>
                    <w:tr2bl w:val="nil"/>
                  </w:tcBorders>
                  <w:vAlign w:val="center"/>
                </w:tcPr>
                <w:p w14:paraId="15AE1EDF">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cs="Times New Roman"/>
                      <w:snapToGrid/>
                      <w:color w:val="auto"/>
                      <w:kern w:val="2"/>
                      <w:sz w:val="21"/>
                      <w:szCs w:val="21"/>
                      <w:lang w:val="en-US" w:eastAsia="zh-CN"/>
                    </w:rPr>
                  </w:pPr>
                  <w:r>
                    <w:rPr>
                      <w:rFonts w:hint="eastAsia" w:cs="Times New Roman"/>
                      <w:snapToGrid/>
                      <w:color w:val="auto"/>
                      <w:kern w:val="2"/>
                      <w:sz w:val="21"/>
                      <w:szCs w:val="21"/>
                      <w:lang w:val="en-US" w:eastAsia="zh-CN"/>
                    </w:rPr>
                    <w:t>医院内部病房</w:t>
                  </w:r>
                </w:p>
              </w:tc>
              <w:tc>
                <w:tcPr>
                  <w:tcW w:w="859" w:type="pct"/>
                  <w:tcBorders>
                    <w:top w:val="single" w:color="000000" w:sz="4" w:space="0"/>
                    <w:tl2br w:val="nil"/>
                    <w:tr2bl w:val="nil"/>
                  </w:tcBorders>
                  <w:vAlign w:val="center"/>
                </w:tcPr>
                <w:p w14:paraId="599FDFE8">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cs="Times New Roman"/>
                      <w:snapToGrid/>
                      <w:color w:val="auto"/>
                      <w:kern w:val="2"/>
                      <w:sz w:val="21"/>
                      <w:szCs w:val="21"/>
                      <w:lang w:val="en-US" w:eastAsia="zh-CN"/>
                    </w:rPr>
                  </w:pPr>
                  <w:r>
                    <w:rPr>
                      <w:rFonts w:hint="eastAsia" w:cs="Times New Roman"/>
                      <w:snapToGrid/>
                      <w:color w:val="auto"/>
                      <w:kern w:val="2"/>
                      <w:sz w:val="21"/>
                      <w:szCs w:val="21"/>
                      <w:lang w:val="en-US" w:eastAsia="zh-CN"/>
                    </w:rPr>
                    <w:t>约600人</w:t>
                  </w:r>
                </w:p>
              </w:tc>
              <w:tc>
                <w:tcPr>
                  <w:tcW w:w="859" w:type="pct"/>
                  <w:tcBorders>
                    <w:top w:val="single" w:color="000000" w:sz="4" w:space="0"/>
                    <w:tl2br w:val="nil"/>
                    <w:tr2bl w:val="nil"/>
                  </w:tcBorders>
                  <w:vAlign w:val="center"/>
                </w:tcPr>
                <w:p w14:paraId="5C5BFE97">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eastAsia" w:cs="Times New Roman"/>
                      <w:snapToGrid/>
                      <w:color w:val="auto"/>
                      <w:kern w:val="2"/>
                      <w:sz w:val="21"/>
                      <w:szCs w:val="21"/>
                      <w:lang w:val="en-US" w:eastAsia="zh-CN"/>
                    </w:rPr>
                  </w:pPr>
                  <w:r>
                    <w:rPr>
                      <w:rFonts w:hint="eastAsia" w:cs="Times New Roman"/>
                      <w:snapToGrid/>
                      <w:color w:val="auto"/>
                      <w:kern w:val="2"/>
                      <w:sz w:val="21"/>
                      <w:szCs w:val="21"/>
                      <w:lang w:val="en-US" w:eastAsia="zh-CN"/>
                    </w:rPr>
                    <w:t>/</w:t>
                  </w:r>
                </w:p>
              </w:tc>
              <w:tc>
                <w:tcPr>
                  <w:tcW w:w="746" w:type="pct"/>
                  <w:tcBorders>
                    <w:top w:val="single" w:color="000000" w:sz="4" w:space="0"/>
                    <w:tl2br w:val="nil"/>
                    <w:tr2bl w:val="nil"/>
                  </w:tcBorders>
                  <w:vAlign w:val="center"/>
                </w:tcPr>
                <w:p w14:paraId="29CB4234">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eastAsia" w:cs="Times New Roman"/>
                      <w:snapToGrid/>
                      <w:color w:val="auto"/>
                      <w:kern w:val="2"/>
                      <w:sz w:val="21"/>
                      <w:szCs w:val="21"/>
                      <w:lang w:val="en-US" w:eastAsia="zh-CN"/>
                    </w:rPr>
                  </w:pPr>
                  <w:r>
                    <w:rPr>
                      <w:rFonts w:hint="eastAsia" w:cs="Times New Roman"/>
                      <w:snapToGrid/>
                      <w:color w:val="auto"/>
                      <w:kern w:val="2"/>
                      <w:sz w:val="21"/>
                      <w:szCs w:val="21"/>
                      <w:lang w:val="en-US" w:eastAsia="zh-CN"/>
                    </w:rPr>
                    <w:t>/</w:t>
                  </w:r>
                </w:p>
              </w:tc>
              <w:tc>
                <w:tcPr>
                  <w:tcW w:w="1276" w:type="pct"/>
                  <w:vMerge w:val="continue"/>
                  <w:tcBorders>
                    <w:tl2br w:val="nil"/>
                    <w:tr2bl w:val="nil"/>
                  </w:tcBorders>
                  <w:vAlign w:val="center"/>
                </w:tcPr>
                <w:p w14:paraId="1FC50A31">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eastAsia" w:cs="Times New Roman"/>
                      <w:snapToGrid/>
                      <w:color w:val="auto"/>
                      <w:kern w:val="2"/>
                      <w:sz w:val="21"/>
                      <w:szCs w:val="21"/>
                      <w:lang w:val="en-US" w:eastAsia="zh-CN"/>
                    </w:rPr>
                  </w:pPr>
                </w:p>
              </w:tc>
            </w:tr>
            <w:tr w14:paraId="0775C6D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493" w:type="pct"/>
                  <w:vMerge w:val="continue"/>
                  <w:tcBorders>
                    <w:tl2br w:val="nil"/>
                    <w:tr2bl w:val="nil"/>
                  </w:tcBorders>
                  <w:vAlign w:val="center"/>
                </w:tcPr>
                <w:p w14:paraId="4FE2FD7E">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p>
              </w:tc>
              <w:tc>
                <w:tcPr>
                  <w:tcW w:w="764" w:type="pct"/>
                  <w:tcBorders>
                    <w:tl2br w:val="nil"/>
                    <w:tr2bl w:val="nil"/>
                  </w:tcBorders>
                  <w:vAlign w:val="center"/>
                </w:tcPr>
                <w:p w14:paraId="7EEC48B2">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snapToGrid/>
                      <w:color w:val="auto"/>
                      <w:kern w:val="2"/>
                      <w:sz w:val="21"/>
                      <w:szCs w:val="21"/>
                      <w:lang w:val="en-US" w:eastAsia="zh-CN"/>
                    </w:rPr>
                  </w:pPr>
                  <w:r>
                    <w:rPr>
                      <w:rFonts w:hint="eastAsia" w:cs="Times New Roman"/>
                      <w:snapToGrid/>
                      <w:color w:val="auto"/>
                      <w:kern w:val="2"/>
                      <w:sz w:val="21"/>
                      <w:szCs w:val="21"/>
                      <w:lang w:val="en-US" w:eastAsia="zh-CN"/>
                    </w:rPr>
                    <w:t>罗源县实验小学</w:t>
                  </w:r>
                </w:p>
              </w:tc>
              <w:tc>
                <w:tcPr>
                  <w:tcW w:w="859" w:type="pct"/>
                  <w:tcBorders>
                    <w:tl2br w:val="nil"/>
                    <w:tr2bl w:val="nil"/>
                  </w:tcBorders>
                  <w:vAlign w:val="center"/>
                </w:tcPr>
                <w:p w14:paraId="3139502E">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cs="Times New Roman"/>
                      <w:snapToGrid/>
                      <w:color w:val="auto"/>
                      <w:kern w:val="2"/>
                      <w:sz w:val="21"/>
                      <w:szCs w:val="21"/>
                      <w:lang w:val="en-US" w:eastAsia="zh-CN"/>
                    </w:rPr>
                  </w:pPr>
                  <w:r>
                    <w:rPr>
                      <w:rFonts w:hint="eastAsia" w:cs="Times New Roman"/>
                      <w:snapToGrid/>
                      <w:color w:val="auto"/>
                      <w:kern w:val="2"/>
                      <w:sz w:val="21"/>
                      <w:szCs w:val="21"/>
                      <w:lang w:val="en-US" w:eastAsia="zh-CN"/>
                    </w:rPr>
                    <w:t>约2000人</w:t>
                  </w:r>
                </w:p>
              </w:tc>
              <w:tc>
                <w:tcPr>
                  <w:tcW w:w="859" w:type="pct"/>
                  <w:tcBorders>
                    <w:tl2br w:val="nil"/>
                    <w:tr2bl w:val="nil"/>
                  </w:tcBorders>
                  <w:vAlign w:val="center"/>
                </w:tcPr>
                <w:p w14:paraId="77691195">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snapToGrid/>
                      <w:color w:val="auto"/>
                      <w:kern w:val="2"/>
                      <w:sz w:val="21"/>
                      <w:szCs w:val="21"/>
                      <w:lang w:val="en-US" w:eastAsia="zh-CN"/>
                    </w:rPr>
                  </w:pPr>
                  <w:r>
                    <w:rPr>
                      <w:rFonts w:hint="eastAsia" w:cs="Times New Roman"/>
                      <w:snapToGrid/>
                      <w:color w:val="auto"/>
                      <w:kern w:val="2"/>
                      <w:sz w:val="21"/>
                      <w:szCs w:val="21"/>
                      <w:lang w:val="en-US" w:eastAsia="zh-CN"/>
                    </w:rPr>
                    <w:t>北</w:t>
                  </w:r>
                  <w:r>
                    <w:rPr>
                      <w:rFonts w:hint="eastAsia" w:ascii="Times New Roman" w:hAnsi="Times New Roman" w:eastAsia="宋体" w:cs="Times New Roman"/>
                      <w:snapToGrid/>
                      <w:color w:val="auto"/>
                      <w:kern w:val="2"/>
                      <w:sz w:val="21"/>
                      <w:szCs w:val="21"/>
                      <w:lang w:val="en-US" w:eastAsia="zh-CN"/>
                    </w:rPr>
                    <w:t>侧</w:t>
                  </w:r>
                  <w:r>
                    <w:rPr>
                      <w:rFonts w:hint="eastAsia" w:cs="Times New Roman"/>
                      <w:snapToGrid/>
                      <w:color w:val="auto"/>
                      <w:kern w:val="2"/>
                      <w:sz w:val="21"/>
                      <w:szCs w:val="21"/>
                      <w:lang w:val="en-US" w:eastAsia="zh-CN"/>
                    </w:rPr>
                    <w:t>144</w:t>
                  </w:r>
                  <w:r>
                    <w:rPr>
                      <w:rFonts w:hint="eastAsia" w:ascii="Times New Roman" w:hAnsi="Times New Roman" w:eastAsia="宋体" w:cs="Times New Roman"/>
                      <w:snapToGrid/>
                      <w:color w:val="auto"/>
                      <w:kern w:val="2"/>
                      <w:sz w:val="21"/>
                      <w:szCs w:val="21"/>
                      <w:lang w:val="en-US" w:eastAsia="zh-CN"/>
                    </w:rPr>
                    <w:t>m</w:t>
                  </w:r>
                </w:p>
              </w:tc>
              <w:tc>
                <w:tcPr>
                  <w:tcW w:w="746" w:type="pct"/>
                  <w:tcBorders>
                    <w:tl2br w:val="nil"/>
                    <w:tr2bl w:val="nil"/>
                  </w:tcBorders>
                  <w:vAlign w:val="center"/>
                </w:tcPr>
                <w:p w14:paraId="4A21F4D7">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eastAsia" w:ascii="Times New Roman" w:hAnsi="Times New Roman" w:eastAsia="宋体" w:cs="Times New Roman"/>
                      <w:snapToGrid/>
                      <w:color w:val="auto"/>
                      <w:kern w:val="2"/>
                      <w:sz w:val="21"/>
                      <w:szCs w:val="21"/>
                      <w:lang w:val="en-US" w:eastAsia="zh-CN"/>
                    </w:rPr>
                  </w:pPr>
                  <w:r>
                    <w:rPr>
                      <w:rFonts w:hint="eastAsia" w:cs="Times New Roman"/>
                      <w:snapToGrid/>
                      <w:color w:val="auto"/>
                      <w:kern w:val="2"/>
                      <w:sz w:val="21"/>
                      <w:szCs w:val="21"/>
                      <w:lang w:val="en-US" w:eastAsia="zh-CN"/>
                    </w:rPr>
                    <w:t>学校</w:t>
                  </w:r>
                </w:p>
              </w:tc>
              <w:tc>
                <w:tcPr>
                  <w:tcW w:w="1276" w:type="pct"/>
                  <w:vMerge w:val="continue"/>
                  <w:tcBorders>
                    <w:tl2br w:val="nil"/>
                    <w:tr2bl w:val="nil"/>
                  </w:tcBorders>
                  <w:vAlign w:val="center"/>
                </w:tcPr>
                <w:p w14:paraId="142CBE6C">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p>
              </w:tc>
            </w:tr>
            <w:tr w14:paraId="54EFA5B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79" w:hRule="atLeast"/>
              </w:trPr>
              <w:tc>
                <w:tcPr>
                  <w:tcW w:w="493" w:type="pct"/>
                  <w:vMerge w:val="continue"/>
                  <w:tcBorders>
                    <w:tl2br w:val="nil"/>
                    <w:tr2bl w:val="nil"/>
                  </w:tcBorders>
                  <w:vAlign w:val="center"/>
                </w:tcPr>
                <w:p w14:paraId="26AC4024">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p>
              </w:tc>
              <w:tc>
                <w:tcPr>
                  <w:tcW w:w="764" w:type="pct"/>
                  <w:tcBorders>
                    <w:tl2br w:val="nil"/>
                    <w:tr2bl w:val="nil"/>
                  </w:tcBorders>
                  <w:vAlign w:val="center"/>
                </w:tcPr>
                <w:p w14:paraId="78EEB37A">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snapToGrid/>
                      <w:color w:val="auto"/>
                      <w:kern w:val="2"/>
                      <w:sz w:val="21"/>
                      <w:szCs w:val="21"/>
                      <w:lang w:val="en-US" w:eastAsia="zh-CN"/>
                    </w:rPr>
                  </w:pPr>
                  <w:r>
                    <w:rPr>
                      <w:rFonts w:hint="eastAsia" w:cs="Times New Roman"/>
                      <w:snapToGrid/>
                      <w:color w:val="auto"/>
                      <w:kern w:val="2"/>
                      <w:sz w:val="21"/>
                      <w:szCs w:val="21"/>
                      <w:lang w:val="en-US" w:eastAsia="zh-CN"/>
                    </w:rPr>
                    <w:t>凤山镇</w:t>
                  </w:r>
                </w:p>
              </w:tc>
              <w:tc>
                <w:tcPr>
                  <w:tcW w:w="859" w:type="pct"/>
                  <w:tcBorders>
                    <w:tl2br w:val="nil"/>
                    <w:tr2bl w:val="nil"/>
                  </w:tcBorders>
                  <w:vAlign w:val="center"/>
                </w:tcPr>
                <w:p w14:paraId="46DE6F61">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cs="Times New Roman"/>
                      <w:snapToGrid/>
                      <w:color w:val="auto"/>
                      <w:kern w:val="2"/>
                      <w:sz w:val="21"/>
                      <w:szCs w:val="21"/>
                      <w:lang w:val="en-US" w:eastAsia="zh-CN"/>
                    </w:rPr>
                  </w:pPr>
                  <w:r>
                    <w:rPr>
                      <w:rFonts w:hint="eastAsia" w:cs="Times New Roman"/>
                      <w:snapToGrid/>
                      <w:color w:val="auto"/>
                      <w:kern w:val="2"/>
                      <w:sz w:val="21"/>
                      <w:szCs w:val="21"/>
                      <w:lang w:val="en-US" w:eastAsia="zh-CN"/>
                    </w:rPr>
                    <w:t>6万人</w:t>
                  </w:r>
                </w:p>
              </w:tc>
              <w:tc>
                <w:tcPr>
                  <w:tcW w:w="859" w:type="pct"/>
                  <w:tcBorders>
                    <w:tl2br w:val="nil"/>
                    <w:tr2bl w:val="nil"/>
                  </w:tcBorders>
                  <w:vAlign w:val="center"/>
                </w:tcPr>
                <w:p w14:paraId="1161E263">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snapToGrid/>
                      <w:color w:val="auto"/>
                      <w:kern w:val="2"/>
                      <w:sz w:val="21"/>
                      <w:szCs w:val="21"/>
                      <w:lang w:val="en-US" w:eastAsia="zh-CN"/>
                    </w:rPr>
                  </w:pPr>
                  <w:r>
                    <w:rPr>
                      <w:rFonts w:hint="eastAsia" w:cs="Times New Roman"/>
                      <w:snapToGrid/>
                      <w:color w:val="auto"/>
                      <w:kern w:val="2"/>
                      <w:sz w:val="21"/>
                      <w:szCs w:val="21"/>
                      <w:lang w:val="en-US" w:eastAsia="zh-CN"/>
                    </w:rPr>
                    <w:t>本项目包含其中</w:t>
                  </w:r>
                </w:p>
              </w:tc>
              <w:tc>
                <w:tcPr>
                  <w:tcW w:w="746" w:type="pct"/>
                  <w:tcBorders>
                    <w:tl2br w:val="nil"/>
                    <w:tr2bl w:val="nil"/>
                  </w:tcBorders>
                  <w:vAlign w:val="center"/>
                </w:tcPr>
                <w:p w14:paraId="7BECD727">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eastAsia="宋体" w:cs="Times New Roman"/>
                      <w:snapToGrid/>
                      <w:color w:val="auto"/>
                      <w:kern w:val="2"/>
                      <w:sz w:val="21"/>
                      <w:szCs w:val="21"/>
                      <w:lang w:val="en-US" w:eastAsia="zh-CN"/>
                    </w:rPr>
                  </w:pPr>
                  <w:r>
                    <w:rPr>
                      <w:rFonts w:hint="eastAsia" w:cs="Times New Roman"/>
                      <w:snapToGrid/>
                      <w:color w:val="auto"/>
                      <w:kern w:val="2"/>
                      <w:sz w:val="21"/>
                      <w:szCs w:val="21"/>
                      <w:lang w:val="en-US" w:eastAsia="zh-CN"/>
                    </w:rPr>
                    <w:t>/</w:t>
                  </w:r>
                </w:p>
              </w:tc>
              <w:tc>
                <w:tcPr>
                  <w:tcW w:w="1276" w:type="pct"/>
                  <w:vMerge w:val="continue"/>
                  <w:tcBorders>
                    <w:tl2br w:val="nil"/>
                    <w:tr2bl w:val="nil"/>
                  </w:tcBorders>
                  <w:vAlign w:val="center"/>
                </w:tcPr>
                <w:p w14:paraId="467D1055">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p>
              </w:tc>
            </w:tr>
            <w:tr w14:paraId="3B4609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493" w:type="pct"/>
                  <w:tcBorders>
                    <w:tl2br w:val="nil"/>
                    <w:tr2bl w:val="nil"/>
                  </w:tcBorders>
                  <w:vAlign w:val="center"/>
                </w:tcPr>
                <w:p w14:paraId="1C48A79C">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r>
                    <w:rPr>
                      <w:rFonts w:hint="default" w:ascii="Times New Roman" w:hAnsi="Times New Roman" w:eastAsia="宋体" w:cs="Times New Roman"/>
                      <w:snapToGrid/>
                      <w:color w:val="auto"/>
                      <w:kern w:val="2"/>
                      <w:sz w:val="21"/>
                      <w:szCs w:val="21"/>
                      <w:lang w:val="en-US" w:eastAsia="zh-CN"/>
                    </w:rPr>
                    <w:t>地表水</w:t>
                  </w:r>
                </w:p>
              </w:tc>
              <w:tc>
                <w:tcPr>
                  <w:tcW w:w="764" w:type="pct"/>
                  <w:tcBorders>
                    <w:tl2br w:val="nil"/>
                    <w:tr2bl w:val="nil"/>
                  </w:tcBorders>
                  <w:vAlign w:val="center"/>
                </w:tcPr>
                <w:p w14:paraId="04CB92F8">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r>
                    <w:rPr>
                      <w:rFonts w:hint="eastAsia" w:cs="宋体"/>
                      <w:color w:val="auto"/>
                      <w:sz w:val="21"/>
                      <w:szCs w:val="21"/>
                      <w:lang w:val="en-US" w:eastAsia="zh-CN"/>
                    </w:rPr>
                    <w:t>南门溪</w:t>
                  </w:r>
                </w:p>
              </w:tc>
              <w:tc>
                <w:tcPr>
                  <w:tcW w:w="859" w:type="pct"/>
                  <w:tcBorders>
                    <w:tl2br w:val="nil"/>
                    <w:tr2bl w:val="nil"/>
                  </w:tcBorders>
                  <w:vAlign w:val="center"/>
                </w:tcPr>
                <w:p w14:paraId="36B7E8A7">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eastAsia" w:cs="宋体"/>
                      <w:color w:val="auto"/>
                      <w:sz w:val="21"/>
                      <w:szCs w:val="21"/>
                      <w:lang w:val="en-US" w:eastAsia="zh-CN"/>
                    </w:rPr>
                  </w:pPr>
                  <w:r>
                    <w:rPr>
                      <w:rFonts w:hint="default" w:ascii="Times New Roman" w:hAnsi="Times New Roman" w:eastAsia="宋体" w:cs="Times New Roman"/>
                      <w:snapToGrid/>
                      <w:color w:val="auto"/>
                      <w:kern w:val="2"/>
                      <w:sz w:val="21"/>
                      <w:szCs w:val="21"/>
                      <w:lang w:val="en-US" w:eastAsia="zh-CN"/>
                    </w:rPr>
                    <w:t>小型河流</w:t>
                  </w:r>
                </w:p>
              </w:tc>
              <w:tc>
                <w:tcPr>
                  <w:tcW w:w="859" w:type="pct"/>
                  <w:tcBorders>
                    <w:tl2br w:val="nil"/>
                    <w:tr2bl w:val="nil"/>
                  </w:tcBorders>
                  <w:vAlign w:val="center"/>
                </w:tcPr>
                <w:p w14:paraId="2552EB9F">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r>
                    <w:rPr>
                      <w:rFonts w:hint="eastAsia" w:cs="Times New Roman"/>
                      <w:snapToGrid/>
                      <w:color w:val="auto"/>
                      <w:kern w:val="2"/>
                      <w:sz w:val="21"/>
                      <w:szCs w:val="21"/>
                      <w:lang w:val="en-US" w:eastAsia="zh-CN"/>
                    </w:rPr>
                    <w:t>南</w:t>
                  </w:r>
                  <w:r>
                    <w:rPr>
                      <w:rFonts w:hint="default" w:ascii="Times New Roman" w:hAnsi="Times New Roman" w:eastAsia="宋体" w:cs="Times New Roman"/>
                      <w:snapToGrid/>
                      <w:color w:val="auto"/>
                      <w:kern w:val="2"/>
                      <w:sz w:val="21"/>
                      <w:szCs w:val="21"/>
                      <w:lang w:val="en-US" w:eastAsia="zh-CN"/>
                    </w:rPr>
                    <w:t>侧</w:t>
                  </w:r>
                  <w:r>
                    <w:rPr>
                      <w:rFonts w:hint="eastAsia" w:cs="Times New Roman"/>
                      <w:snapToGrid/>
                      <w:color w:val="auto"/>
                      <w:kern w:val="2"/>
                      <w:sz w:val="21"/>
                      <w:szCs w:val="21"/>
                      <w:lang w:val="en-US" w:eastAsia="zh-CN"/>
                    </w:rPr>
                    <w:t>212</w:t>
                  </w:r>
                  <w:r>
                    <w:rPr>
                      <w:rFonts w:hint="default" w:ascii="Times New Roman" w:hAnsi="Times New Roman" w:eastAsia="宋体" w:cs="Times New Roman"/>
                      <w:snapToGrid/>
                      <w:color w:val="auto"/>
                      <w:kern w:val="2"/>
                      <w:sz w:val="21"/>
                      <w:szCs w:val="21"/>
                      <w:lang w:val="en-US" w:eastAsia="zh-CN"/>
                    </w:rPr>
                    <w:t>m</w:t>
                  </w:r>
                </w:p>
              </w:tc>
              <w:tc>
                <w:tcPr>
                  <w:tcW w:w="746" w:type="pct"/>
                  <w:tcBorders>
                    <w:tl2br w:val="nil"/>
                    <w:tr2bl w:val="nil"/>
                  </w:tcBorders>
                  <w:vAlign w:val="center"/>
                </w:tcPr>
                <w:p w14:paraId="763ACEAE">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r>
                    <w:rPr>
                      <w:rFonts w:hint="default" w:ascii="Times New Roman" w:hAnsi="Times New Roman" w:eastAsia="宋体" w:cs="Times New Roman"/>
                      <w:snapToGrid/>
                      <w:color w:val="auto"/>
                      <w:kern w:val="2"/>
                      <w:sz w:val="21"/>
                      <w:szCs w:val="21"/>
                      <w:lang w:val="en-US" w:eastAsia="zh-CN"/>
                    </w:rPr>
                    <w:t>小型河流</w:t>
                  </w:r>
                </w:p>
              </w:tc>
              <w:tc>
                <w:tcPr>
                  <w:tcW w:w="1276" w:type="pct"/>
                  <w:tcBorders>
                    <w:tl2br w:val="nil"/>
                    <w:tr2bl w:val="nil"/>
                  </w:tcBorders>
                  <w:vAlign w:val="center"/>
                </w:tcPr>
                <w:p w14:paraId="17BF2075">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r>
                    <w:rPr>
                      <w:rFonts w:hint="default" w:ascii="Times New Roman" w:hAnsi="Times New Roman" w:eastAsia="宋体" w:cs="Times New Roman"/>
                      <w:snapToGrid/>
                      <w:color w:val="auto"/>
                      <w:kern w:val="2"/>
                      <w:sz w:val="21"/>
                      <w:szCs w:val="21"/>
                      <w:lang w:val="en-US" w:eastAsia="zh-CN"/>
                    </w:rPr>
                    <w:t>《地表水环境质量标准》</w:t>
                  </w:r>
                  <w:r>
                    <w:rPr>
                      <w:rFonts w:hint="eastAsia" w:cs="Times New Roman"/>
                      <w:snapToGrid/>
                      <w:color w:val="auto"/>
                      <w:kern w:val="2"/>
                      <w:sz w:val="21"/>
                      <w:szCs w:val="21"/>
                      <w:lang w:val="en-US" w:eastAsia="zh-CN"/>
                    </w:rPr>
                    <w:t>（GB 3838</w:t>
                  </w:r>
                  <w:r>
                    <w:rPr>
                      <w:rFonts w:hint="default" w:ascii="Times New Roman" w:hAnsi="Times New Roman" w:eastAsia="宋体" w:cs="Times New Roman"/>
                      <w:snapToGrid/>
                      <w:color w:val="auto"/>
                      <w:kern w:val="2"/>
                      <w:sz w:val="21"/>
                      <w:szCs w:val="21"/>
                      <w:lang w:val="en-US" w:eastAsia="zh-CN"/>
                    </w:rPr>
                    <w:t>-2002</w:t>
                  </w:r>
                  <w:r>
                    <w:rPr>
                      <w:rFonts w:hint="eastAsia" w:cs="Times New Roman"/>
                      <w:snapToGrid/>
                      <w:color w:val="auto"/>
                      <w:kern w:val="2"/>
                      <w:sz w:val="21"/>
                      <w:szCs w:val="21"/>
                      <w:lang w:val="en-US" w:eastAsia="zh-CN"/>
                    </w:rPr>
                    <w:t>）</w:t>
                  </w:r>
                  <w:r>
                    <w:rPr>
                      <w:rFonts w:hint="default" w:ascii="Times New Roman" w:hAnsi="Times New Roman" w:eastAsia="宋体" w:cs="Times New Roman"/>
                      <w:snapToGrid/>
                      <w:color w:val="auto"/>
                      <w:kern w:val="2"/>
                      <w:sz w:val="21"/>
                      <w:szCs w:val="21"/>
                      <w:lang w:val="en-US" w:eastAsia="zh-CN"/>
                    </w:rPr>
                    <w:t>Ⅲ类标准</w:t>
                  </w:r>
                </w:p>
              </w:tc>
            </w:tr>
            <w:tr w14:paraId="1DB334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493" w:type="pct"/>
                  <w:vMerge w:val="restart"/>
                  <w:tcBorders>
                    <w:tl2br w:val="nil"/>
                    <w:tr2bl w:val="nil"/>
                  </w:tcBorders>
                  <w:vAlign w:val="center"/>
                </w:tcPr>
                <w:p w14:paraId="6A5171B4">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r>
                    <w:rPr>
                      <w:rFonts w:hint="default" w:ascii="Times New Roman" w:hAnsi="Times New Roman" w:eastAsia="宋体" w:cs="Times New Roman"/>
                      <w:snapToGrid/>
                      <w:color w:val="auto"/>
                      <w:kern w:val="2"/>
                      <w:sz w:val="21"/>
                      <w:szCs w:val="21"/>
                      <w:lang w:val="en-US" w:eastAsia="zh-CN"/>
                    </w:rPr>
                    <w:t>声环境</w:t>
                  </w:r>
                </w:p>
              </w:tc>
              <w:tc>
                <w:tcPr>
                  <w:tcW w:w="764" w:type="pct"/>
                  <w:tcBorders>
                    <w:tl2br w:val="nil"/>
                    <w:tr2bl w:val="nil"/>
                  </w:tcBorders>
                  <w:vAlign w:val="center"/>
                </w:tcPr>
                <w:p w14:paraId="2363A11C">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lang w:val="en-US" w:eastAsia="zh-CN"/>
                    </w:rPr>
                  </w:pPr>
                  <w:r>
                    <w:rPr>
                      <w:rFonts w:hint="eastAsia" w:cs="宋体"/>
                      <w:color w:val="auto"/>
                      <w:sz w:val="21"/>
                      <w:szCs w:val="21"/>
                      <w:lang w:val="en-US" w:eastAsia="zh-CN"/>
                    </w:rPr>
                    <w:t>项目周边居民</w:t>
                  </w:r>
                </w:p>
              </w:tc>
              <w:tc>
                <w:tcPr>
                  <w:tcW w:w="859" w:type="pct"/>
                  <w:tcBorders>
                    <w:tl2br w:val="nil"/>
                    <w:tr2bl w:val="nil"/>
                  </w:tcBorders>
                  <w:vAlign w:val="center"/>
                </w:tcPr>
                <w:p w14:paraId="7C8144E4">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eastAsia" w:cs="宋体"/>
                      <w:color w:val="auto"/>
                      <w:sz w:val="21"/>
                      <w:szCs w:val="21"/>
                      <w:lang w:val="en-US" w:eastAsia="zh-CN"/>
                    </w:rPr>
                  </w:pPr>
                  <w:r>
                    <w:rPr>
                      <w:rFonts w:hint="eastAsia" w:cs="Times New Roman"/>
                      <w:snapToGrid/>
                      <w:color w:val="auto"/>
                      <w:kern w:val="2"/>
                      <w:sz w:val="21"/>
                      <w:szCs w:val="21"/>
                      <w:lang w:val="en-US" w:eastAsia="zh-CN"/>
                    </w:rPr>
                    <w:t>约2000人</w:t>
                  </w:r>
                </w:p>
              </w:tc>
              <w:tc>
                <w:tcPr>
                  <w:tcW w:w="859" w:type="pct"/>
                  <w:tcBorders>
                    <w:tl2br w:val="nil"/>
                    <w:tr2bl w:val="nil"/>
                  </w:tcBorders>
                  <w:vAlign w:val="center"/>
                </w:tcPr>
                <w:p w14:paraId="04ECEA00">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eastAsia" w:cs="Times New Roman"/>
                      <w:snapToGrid/>
                      <w:color w:val="auto"/>
                      <w:kern w:val="2"/>
                      <w:sz w:val="21"/>
                      <w:szCs w:val="21"/>
                      <w:lang w:val="en-US" w:eastAsia="zh-CN"/>
                    </w:rPr>
                  </w:pPr>
                  <w:r>
                    <w:rPr>
                      <w:rFonts w:hint="eastAsia" w:cs="Times New Roman"/>
                      <w:snapToGrid/>
                      <w:color w:val="auto"/>
                      <w:kern w:val="2"/>
                      <w:sz w:val="21"/>
                      <w:szCs w:val="21"/>
                      <w:lang w:val="en-US" w:eastAsia="zh-CN"/>
                    </w:rPr>
                    <w:t>与项目最近距离为西侧5m</w:t>
                  </w:r>
                </w:p>
              </w:tc>
              <w:tc>
                <w:tcPr>
                  <w:tcW w:w="746" w:type="pct"/>
                  <w:tcBorders>
                    <w:tl2br w:val="nil"/>
                    <w:tr2bl w:val="nil"/>
                  </w:tcBorders>
                  <w:vAlign w:val="center"/>
                </w:tcPr>
                <w:p w14:paraId="26143D03">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r>
                    <w:rPr>
                      <w:rFonts w:hint="eastAsia" w:cs="Times New Roman"/>
                      <w:snapToGrid/>
                      <w:color w:val="auto"/>
                      <w:kern w:val="2"/>
                      <w:sz w:val="21"/>
                      <w:szCs w:val="21"/>
                      <w:lang w:val="en-US" w:eastAsia="zh-CN"/>
                    </w:rPr>
                    <w:t>居民区</w:t>
                  </w:r>
                </w:p>
              </w:tc>
              <w:tc>
                <w:tcPr>
                  <w:tcW w:w="1276" w:type="pct"/>
                  <w:vMerge w:val="restart"/>
                  <w:tcBorders>
                    <w:tl2br w:val="nil"/>
                    <w:tr2bl w:val="nil"/>
                  </w:tcBorders>
                  <w:vAlign w:val="center"/>
                </w:tcPr>
                <w:p w14:paraId="2FBD2CB8">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r>
                    <w:rPr>
                      <w:rFonts w:hint="default" w:ascii="Times New Roman" w:hAnsi="Times New Roman" w:eastAsia="宋体" w:cs="Times New Roman"/>
                      <w:snapToGrid/>
                      <w:color w:val="auto"/>
                      <w:kern w:val="2"/>
                      <w:sz w:val="21"/>
                      <w:szCs w:val="21"/>
                      <w:lang w:val="en-US" w:eastAsia="zh-CN"/>
                    </w:rPr>
                    <w:t>《声环境质量标准》（</w:t>
                  </w:r>
                  <w:r>
                    <w:rPr>
                      <w:rFonts w:hint="eastAsia" w:cs="Times New Roman"/>
                      <w:snapToGrid/>
                      <w:color w:val="auto"/>
                      <w:kern w:val="2"/>
                      <w:sz w:val="21"/>
                      <w:szCs w:val="21"/>
                      <w:lang w:val="en-US" w:eastAsia="zh-CN"/>
                    </w:rPr>
                    <w:t>GB 3096</w:t>
                  </w:r>
                  <w:r>
                    <w:rPr>
                      <w:rFonts w:hint="default" w:ascii="Times New Roman" w:hAnsi="Times New Roman" w:eastAsia="宋体" w:cs="Times New Roman"/>
                      <w:snapToGrid/>
                      <w:color w:val="auto"/>
                      <w:kern w:val="2"/>
                      <w:sz w:val="21"/>
                      <w:szCs w:val="21"/>
                      <w:lang w:val="en-US" w:eastAsia="zh-CN"/>
                    </w:rPr>
                    <w:t>-2008）中</w:t>
                  </w:r>
                  <w:r>
                    <w:rPr>
                      <w:rFonts w:hint="eastAsia" w:cs="Times New Roman"/>
                      <w:snapToGrid/>
                      <w:color w:val="auto"/>
                      <w:kern w:val="2"/>
                      <w:sz w:val="21"/>
                      <w:szCs w:val="21"/>
                      <w:lang w:val="en-US" w:eastAsia="zh-CN"/>
                    </w:rPr>
                    <w:t>2</w:t>
                  </w:r>
                  <w:r>
                    <w:rPr>
                      <w:rFonts w:hint="default" w:ascii="Times New Roman" w:hAnsi="Times New Roman" w:eastAsia="宋体" w:cs="Times New Roman"/>
                      <w:snapToGrid/>
                      <w:color w:val="auto"/>
                      <w:kern w:val="2"/>
                      <w:sz w:val="21"/>
                      <w:szCs w:val="21"/>
                      <w:lang w:val="en-US" w:eastAsia="zh-CN"/>
                    </w:rPr>
                    <w:t>类功能区标准</w:t>
                  </w:r>
                </w:p>
              </w:tc>
            </w:tr>
            <w:tr w14:paraId="4AEFD1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09" w:hRule="atLeast"/>
              </w:trPr>
              <w:tc>
                <w:tcPr>
                  <w:tcW w:w="493" w:type="pct"/>
                  <w:vMerge w:val="continue"/>
                  <w:tcBorders>
                    <w:tl2br w:val="nil"/>
                    <w:tr2bl w:val="nil"/>
                  </w:tcBorders>
                  <w:vAlign w:val="center"/>
                </w:tcPr>
                <w:p w14:paraId="7E1E7241">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p>
              </w:tc>
              <w:tc>
                <w:tcPr>
                  <w:tcW w:w="764" w:type="pct"/>
                  <w:tcBorders>
                    <w:tl2br w:val="nil"/>
                    <w:tr2bl w:val="nil"/>
                  </w:tcBorders>
                  <w:vAlign w:val="center"/>
                </w:tcPr>
                <w:p w14:paraId="517CD5D5">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cs="宋体"/>
                      <w:color w:val="auto"/>
                      <w:sz w:val="21"/>
                      <w:szCs w:val="21"/>
                      <w:lang w:val="en-US" w:eastAsia="zh-CN"/>
                    </w:rPr>
                  </w:pPr>
                  <w:r>
                    <w:rPr>
                      <w:rFonts w:hint="eastAsia" w:cs="宋体"/>
                      <w:color w:val="auto"/>
                      <w:sz w:val="21"/>
                      <w:szCs w:val="21"/>
                      <w:lang w:val="en-US" w:eastAsia="zh-CN"/>
                    </w:rPr>
                    <w:t>医院内部病房</w:t>
                  </w:r>
                </w:p>
              </w:tc>
              <w:tc>
                <w:tcPr>
                  <w:tcW w:w="859" w:type="pct"/>
                  <w:tcBorders>
                    <w:tl2br w:val="nil"/>
                    <w:tr2bl w:val="nil"/>
                  </w:tcBorders>
                  <w:vAlign w:val="center"/>
                </w:tcPr>
                <w:p w14:paraId="4C130C90">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eastAsia" w:cs="宋体"/>
                      <w:color w:val="auto"/>
                      <w:sz w:val="21"/>
                      <w:szCs w:val="21"/>
                      <w:lang w:val="en-US" w:eastAsia="zh-CN"/>
                    </w:rPr>
                  </w:pPr>
                  <w:r>
                    <w:rPr>
                      <w:rFonts w:hint="eastAsia" w:cs="Times New Roman"/>
                      <w:snapToGrid/>
                      <w:color w:val="auto"/>
                      <w:kern w:val="2"/>
                      <w:sz w:val="21"/>
                      <w:szCs w:val="21"/>
                      <w:lang w:val="en-US" w:eastAsia="zh-CN"/>
                    </w:rPr>
                    <w:t>约600人</w:t>
                  </w:r>
                </w:p>
              </w:tc>
              <w:tc>
                <w:tcPr>
                  <w:tcW w:w="859" w:type="pct"/>
                  <w:tcBorders>
                    <w:tl2br w:val="nil"/>
                    <w:tr2bl w:val="nil"/>
                  </w:tcBorders>
                  <w:vAlign w:val="center"/>
                </w:tcPr>
                <w:p w14:paraId="6DD466CA">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eastAsia" w:cs="Times New Roman"/>
                      <w:snapToGrid/>
                      <w:color w:val="auto"/>
                      <w:kern w:val="2"/>
                      <w:sz w:val="21"/>
                      <w:szCs w:val="21"/>
                      <w:lang w:val="en-US" w:eastAsia="zh-CN"/>
                    </w:rPr>
                  </w:pPr>
                  <w:r>
                    <w:rPr>
                      <w:rFonts w:hint="eastAsia" w:cs="Times New Roman"/>
                      <w:snapToGrid/>
                      <w:color w:val="auto"/>
                      <w:kern w:val="2"/>
                      <w:sz w:val="21"/>
                      <w:szCs w:val="21"/>
                      <w:lang w:val="en-US" w:eastAsia="zh-CN"/>
                    </w:rPr>
                    <w:t>/</w:t>
                  </w:r>
                </w:p>
              </w:tc>
              <w:tc>
                <w:tcPr>
                  <w:tcW w:w="746" w:type="pct"/>
                  <w:tcBorders>
                    <w:tl2br w:val="nil"/>
                    <w:tr2bl w:val="nil"/>
                  </w:tcBorders>
                  <w:vAlign w:val="center"/>
                </w:tcPr>
                <w:p w14:paraId="0B58D875">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r>
                    <w:rPr>
                      <w:rFonts w:hint="eastAsia" w:cs="Times New Roman"/>
                      <w:snapToGrid/>
                      <w:color w:val="auto"/>
                      <w:kern w:val="2"/>
                      <w:sz w:val="21"/>
                      <w:szCs w:val="21"/>
                      <w:lang w:val="en-US" w:eastAsia="zh-CN"/>
                    </w:rPr>
                    <w:t>/</w:t>
                  </w:r>
                </w:p>
              </w:tc>
              <w:tc>
                <w:tcPr>
                  <w:tcW w:w="1276" w:type="pct"/>
                  <w:vMerge w:val="continue"/>
                  <w:tcBorders>
                    <w:tl2br w:val="nil"/>
                    <w:tr2bl w:val="nil"/>
                  </w:tcBorders>
                  <w:vAlign w:val="center"/>
                </w:tcPr>
                <w:p w14:paraId="6921311E">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p>
              </w:tc>
            </w:tr>
            <w:tr w14:paraId="1B0DAE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493" w:type="pct"/>
                  <w:tcBorders>
                    <w:tl2br w:val="nil"/>
                    <w:tr2bl w:val="nil"/>
                  </w:tcBorders>
                  <w:vAlign w:val="center"/>
                </w:tcPr>
                <w:p w14:paraId="24CE8704">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r>
                    <w:rPr>
                      <w:rFonts w:hint="default" w:ascii="Times New Roman" w:hAnsi="Times New Roman" w:eastAsia="宋体" w:cs="Times New Roman"/>
                      <w:snapToGrid/>
                      <w:color w:val="auto"/>
                      <w:kern w:val="2"/>
                      <w:sz w:val="21"/>
                      <w:szCs w:val="21"/>
                      <w:lang w:val="en-US" w:eastAsia="zh-CN"/>
                    </w:rPr>
                    <w:t>地下水</w:t>
                  </w:r>
                </w:p>
              </w:tc>
              <w:tc>
                <w:tcPr>
                  <w:tcW w:w="4506" w:type="pct"/>
                  <w:gridSpan w:val="5"/>
                  <w:tcBorders>
                    <w:tl2br w:val="nil"/>
                    <w:tr2bl w:val="nil"/>
                  </w:tcBorders>
                  <w:vAlign w:val="center"/>
                </w:tcPr>
                <w:p w14:paraId="014D9ED5">
                  <w:pPr>
                    <w:pStyle w:val="48"/>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ind w:right="0"/>
                    <w:jc w:val="center"/>
                    <w:textAlignment w:val="auto"/>
                    <w:rPr>
                      <w:rFonts w:hint="default" w:ascii="Times New Roman" w:hAnsi="Times New Roman" w:eastAsia="宋体" w:cs="Times New Roman"/>
                      <w:snapToGrid/>
                      <w:color w:val="auto"/>
                      <w:kern w:val="2"/>
                      <w:sz w:val="21"/>
                      <w:szCs w:val="21"/>
                      <w:lang w:val="en-US" w:eastAsia="zh-CN"/>
                    </w:rPr>
                  </w:pPr>
                  <w:r>
                    <w:rPr>
                      <w:rFonts w:hint="default" w:ascii="Times New Roman" w:hAnsi="Times New Roman" w:eastAsia="宋体" w:cs="Times New Roman"/>
                      <w:snapToGrid/>
                      <w:color w:val="auto"/>
                      <w:kern w:val="2"/>
                      <w:sz w:val="21"/>
                      <w:szCs w:val="21"/>
                      <w:lang w:val="en-US" w:eastAsia="zh-CN"/>
                    </w:rPr>
                    <w:t>项目厂界外</w:t>
                  </w:r>
                  <w:r>
                    <w:rPr>
                      <w:rFonts w:hint="eastAsia" w:cs="Times New Roman"/>
                      <w:snapToGrid/>
                      <w:color w:val="auto"/>
                      <w:kern w:val="2"/>
                      <w:sz w:val="21"/>
                      <w:szCs w:val="21"/>
                      <w:lang w:val="en-US" w:eastAsia="zh-CN"/>
                    </w:rPr>
                    <w:t>500m</w:t>
                  </w:r>
                  <w:r>
                    <w:rPr>
                      <w:rFonts w:hint="default" w:ascii="Times New Roman" w:hAnsi="Times New Roman" w:eastAsia="宋体" w:cs="Times New Roman"/>
                      <w:snapToGrid/>
                      <w:color w:val="auto"/>
                      <w:kern w:val="2"/>
                      <w:sz w:val="21"/>
                      <w:szCs w:val="21"/>
                      <w:lang w:val="en-US" w:eastAsia="zh-CN"/>
                    </w:rPr>
                    <w:t>范围内无地下水集中式饮用水水源和热水、矿泉水、温泉等特殊地下水资源</w:t>
                  </w:r>
                </w:p>
              </w:tc>
            </w:tr>
          </w:tbl>
          <w:p w14:paraId="07C5EA34">
            <w:pPr>
              <w:pStyle w:val="4"/>
              <w:bidi w:val="0"/>
              <w:rPr>
                <w:rFonts w:hint="default"/>
                <w:color w:val="auto"/>
                <w:lang w:val="en-US" w:eastAsia="zh-CN"/>
              </w:rPr>
            </w:pPr>
            <w:r>
              <w:rPr>
                <w:rFonts w:hint="eastAsia"/>
                <w:color w:val="auto"/>
                <w:lang w:val="en-US" w:eastAsia="zh-CN"/>
              </w:rPr>
              <w:t>生态环境保护目标</w:t>
            </w:r>
          </w:p>
          <w:p w14:paraId="280469C2">
            <w:pPr>
              <w:pStyle w:val="97"/>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Fonts w:ascii="宋体" w:hAnsi="宋体" w:cs="宋体"/>
                <w:color w:val="auto"/>
                <w:kern w:val="0"/>
                <w:szCs w:val="21"/>
                <w:highlight w:val="none"/>
              </w:rPr>
            </w:pPr>
            <w:r>
              <w:rPr>
                <w:rFonts w:hint="eastAsia" w:ascii="Times New Roman" w:hAnsi="Times New Roman" w:eastAsia="宋体" w:cs="宋体"/>
                <w:color w:val="auto"/>
                <w:kern w:val="0"/>
                <w:sz w:val="24"/>
                <w:szCs w:val="20"/>
                <w:highlight w:val="none"/>
                <w:lang w:val="en-US" w:eastAsia="zh-CN" w:bidi="ar-SA"/>
              </w:rPr>
              <w:t>根据《建设项目环境影响报告表编制技术指南</w:t>
            </w:r>
            <w:r>
              <w:rPr>
                <w:rFonts w:hint="eastAsia" w:ascii="Times New Roman" w:hAnsi="Times New Roman" w:cs="宋体"/>
                <w:color w:val="auto"/>
                <w:kern w:val="0"/>
                <w:sz w:val="24"/>
                <w:szCs w:val="20"/>
                <w:highlight w:val="none"/>
                <w:lang w:val="en-US" w:eastAsia="zh-CN" w:bidi="ar-SA"/>
              </w:rPr>
              <w:t>（</w:t>
            </w:r>
            <w:r>
              <w:rPr>
                <w:rFonts w:hint="eastAsia" w:ascii="Times New Roman" w:hAnsi="Times New Roman" w:eastAsia="宋体" w:cs="宋体"/>
                <w:color w:val="auto"/>
                <w:kern w:val="0"/>
                <w:sz w:val="24"/>
                <w:szCs w:val="20"/>
                <w:highlight w:val="none"/>
                <w:lang w:val="en-US" w:eastAsia="zh-CN" w:bidi="ar-SA"/>
              </w:rPr>
              <w:t>污染影响类</w:t>
            </w:r>
            <w:r>
              <w:rPr>
                <w:rFonts w:hint="eastAsia" w:ascii="Times New Roman" w:hAnsi="Times New Roman" w:cs="宋体"/>
                <w:color w:val="auto"/>
                <w:kern w:val="0"/>
                <w:sz w:val="24"/>
                <w:szCs w:val="20"/>
                <w:highlight w:val="none"/>
                <w:lang w:val="en-US" w:eastAsia="zh-CN" w:bidi="ar-SA"/>
              </w:rPr>
              <w:t>）（</w:t>
            </w:r>
            <w:r>
              <w:rPr>
                <w:rFonts w:hint="eastAsia" w:ascii="Times New Roman" w:hAnsi="Times New Roman" w:eastAsia="宋体" w:cs="宋体"/>
                <w:color w:val="auto"/>
                <w:kern w:val="0"/>
                <w:sz w:val="24"/>
                <w:szCs w:val="20"/>
                <w:highlight w:val="none"/>
                <w:lang w:val="en-US" w:eastAsia="zh-CN" w:bidi="ar-SA"/>
              </w:rPr>
              <w:t>试行</w:t>
            </w:r>
            <w:r>
              <w:rPr>
                <w:rFonts w:hint="eastAsia" w:ascii="Times New Roman" w:hAnsi="Times New Roman" w:cs="宋体"/>
                <w:color w:val="auto"/>
                <w:kern w:val="0"/>
                <w:sz w:val="24"/>
                <w:szCs w:val="20"/>
                <w:highlight w:val="none"/>
                <w:lang w:val="en-US" w:eastAsia="zh-CN" w:bidi="ar-SA"/>
              </w:rPr>
              <w:t>）</w:t>
            </w:r>
            <w:r>
              <w:rPr>
                <w:rFonts w:hint="eastAsia" w:ascii="Times New Roman" w:hAnsi="Times New Roman" w:eastAsia="宋体" w:cs="宋体"/>
                <w:color w:val="auto"/>
                <w:kern w:val="0"/>
                <w:sz w:val="24"/>
                <w:szCs w:val="20"/>
                <w:highlight w:val="none"/>
                <w:lang w:val="en-US" w:eastAsia="zh-CN" w:bidi="ar-SA"/>
              </w:rPr>
              <w:t>》</w:t>
            </w:r>
            <w:r>
              <w:rPr>
                <w:rFonts w:hint="eastAsia" w:ascii="Times New Roman" w:hAnsi="Times New Roman" w:cs="宋体"/>
                <w:color w:val="auto"/>
                <w:kern w:val="0"/>
                <w:sz w:val="24"/>
                <w:szCs w:val="20"/>
                <w:highlight w:val="none"/>
                <w:lang w:val="en-US" w:eastAsia="zh-CN" w:bidi="ar-SA"/>
              </w:rPr>
              <w:t>（</w:t>
            </w:r>
            <w:r>
              <w:rPr>
                <w:rFonts w:hint="eastAsia" w:ascii="Times New Roman" w:hAnsi="Times New Roman" w:eastAsia="宋体" w:cs="宋体"/>
                <w:color w:val="auto"/>
                <w:kern w:val="0"/>
                <w:sz w:val="24"/>
                <w:szCs w:val="20"/>
                <w:highlight w:val="none"/>
                <w:lang w:val="en-US" w:eastAsia="zh-CN" w:bidi="ar-SA"/>
              </w:rPr>
              <w:t>环办环评〔2020〕33号</w:t>
            </w:r>
            <w:r>
              <w:rPr>
                <w:rFonts w:hint="eastAsia" w:ascii="Times New Roman" w:hAnsi="Times New Roman" w:cs="宋体"/>
                <w:color w:val="auto"/>
                <w:kern w:val="0"/>
                <w:sz w:val="24"/>
                <w:szCs w:val="20"/>
                <w:highlight w:val="none"/>
                <w:lang w:val="en-US" w:eastAsia="zh-CN" w:bidi="ar-SA"/>
              </w:rPr>
              <w:t>）</w:t>
            </w:r>
            <w:r>
              <w:rPr>
                <w:rFonts w:hint="eastAsia" w:ascii="Times New Roman" w:hAnsi="Times New Roman" w:eastAsia="宋体" w:cs="宋体"/>
                <w:color w:val="auto"/>
                <w:kern w:val="0"/>
                <w:sz w:val="24"/>
                <w:szCs w:val="20"/>
                <w:highlight w:val="none"/>
                <w:lang w:val="en-US" w:eastAsia="zh-CN" w:bidi="ar-SA"/>
              </w:rPr>
              <w:t>“产业园区外建设项目新增用地的，应明确新增用地范围内生态环境保护目标”。本项目位于福建省福州市罗源县凤山镇东大新村内，根据调查，项目评价区域主要植被为草坪、行道树等景观树种，主要动物为常见的蛙类、鸟类和昆虫类等，评价区域内无珍稀濒危物种、自然保护区、风景名胜区等生态敏感目标，调查区域也未发现国家重点保护的野生动植物等。</w:t>
            </w:r>
          </w:p>
        </w:tc>
      </w:tr>
      <w:tr w14:paraId="6265E7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00" w:type="dxa"/>
            <w:tcMar>
              <w:left w:w="28" w:type="dxa"/>
              <w:right w:w="28" w:type="dxa"/>
            </w:tcMar>
            <w:vAlign w:val="center"/>
          </w:tcPr>
          <w:p w14:paraId="0562F830">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污染</w:t>
            </w:r>
          </w:p>
          <w:p w14:paraId="6FF9B220">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物排</w:t>
            </w:r>
          </w:p>
          <w:p w14:paraId="661F6F87">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放控</w:t>
            </w:r>
          </w:p>
          <w:p w14:paraId="73023F50">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制标</w:t>
            </w:r>
          </w:p>
          <w:p w14:paraId="3E54C10E">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准</w:t>
            </w:r>
          </w:p>
        </w:tc>
        <w:tc>
          <w:tcPr>
            <w:tcW w:w="8190" w:type="dxa"/>
            <w:vAlign w:val="center"/>
          </w:tcPr>
          <w:p w14:paraId="300FDED1">
            <w:pPr>
              <w:pStyle w:val="3"/>
              <w:numPr>
                <w:ilvl w:val="1"/>
                <w:numId w:val="1"/>
              </w:numPr>
              <w:bidi w:val="0"/>
              <w:ind w:left="0" w:leftChars="0" w:firstLine="0" w:firstLineChars="0"/>
              <w:rPr>
                <w:rFonts w:hint="eastAsia"/>
                <w:color w:val="auto"/>
                <w:highlight w:val="none"/>
              </w:rPr>
            </w:pPr>
            <w:r>
              <w:rPr>
                <w:rFonts w:hint="eastAsia"/>
                <w:color w:val="auto"/>
                <w:highlight w:val="none"/>
              </w:rPr>
              <w:t>污染物排放控制标准</w:t>
            </w:r>
          </w:p>
          <w:p w14:paraId="4945D4BD">
            <w:pPr>
              <w:pStyle w:val="4"/>
              <w:numPr>
                <w:ilvl w:val="2"/>
                <w:numId w:val="1"/>
              </w:numPr>
              <w:bidi w:val="0"/>
              <w:ind w:left="720" w:leftChars="0" w:hanging="720" w:firstLineChars="0"/>
              <w:rPr>
                <w:rFonts w:hint="eastAsia"/>
                <w:color w:val="auto"/>
                <w:highlight w:val="none"/>
                <w:lang w:val="en-US" w:eastAsia="zh-CN"/>
              </w:rPr>
            </w:pPr>
            <w:r>
              <w:rPr>
                <w:rFonts w:hint="eastAsia"/>
                <w:color w:val="auto"/>
                <w:highlight w:val="none"/>
                <w:lang w:val="en-US" w:eastAsia="zh-CN"/>
              </w:rPr>
              <w:t>废气排放标准</w:t>
            </w:r>
          </w:p>
          <w:p w14:paraId="14F23CAC">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80" w:firstLineChars="200"/>
              <w:textAlignment w:val="auto"/>
              <w:rPr>
                <w:rFonts w:hint="default" w:ascii="Times New Roman" w:hAnsi="Times New Roman" w:eastAsia="宋体" w:cs="宋体"/>
                <w:color w:val="auto"/>
                <w:kern w:val="0"/>
                <w:sz w:val="24"/>
                <w:szCs w:val="20"/>
                <w:highlight w:val="none"/>
                <w:lang w:val="en-US" w:eastAsia="zh-CN" w:bidi="ar-SA"/>
              </w:rPr>
            </w:pPr>
            <w:bookmarkStart w:id="29" w:name="_Ref11732"/>
            <w:r>
              <w:rPr>
                <w:rFonts w:hint="default" w:ascii="Times New Roman" w:hAnsi="Times New Roman" w:eastAsia="宋体" w:cs="宋体"/>
                <w:color w:val="auto"/>
                <w:kern w:val="0"/>
                <w:sz w:val="24"/>
                <w:szCs w:val="20"/>
                <w:highlight w:val="none"/>
                <w:lang w:val="en-US" w:eastAsia="zh-CN" w:bidi="ar-SA"/>
              </w:rPr>
              <w:t>本项目</w:t>
            </w:r>
            <w:r>
              <w:rPr>
                <w:rFonts w:hint="eastAsia" w:cs="宋体"/>
                <w:color w:val="auto"/>
                <w:kern w:val="0"/>
                <w:sz w:val="24"/>
                <w:szCs w:val="20"/>
                <w:highlight w:val="none"/>
                <w:lang w:val="en-US" w:eastAsia="zh-CN" w:bidi="ar-SA"/>
              </w:rPr>
              <w:t>运营</w:t>
            </w:r>
            <w:r>
              <w:rPr>
                <w:rFonts w:hint="default" w:ascii="Times New Roman" w:hAnsi="Times New Roman" w:eastAsia="宋体" w:cs="宋体"/>
                <w:color w:val="auto"/>
                <w:kern w:val="0"/>
                <w:sz w:val="24"/>
                <w:szCs w:val="20"/>
                <w:highlight w:val="none"/>
                <w:lang w:val="en-US" w:eastAsia="zh-CN" w:bidi="ar-SA"/>
              </w:rPr>
              <w:t>期废气主要是污水处理设施废气。项目污水处理站废气排放执行《恶臭污染物排放标准》</w:t>
            </w:r>
            <w:r>
              <w:rPr>
                <w:rFonts w:hint="eastAsia" w:cs="宋体"/>
                <w:color w:val="auto"/>
                <w:kern w:val="0"/>
                <w:sz w:val="24"/>
                <w:szCs w:val="20"/>
                <w:highlight w:val="none"/>
                <w:lang w:val="en-US" w:eastAsia="zh-CN" w:bidi="ar-SA"/>
              </w:rPr>
              <w:t>（GB 14554</w:t>
            </w:r>
            <w:r>
              <w:rPr>
                <w:rFonts w:hint="default" w:ascii="Times New Roman" w:hAnsi="Times New Roman" w:eastAsia="宋体" w:cs="宋体"/>
                <w:color w:val="auto"/>
                <w:kern w:val="0"/>
                <w:sz w:val="24"/>
                <w:szCs w:val="20"/>
                <w:highlight w:val="none"/>
                <w:lang w:val="en-US" w:eastAsia="zh-CN" w:bidi="ar-SA"/>
              </w:rPr>
              <w:t>-93</w:t>
            </w:r>
            <w:r>
              <w:rPr>
                <w:rFonts w:hint="eastAsia" w:cs="宋体"/>
                <w:color w:val="auto"/>
                <w:kern w:val="0"/>
                <w:sz w:val="24"/>
                <w:szCs w:val="20"/>
                <w:highlight w:val="none"/>
                <w:lang w:val="en-US" w:eastAsia="zh-CN" w:bidi="ar-SA"/>
              </w:rPr>
              <w:t>）</w:t>
            </w:r>
            <w:r>
              <w:rPr>
                <w:rFonts w:hint="default" w:ascii="Times New Roman" w:hAnsi="Times New Roman" w:eastAsia="宋体" w:cs="宋体"/>
                <w:color w:val="auto"/>
                <w:kern w:val="0"/>
                <w:sz w:val="24"/>
                <w:szCs w:val="20"/>
                <w:highlight w:val="none"/>
                <w:lang w:val="en-US" w:eastAsia="zh-CN" w:bidi="ar-SA"/>
              </w:rPr>
              <w:t>表2恶臭污染物排放标准值和《医疗机构水污染物排放标准》</w:t>
            </w:r>
            <w:r>
              <w:rPr>
                <w:rFonts w:hint="eastAsia" w:cs="宋体"/>
                <w:color w:val="auto"/>
                <w:kern w:val="0"/>
                <w:sz w:val="24"/>
                <w:szCs w:val="20"/>
                <w:highlight w:val="none"/>
                <w:lang w:val="en-US" w:eastAsia="zh-CN" w:bidi="ar-SA"/>
              </w:rPr>
              <w:t>（GB 18466</w:t>
            </w:r>
            <w:r>
              <w:rPr>
                <w:rFonts w:hint="default" w:ascii="Times New Roman" w:hAnsi="Times New Roman" w:eastAsia="宋体" w:cs="宋体"/>
                <w:color w:val="auto"/>
                <w:kern w:val="0"/>
                <w:sz w:val="24"/>
                <w:szCs w:val="20"/>
                <w:highlight w:val="none"/>
                <w:lang w:val="en-US" w:eastAsia="zh-CN" w:bidi="ar-SA"/>
              </w:rPr>
              <w:t>-2005</w:t>
            </w:r>
            <w:r>
              <w:rPr>
                <w:rFonts w:hint="eastAsia" w:cs="宋体"/>
                <w:color w:val="auto"/>
                <w:kern w:val="0"/>
                <w:sz w:val="24"/>
                <w:szCs w:val="20"/>
                <w:highlight w:val="none"/>
                <w:lang w:val="en-US" w:eastAsia="zh-CN" w:bidi="ar-SA"/>
              </w:rPr>
              <w:t>）</w:t>
            </w:r>
            <w:r>
              <w:rPr>
                <w:rFonts w:hint="default" w:ascii="Times New Roman" w:hAnsi="Times New Roman" w:eastAsia="宋体" w:cs="宋体"/>
                <w:color w:val="auto"/>
                <w:kern w:val="0"/>
                <w:sz w:val="24"/>
                <w:szCs w:val="20"/>
                <w:highlight w:val="none"/>
                <w:lang w:val="en-US" w:eastAsia="zh-CN" w:bidi="ar-SA"/>
              </w:rPr>
              <w:t>表3污水处理站周边大气污染物最高允许浓度</w:t>
            </w:r>
            <w:r>
              <w:rPr>
                <w:rFonts w:hint="eastAsia" w:cs="宋体"/>
                <w:color w:val="auto"/>
                <w:kern w:val="0"/>
                <w:sz w:val="24"/>
                <w:szCs w:val="20"/>
                <w:highlight w:val="none"/>
                <w:lang w:val="en-US" w:eastAsia="zh-CN" w:bidi="ar-SA"/>
              </w:rPr>
              <w:t>，</w:t>
            </w:r>
            <w:r>
              <w:rPr>
                <w:rFonts w:hint="default" w:ascii="Times New Roman" w:hAnsi="Times New Roman" w:eastAsia="宋体" w:cs="宋体"/>
                <w:color w:val="auto"/>
                <w:kern w:val="0"/>
                <w:sz w:val="24"/>
                <w:szCs w:val="20"/>
                <w:highlight w:val="none"/>
                <w:lang w:val="en-US" w:eastAsia="zh-CN" w:bidi="ar-SA"/>
              </w:rPr>
              <w:t>详见下表。</w:t>
            </w:r>
          </w:p>
          <w:p w14:paraId="5BE90A88">
            <w:pPr>
              <w:pStyle w:val="44"/>
              <w:keepNext/>
              <w:keepLines/>
              <w:pageBreakBefore w:val="0"/>
              <w:widowControl w:val="0"/>
              <w:numPr>
                <w:ilvl w:val="7"/>
                <w:numId w:val="1"/>
              </w:numPr>
              <w:kinsoku/>
              <w:wordWrap/>
              <w:overflowPunct/>
              <w:topLinePunct w:val="0"/>
              <w:autoSpaceDE/>
              <w:autoSpaceDN/>
              <w:bidi w:val="0"/>
              <w:adjustRightInd/>
              <w:snapToGrid/>
              <w:spacing w:before="0" w:after="0"/>
              <w:ind w:left="630" w:leftChars="0" w:firstLine="0" w:firstLineChars="0"/>
              <w:textAlignment w:val="auto"/>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大气污染物排放限值</w:t>
            </w:r>
          </w:p>
          <w:tbl>
            <w:tblPr>
              <w:tblStyle w:val="34"/>
              <w:tblW w:w="0" w:type="auto"/>
              <w:tblInd w:w="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2194"/>
              <w:gridCol w:w="1247"/>
              <w:gridCol w:w="1925"/>
              <w:gridCol w:w="1194"/>
              <w:gridCol w:w="1409"/>
            </w:tblGrid>
            <w:tr w14:paraId="059B85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45" w:hRule="atLeast"/>
              </w:trPr>
              <w:tc>
                <w:tcPr>
                  <w:tcW w:w="2194" w:type="dxa"/>
                  <w:vMerge w:val="restart"/>
                  <w:tcBorders>
                    <w:tl2br w:val="nil"/>
                    <w:tr2bl w:val="nil"/>
                  </w:tcBorders>
                  <w:shd w:val="clear" w:color="auto" w:fill="auto"/>
                  <w:vAlign w:val="center"/>
                </w:tcPr>
                <w:p w14:paraId="7D4BC830">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污染物</w:t>
                  </w:r>
                </w:p>
              </w:tc>
              <w:tc>
                <w:tcPr>
                  <w:tcW w:w="3172" w:type="dxa"/>
                  <w:gridSpan w:val="2"/>
                  <w:tcBorders>
                    <w:tl2br w:val="nil"/>
                    <w:tr2bl w:val="nil"/>
                  </w:tcBorders>
                  <w:shd w:val="clear" w:color="auto" w:fill="auto"/>
                  <w:vAlign w:val="center"/>
                </w:tcPr>
                <w:p w14:paraId="12DE9636">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最高允许排放速率</w:t>
                  </w:r>
                </w:p>
              </w:tc>
              <w:tc>
                <w:tcPr>
                  <w:tcW w:w="0" w:type="auto"/>
                  <w:gridSpan w:val="2"/>
                  <w:tcBorders>
                    <w:tl2br w:val="nil"/>
                    <w:tr2bl w:val="nil"/>
                  </w:tcBorders>
                  <w:shd w:val="clear" w:color="auto" w:fill="auto"/>
                  <w:vAlign w:val="center"/>
                </w:tcPr>
                <w:p w14:paraId="15A91E52">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无组织排放监控浓度限值</w:t>
                  </w:r>
                </w:p>
              </w:tc>
            </w:tr>
            <w:tr w14:paraId="482034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0" w:hRule="atLeast"/>
              </w:trPr>
              <w:tc>
                <w:tcPr>
                  <w:tcW w:w="2194" w:type="dxa"/>
                  <w:vMerge w:val="continue"/>
                  <w:tcBorders>
                    <w:tl2br w:val="nil"/>
                    <w:tr2bl w:val="nil"/>
                  </w:tcBorders>
                  <w:shd w:val="clear" w:color="auto" w:fill="auto"/>
                  <w:vAlign w:val="center"/>
                </w:tcPr>
                <w:p w14:paraId="1B40DDD2">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eastAsia" w:ascii="Times New Roman" w:hAnsi="Times New Roman" w:eastAsia="宋体" w:cs="Times New Roman"/>
                      <w:color w:val="auto"/>
                      <w:spacing w:val="0"/>
                      <w:sz w:val="21"/>
                      <w:szCs w:val="21"/>
                      <w:lang w:val="en-US" w:eastAsia="zh-CN"/>
                    </w:rPr>
                  </w:pPr>
                </w:p>
              </w:tc>
              <w:tc>
                <w:tcPr>
                  <w:tcW w:w="1247" w:type="dxa"/>
                  <w:tcBorders>
                    <w:tl2br w:val="nil"/>
                    <w:tr2bl w:val="nil"/>
                  </w:tcBorders>
                  <w:shd w:val="clear" w:color="auto" w:fill="auto"/>
                  <w:vAlign w:val="center"/>
                </w:tcPr>
                <w:p w14:paraId="6B6868AA">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排气筒高</w:t>
                  </w:r>
                  <w:r>
                    <w:rPr>
                      <w:rFonts w:hint="default" w:ascii="Times New Roman" w:hAnsi="Times New Roman" w:eastAsia="宋体" w:cs="Times New Roman"/>
                      <w:color w:val="auto"/>
                      <w:spacing w:val="0"/>
                      <w:sz w:val="21"/>
                      <w:szCs w:val="21"/>
                      <w:lang w:val="en-US" w:eastAsia="zh-CN"/>
                    </w:rPr>
                    <w:br w:type="textWrapping"/>
                  </w:r>
                  <w:r>
                    <w:rPr>
                      <w:rFonts w:hint="default" w:ascii="Times New Roman" w:hAnsi="Times New Roman" w:eastAsia="宋体" w:cs="Times New Roman"/>
                      <w:color w:val="auto"/>
                      <w:spacing w:val="0"/>
                      <w:sz w:val="21"/>
                      <w:szCs w:val="21"/>
                      <w:lang w:val="en-US" w:eastAsia="zh-CN"/>
                    </w:rPr>
                    <w:t>度</w:t>
                  </w:r>
                  <w:r>
                    <w:rPr>
                      <w:rFonts w:hint="eastAsia" w:ascii="Times New Roman" w:hAnsi="Times New Roman"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m</w:t>
                  </w:r>
                  <w:r>
                    <w:rPr>
                      <w:rFonts w:hint="eastAsia" w:ascii="Times New Roman" w:hAnsi="Times New Roman" w:cs="Times New Roman"/>
                      <w:color w:val="auto"/>
                      <w:spacing w:val="0"/>
                      <w:sz w:val="21"/>
                      <w:szCs w:val="21"/>
                      <w:lang w:val="en-US" w:eastAsia="zh-CN"/>
                    </w:rPr>
                    <w:t>）</w:t>
                  </w:r>
                </w:p>
              </w:tc>
              <w:tc>
                <w:tcPr>
                  <w:tcW w:w="1925" w:type="dxa"/>
                  <w:tcBorders>
                    <w:tl2br w:val="nil"/>
                    <w:tr2bl w:val="nil"/>
                  </w:tcBorders>
                  <w:shd w:val="clear" w:color="auto" w:fill="auto"/>
                  <w:vAlign w:val="center"/>
                </w:tcPr>
                <w:p w14:paraId="65906247">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标准</w:t>
                  </w:r>
                  <w:r>
                    <w:rPr>
                      <w:rFonts w:hint="eastAsia" w:ascii="Times New Roman" w:hAnsi="Times New Roman" w:eastAsia="宋体" w:cs="Times New Roman"/>
                      <w:color w:val="auto"/>
                      <w:spacing w:val="0"/>
                      <w:sz w:val="21"/>
                      <w:szCs w:val="21"/>
                      <w:lang w:val="en-US" w:eastAsia="zh-CN"/>
                    </w:rPr>
                    <w:t>限值</w:t>
                  </w:r>
                  <w:r>
                    <w:rPr>
                      <w:rFonts w:hint="eastAsia" w:ascii="Times New Roman" w:hAnsi="Times New Roman"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kg/h</w:t>
                  </w:r>
                  <w:r>
                    <w:rPr>
                      <w:rFonts w:hint="eastAsia" w:ascii="Times New Roman" w:hAnsi="Times New Roman" w:cs="Times New Roman"/>
                      <w:color w:val="auto"/>
                      <w:spacing w:val="0"/>
                      <w:sz w:val="21"/>
                      <w:szCs w:val="21"/>
                      <w:lang w:val="en-US" w:eastAsia="zh-CN"/>
                    </w:rPr>
                    <w:t>）</w:t>
                  </w:r>
                </w:p>
              </w:tc>
              <w:tc>
                <w:tcPr>
                  <w:tcW w:w="0" w:type="auto"/>
                  <w:tcBorders>
                    <w:tl2br w:val="nil"/>
                    <w:tr2bl w:val="nil"/>
                  </w:tcBorders>
                  <w:shd w:val="clear" w:color="auto" w:fill="auto"/>
                  <w:vAlign w:val="center"/>
                </w:tcPr>
                <w:p w14:paraId="03074ED2">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监控点</w:t>
                  </w:r>
                </w:p>
              </w:tc>
              <w:tc>
                <w:tcPr>
                  <w:tcW w:w="0" w:type="auto"/>
                  <w:tcBorders>
                    <w:tl2br w:val="nil"/>
                    <w:tr2bl w:val="nil"/>
                  </w:tcBorders>
                  <w:shd w:val="clear" w:color="auto" w:fill="auto"/>
                  <w:vAlign w:val="center"/>
                </w:tcPr>
                <w:p w14:paraId="3954E300">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浓度</w:t>
                  </w:r>
                  <w:r>
                    <w:rPr>
                      <w:rFonts w:hint="eastAsia" w:ascii="Times New Roman" w:hAnsi="Times New Roman"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mg/m³</w:t>
                  </w:r>
                  <w:r>
                    <w:rPr>
                      <w:rFonts w:hint="eastAsia" w:ascii="Times New Roman" w:hAnsi="Times New Roman" w:cs="Times New Roman"/>
                      <w:color w:val="auto"/>
                      <w:spacing w:val="0"/>
                      <w:sz w:val="21"/>
                      <w:szCs w:val="21"/>
                      <w:lang w:val="en-US" w:eastAsia="zh-CN"/>
                    </w:rPr>
                    <w:t>）</w:t>
                  </w:r>
                </w:p>
              </w:tc>
            </w:tr>
            <w:tr w14:paraId="2C9CE71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30" w:hRule="atLeast"/>
              </w:trPr>
              <w:tc>
                <w:tcPr>
                  <w:tcW w:w="2194" w:type="dxa"/>
                  <w:tcBorders>
                    <w:tl2br w:val="nil"/>
                    <w:tr2bl w:val="nil"/>
                  </w:tcBorders>
                  <w:shd w:val="clear" w:color="auto" w:fill="auto"/>
                  <w:vAlign w:val="center"/>
                </w:tcPr>
                <w:p w14:paraId="05753207">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硫化氢</w:t>
                  </w:r>
                </w:p>
              </w:tc>
              <w:tc>
                <w:tcPr>
                  <w:tcW w:w="1247" w:type="dxa"/>
                  <w:vMerge w:val="restart"/>
                  <w:tcBorders>
                    <w:tl2br w:val="nil"/>
                    <w:tr2bl w:val="nil"/>
                  </w:tcBorders>
                  <w:shd w:val="clear" w:color="auto" w:fill="auto"/>
                  <w:vAlign w:val="center"/>
                </w:tcPr>
                <w:p w14:paraId="59B69B4B">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15</w:t>
                  </w:r>
                </w:p>
              </w:tc>
              <w:tc>
                <w:tcPr>
                  <w:tcW w:w="1925" w:type="dxa"/>
                  <w:tcBorders>
                    <w:tl2br w:val="nil"/>
                    <w:tr2bl w:val="nil"/>
                  </w:tcBorders>
                  <w:shd w:val="clear" w:color="auto" w:fill="auto"/>
                  <w:vAlign w:val="center"/>
                </w:tcPr>
                <w:p w14:paraId="70AB1442">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0.33</w:t>
                  </w:r>
                </w:p>
              </w:tc>
              <w:tc>
                <w:tcPr>
                  <w:tcW w:w="0" w:type="auto"/>
                  <w:tcBorders>
                    <w:tl2br w:val="nil"/>
                    <w:tr2bl w:val="nil"/>
                  </w:tcBorders>
                  <w:shd w:val="clear" w:color="auto" w:fill="auto"/>
                  <w:vAlign w:val="center"/>
                </w:tcPr>
                <w:p w14:paraId="22B8B57E">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周界外浓度最高点</w:t>
                  </w:r>
                </w:p>
              </w:tc>
              <w:tc>
                <w:tcPr>
                  <w:tcW w:w="0" w:type="auto"/>
                  <w:tcBorders>
                    <w:tl2br w:val="nil"/>
                    <w:tr2bl w:val="nil"/>
                  </w:tcBorders>
                  <w:shd w:val="clear" w:color="auto" w:fill="auto"/>
                  <w:vAlign w:val="center"/>
                </w:tcPr>
                <w:p w14:paraId="54EDDF62">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0.03</w:t>
                  </w:r>
                </w:p>
              </w:tc>
            </w:tr>
            <w:tr w14:paraId="3D9BFB7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20" w:hRule="atLeast"/>
              </w:trPr>
              <w:tc>
                <w:tcPr>
                  <w:tcW w:w="2194" w:type="dxa"/>
                  <w:tcBorders>
                    <w:tl2br w:val="nil"/>
                    <w:tr2bl w:val="nil"/>
                  </w:tcBorders>
                  <w:shd w:val="clear" w:color="auto" w:fill="auto"/>
                  <w:vAlign w:val="center"/>
                </w:tcPr>
                <w:p w14:paraId="4CC31326">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氨气</w:t>
                  </w:r>
                </w:p>
              </w:tc>
              <w:tc>
                <w:tcPr>
                  <w:tcW w:w="1247" w:type="dxa"/>
                  <w:vMerge w:val="continue"/>
                  <w:tcBorders>
                    <w:tl2br w:val="nil"/>
                    <w:tr2bl w:val="nil"/>
                  </w:tcBorders>
                  <w:shd w:val="clear" w:color="auto" w:fill="auto"/>
                  <w:vAlign w:val="center"/>
                </w:tcPr>
                <w:p w14:paraId="7210FF40">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p>
              </w:tc>
              <w:tc>
                <w:tcPr>
                  <w:tcW w:w="1925" w:type="dxa"/>
                  <w:tcBorders>
                    <w:tl2br w:val="nil"/>
                    <w:tr2bl w:val="nil"/>
                  </w:tcBorders>
                  <w:shd w:val="clear" w:color="auto" w:fill="auto"/>
                  <w:vAlign w:val="center"/>
                </w:tcPr>
                <w:p w14:paraId="437012A0">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4.9</w:t>
                  </w:r>
                </w:p>
              </w:tc>
              <w:tc>
                <w:tcPr>
                  <w:tcW w:w="0" w:type="auto"/>
                  <w:tcBorders>
                    <w:tl2br w:val="nil"/>
                    <w:tr2bl w:val="nil"/>
                  </w:tcBorders>
                  <w:shd w:val="clear" w:color="auto" w:fill="auto"/>
                  <w:vAlign w:val="center"/>
                </w:tcPr>
                <w:p w14:paraId="091C5B95">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周界外浓度最高点</w:t>
                  </w:r>
                </w:p>
              </w:tc>
              <w:tc>
                <w:tcPr>
                  <w:tcW w:w="0" w:type="auto"/>
                  <w:tcBorders>
                    <w:tl2br w:val="nil"/>
                    <w:tr2bl w:val="nil"/>
                  </w:tcBorders>
                  <w:shd w:val="clear" w:color="auto" w:fill="auto"/>
                  <w:vAlign w:val="center"/>
                </w:tcPr>
                <w:p w14:paraId="4C6657C1">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1.0</w:t>
                  </w:r>
                </w:p>
              </w:tc>
            </w:tr>
            <w:tr w14:paraId="6DFD1C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2194" w:type="dxa"/>
                  <w:tcBorders>
                    <w:tl2br w:val="nil"/>
                    <w:tr2bl w:val="nil"/>
                  </w:tcBorders>
                  <w:shd w:val="clear" w:color="auto" w:fill="auto"/>
                  <w:vAlign w:val="center"/>
                </w:tcPr>
                <w:p w14:paraId="3A071036">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臭气浓度</w:t>
                  </w:r>
                </w:p>
              </w:tc>
              <w:tc>
                <w:tcPr>
                  <w:tcW w:w="1247" w:type="dxa"/>
                  <w:vMerge w:val="continue"/>
                  <w:tcBorders>
                    <w:tl2br w:val="nil"/>
                    <w:tr2bl w:val="nil"/>
                  </w:tcBorders>
                  <w:shd w:val="clear" w:color="auto" w:fill="auto"/>
                  <w:vAlign w:val="center"/>
                </w:tcPr>
                <w:p w14:paraId="46777B5E">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p>
              </w:tc>
              <w:tc>
                <w:tcPr>
                  <w:tcW w:w="1925" w:type="dxa"/>
                  <w:tcBorders>
                    <w:tl2br w:val="nil"/>
                    <w:tr2bl w:val="nil"/>
                  </w:tcBorders>
                  <w:shd w:val="clear" w:color="auto" w:fill="auto"/>
                  <w:vAlign w:val="center"/>
                </w:tcPr>
                <w:p w14:paraId="40B0DD3B">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2000</w:t>
                  </w:r>
                  <w:r>
                    <w:rPr>
                      <w:rFonts w:hint="eastAsia" w:ascii="Times New Roman" w:hAnsi="Times New Roman"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无量纲</w:t>
                  </w:r>
                  <w:r>
                    <w:rPr>
                      <w:rFonts w:hint="eastAsia" w:ascii="Times New Roman" w:hAnsi="Times New Roman" w:cs="Times New Roman"/>
                      <w:color w:val="auto"/>
                      <w:spacing w:val="0"/>
                      <w:sz w:val="21"/>
                      <w:szCs w:val="21"/>
                      <w:lang w:val="en-US" w:eastAsia="zh-CN"/>
                    </w:rPr>
                    <w:t>）</w:t>
                  </w:r>
                </w:p>
              </w:tc>
              <w:tc>
                <w:tcPr>
                  <w:tcW w:w="0" w:type="auto"/>
                  <w:tcBorders>
                    <w:tl2br w:val="nil"/>
                    <w:tr2bl w:val="nil"/>
                  </w:tcBorders>
                  <w:shd w:val="clear" w:color="auto" w:fill="auto"/>
                  <w:vAlign w:val="center"/>
                </w:tcPr>
                <w:p w14:paraId="3C439EE6">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周界外浓度最高点</w:t>
                  </w:r>
                </w:p>
              </w:tc>
              <w:tc>
                <w:tcPr>
                  <w:tcW w:w="0" w:type="auto"/>
                  <w:tcBorders>
                    <w:tl2br w:val="nil"/>
                    <w:tr2bl w:val="nil"/>
                  </w:tcBorders>
                  <w:shd w:val="clear" w:color="auto" w:fill="auto"/>
                  <w:vAlign w:val="center"/>
                </w:tcPr>
                <w:p w14:paraId="7432827D">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10</w:t>
                  </w:r>
                  <w:r>
                    <w:rPr>
                      <w:rFonts w:hint="eastAsia" w:ascii="Times New Roman" w:hAnsi="Times New Roman"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无量纲</w:t>
                  </w:r>
                  <w:r>
                    <w:rPr>
                      <w:rFonts w:hint="eastAsia" w:ascii="Times New Roman" w:hAnsi="Times New Roman" w:cs="Times New Roman"/>
                      <w:color w:val="auto"/>
                      <w:spacing w:val="0"/>
                      <w:sz w:val="21"/>
                      <w:szCs w:val="21"/>
                      <w:lang w:val="en-US" w:eastAsia="zh-CN"/>
                    </w:rPr>
                    <w:t>）</w:t>
                  </w:r>
                </w:p>
              </w:tc>
            </w:tr>
            <w:bookmarkEnd w:id="29"/>
          </w:tbl>
          <w:p w14:paraId="4CDD1598">
            <w:pPr>
              <w:pStyle w:val="4"/>
              <w:numPr>
                <w:ilvl w:val="2"/>
                <w:numId w:val="1"/>
              </w:numPr>
              <w:bidi w:val="0"/>
              <w:ind w:left="720" w:leftChars="0" w:hanging="720" w:firstLineChars="0"/>
              <w:rPr>
                <w:rFonts w:hint="eastAsia"/>
                <w:color w:val="auto"/>
                <w:highlight w:val="none"/>
                <w:lang w:val="en-US" w:eastAsia="zh-CN"/>
              </w:rPr>
            </w:pPr>
            <w:r>
              <w:rPr>
                <w:rFonts w:hint="eastAsia"/>
                <w:color w:val="auto"/>
                <w:highlight w:val="none"/>
                <w:lang w:val="en-US" w:eastAsia="zh-CN"/>
              </w:rPr>
              <w:t>废水排放标准</w:t>
            </w:r>
          </w:p>
          <w:p w14:paraId="46E5B88E">
            <w:pPr>
              <w:pStyle w:val="46"/>
              <w:ind w:firstLine="480"/>
              <w:rPr>
                <w:rFonts w:hint="eastAsia" w:ascii="Times New Roman" w:hAnsi="Times New Roman" w:eastAsia="宋体" w:cs="宋体"/>
                <w:color w:val="auto"/>
                <w:highlight w:val="none"/>
              </w:rPr>
            </w:pPr>
            <w:r>
              <w:rPr>
                <w:rFonts w:hint="eastAsia" w:cs="宋体"/>
                <w:color w:val="auto"/>
                <w:highlight w:val="none"/>
                <w:lang w:eastAsia="zh-CN"/>
              </w:rPr>
              <w:t xml:space="preserve">1. </w:t>
            </w:r>
            <w:r>
              <w:rPr>
                <w:rFonts w:hint="eastAsia" w:ascii="Times New Roman" w:hAnsi="Times New Roman" w:eastAsia="宋体" w:cs="宋体"/>
                <w:color w:val="auto"/>
                <w:highlight w:val="none"/>
              </w:rPr>
              <w:t>项目水污染物排放标准</w:t>
            </w:r>
          </w:p>
          <w:p w14:paraId="167C50DA">
            <w:pPr>
              <w:pStyle w:val="46"/>
              <w:ind w:firstLine="480"/>
              <w:rPr>
                <w:rFonts w:hint="eastAsia" w:ascii="Times New Roman" w:hAnsi="Times New Roman" w:eastAsia="宋体" w:cs="宋体"/>
                <w:color w:val="auto"/>
                <w:highlight w:val="none"/>
              </w:rPr>
            </w:pPr>
            <w:r>
              <w:rPr>
                <w:rFonts w:hint="eastAsia" w:ascii="Times New Roman" w:hAnsi="Times New Roman" w:eastAsia="宋体" w:cs="宋体"/>
                <w:color w:val="auto"/>
                <w:highlight w:val="none"/>
              </w:rPr>
              <w:t>运营期项目所排放的医疗废水和生活污水经污水处理设施处理达标后，接入南侧东大路市政污水管网，纳入罗源县污水处理厂统一处理。因此，本项目医疗废水排放执行《医疗机构水污染物排放标准》</w:t>
            </w:r>
            <w:r>
              <w:rPr>
                <w:rFonts w:hint="eastAsia" w:cs="宋体"/>
                <w:color w:val="auto"/>
                <w:highlight w:val="none"/>
                <w:lang w:eastAsia="zh-CN"/>
              </w:rPr>
              <w:t>（</w:t>
            </w:r>
            <w:r>
              <w:rPr>
                <w:rFonts w:hint="eastAsia" w:ascii="Times New Roman" w:hAnsi="Times New Roman" w:eastAsia="宋体" w:cs="宋体"/>
                <w:color w:val="auto"/>
                <w:highlight w:val="none"/>
              </w:rPr>
              <w:t>GB18466-2005</w:t>
            </w:r>
            <w:r>
              <w:rPr>
                <w:rFonts w:hint="eastAsia" w:cs="宋体"/>
                <w:color w:val="auto"/>
                <w:highlight w:val="none"/>
                <w:lang w:eastAsia="zh-CN"/>
              </w:rPr>
              <w:t>）</w:t>
            </w:r>
            <w:r>
              <w:rPr>
                <w:rFonts w:hint="eastAsia" w:ascii="Times New Roman" w:hAnsi="Times New Roman" w:eastAsia="宋体" w:cs="宋体"/>
                <w:color w:val="auto"/>
                <w:highlight w:val="none"/>
              </w:rPr>
              <w:t>中表2综合医疗机构和其他医疗机构水污染物排放限值的预处理标准，</w:t>
            </w:r>
            <w:r>
              <w:rPr>
                <w:rFonts w:hint="eastAsia" w:cs="宋体"/>
                <w:color w:val="auto"/>
                <w:highlight w:val="none"/>
                <w:lang w:val="en-US" w:eastAsia="zh-CN"/>
              </w:rPr>
              <w:t>其中氨氮执行</w:t>
            </w:r>
            <w:r>
              <w:rPr>
                <w:color w:val="auto"/>
                <w:szCs w:val="21"/>
                <w:highlight w:val="none"/>
              </w:rPr>
              <w:t>《污水排入城镇下水道水质标准》（GB/T 31962-2015）表1中B等级标准</w:t>
            </w:r>
            <w:r>
              <w:rPr>
                <w:rFonts w:hint="eastAsia"/>
                <w:color w:val="auto"/>
                <w:szCs w:val="21"/>
                <w:highlight w:val="none"/>
                <w:lang w:eastAsia="zh-CN"/>
              </w:rPr>
              <w:t>，</w:t>
            </w:r>
            <w:r>
              <w:rPr>
                <w:rFonts w:hint="eastAsia" w:ascii="Times New Roman" w:hAnsi="Times New Roman" w:eastAsia="宋体" w:cs="宋体"/>
                <w:color w:val="auto"/>
                <w:highlight w:val="none"/>
              </w:rPr>
              <w:t>详见表3.</w:t>
            </w:r>
            <w:r>
              <w:rPr>
                <w:rFonts w:hint="eastAsia" w:ascii="Times New Roman" w:hAnsi="Times New Roman" w:eastAsia="宋体" w:cs="宋体"/>
                <w:color w:val="auto"/>
                <w:highlight w:val="none"/>
                <w:lang w:val="en-US" w:eastAsia="zh-CN"/>
              </w:rPr>
              <w:t>3</w:t>
            </w:r>
            <w:r>
              <w:rPr>
                <w:rFonts w:hint="eastAsia" w:ascii="Times New Roman" w:hAnsi="Times New Roman" w:eastAsia="宋体" w:cs="宋体"/>
                <w:color w:val="auto"/>
                <w:highlight w:val="none"/>
              </w:rPr>
              <w:t>-</w:t>
            </w:r>
            <w:r>
              <w:rPr>
                <w:rFonts w:hint="eastAsia" w:cs="宋体"/>
                <w:color w:val="auto"/>
                <w:highlight w:val="none"/>
                <w:lang w:val="en-US" w:eastAsia="zh-CN"/>
              </w:rPr>
              <w:t>2</w:t>
            </w:r>
            <w:r>
              <w:rPr>
                <w:rFonts w:hint="eastAsia" w:ascii="Times New Roman" w:hAnsi="Times New Roman" w:eastAsia="宋体" w:cs="宋体"/>
                <w:color w:val="auto"/>
                <w:highlight w:val="none"/>
              </w:rPr>
              <w:t>。</w:t>
            </w:r>
          </w:p>
          <w:p w14:paraId="3CEC5607">
            <w:pPr>
              <w:pStyle w:val="44"/>
              <w:keepNext/>
              <w:keepLines/>
              <w:pageBreakBefore w:val="0"/>
              <w:widowControl w:val="0"/>
              <w:numPr>
                <w:ilvl w:val="7"/>
                <w:numId w:val="1"/>
              </w:numPr>
              <w:kinsoku/>
              <w:wordWrap/>
              <w:overflowPunct/>
              <w:topLinePunct w:val="0"/>
              <w:autoSpaceDE/>
              <w:autoSpaceDN/>
              <w:bidi w:val="0"/>
              <w:adjustRightInd/>
              <w:snapToGrid/>
              <w:spacing w:before="0" w:after="0"/>
              <w:ind w:left="630" w:leftChars="0" w:firstLine="0" w:firstLineChars="0"/>
              <w:textAlignment w:val="auto"/>
              <w:rPr>
                <w:rFonts w:hint="eastAsia" w:ascii="Times New Roman" w:hAnsi="Times New Roman" w:eastAsia="宋体" w:cs="宋体"/>
                <w:color w:val="auto"/>
                <w:highlight w:val="none"/>
                <w:lang w:val="en-US" w:eastAsia="zh-CN"/>
              </w:rPr>
            </w:pPr>
            <w:r>
              <w:rPr>
                <w:rFonts w:hint="eastAsia" w:cs="宋体"/>
                <w:color w:val="auto"/>
                <w:highlight w:val="none"/>
                <w:lang w:val="en-US" w:eastAsia="zh-CN"/>
              </w:rPr>
              <w:t>本项目污水排放标准</w:t>
            </w:r>
          </w:p>
          <w:tbl>
            <w:tblPr>
              <w:tblStyle w:val="34"/>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463"/>
              <w:gridCol w:w="3271"/>
              <w:gridCol w:w="2100"/>
              <w:gridCol w:w="2137"/>
            </w:tblGrid>
            <w:tr w14:paraId="61134A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5" w:hRule="atLeast"/>
              </w:trPr>
              <w:tc>
                <w:tcPr>
                  <w:tcW w:w="291" w:type="pct"/>
                  <w:tcBorders>
                    <w:bottom w:val="single" w:color="000000" w:sz="12" w:space="0"/>
                    <w:tl2br w:val="nil"/>
                    <w:tr2bl w:val="nil"/>
                  </w:tcBorders>
                  <w:shd w:val="clear" w:color="auto" w:fill="auto"/>
                  <w:vAlign w:val="center"/>
                </w:tcPr>
                <w:p w14:paraId="4EDA20F5">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ascii="Times New Roman" w:hAnsi="Times New Roman" w:eastAsia="宋体"/>
                      <w:color w:val="auto"/>
                      <w:spacing w:val="-10"/>
                      <w:sz w:val="21"/>
                    </w:rPr>
                  </w:pPr>
                  <w:r>
                    <w:rPr>
                      <w:rFonts w:ascii="Times New Roman" w:hAnsi="Times New Roman" w:eastAsia="宋体"/>
                      <w:color w:val="auto"/>
                      <w:spacing w:val="-10"/>
                      <w:sz w:val="21"/>
                      <w:lang w:val="en-US" w:eastAsia="zh-CN"/>
                    </w:rPr>
                    <w:t>序号</w:t>
                  </w:r>
                </w:p>
              </w:tc>
              <w:tc>
                <w:tcPr>
                  <w:tcW w:w="2051" w:type="pct"/>
                  <w:tcBorders>
                    <w:bottom w:val="single" w:color="000000" w:sz="12" w:space="0"/>
                    <w:tl2br w:val="nil"/>
                    <w:tr2bl w:val="nil"/>
                  </w:tcBorders>
                  <w:shd w:val="clear" w:color="auto" w:fill="auto"/>
                  <w:vAlign w:val="center"/>
                </w:tcPr>
                <w:p w14:paraId="4FE9B080">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ascii="Times New Roman" w:hAnsi="Times New Roman" w:eastAsia="宋体"/>
                      <w:color w:val="auto"/>
                      <w:spacing w:val="-10"/>
                      <w:sz w:val="21"/>
                    </w:rPr>
                  </w:pPr>
                  <w:r>
                    <w:rPr>
                      <w:rFonts w:ascii="Times New Roman" w:hAnsi="Times New Roman" w:eastAsia="宋体"/>
                      <w:color w:val="auto"/>
                      <w:spacing w:val="-10"/>
                      <w:sz w:val="21"/>
                      <w:lang w:val="en-US" w:eastAsia="zh-CN"/>
                    </w:rPr>
                    <w:t>控制项目</w:t>
                  </w:r>
                </w:p>
              </w:tc>
              <w:tc>
                <w:tcPr>
                  <w:tcW w:w="1317" w:type="pct"/>
                  <w:tcBorders>
                    <w:bottom w:val="single" w:color="000000" w:sz="12" w:space="0"/>
                    <w:tl2br w:val="nil"/>
                    <w:tr2bl w:val="nil"/>
                  </w:tcBorders>
                  <w:shd w:val="clear" w:color="auto" w:fill="auto"/>
                  <w:vAlign w:val="center"/>
                </w:tcPr>
                <w:p w14:paraId="305FB281">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hint="default" w:ascii="Times New Roman" w:hAnsi="Times New Roman" w:eastAsia="宋体"/>
                      <w:color w:val="auto"/>
                      <w:spacing w:val="-10"/>
                      <w:sz w:val="21"/>
                      <w:lang w:val="en-US"/>
                    </w:rPr>
                  </w:pPr>
                  <w:r>
                    <w:rPr>
                      <w:rFonts w:hint="eastAsia" w:ascii="Times New Roman" w:hAnsi="Times New Roman" w:eastAsia="宋体" w:cs="宋体"/>
                      <w:color w:val="auto"/>
                      <w:highlight w:val="none"/>
                    </w:rPr>
                    <w:t>《医疗机构水污染物排放标准》</w:t>
                  </w:r>
                  <w:r>
                    <w:rPr>
                      <w:rFonts w:hint="eastAsia" w:cs="宋体"/>
                      <w:color w:val="auto"/>
                      <w:highlight w:val="none"/>
                      <w:lang w:eastAsia="zh-CN"/>
                    </w:rPr>
                    <w:t>（</w:t>
                  </w:r>
                  <w:r>
                    <w:rPr>
                      <w:rFonts w:hint="eastAsia" w:ascii="Times New Roman" w:hAnsi="Times New Roman" w:eastAsia="宋体" w:cs="宋体"/>
                      <w:color w:val="auto"/>
                      <w:highlight w:val="none"/>
                    </w:rPr>
                    <w:t>GB18466-2005</w:t>
                  </w:r>
                  <w:r>
                    <w:rPr>
                      <w:rFonts w:hint="eastAsia" w:cs="宋体"/>
                      <w:color w:val="auto"/>
                      <w:highlight w:val="none"/>
                      <w:lang w:eastAsia="zh-CN"/>
                    </w:rPr>
                    <w:t>）（</w:t>
                  </w:r>
                  <w:r>
                    <w:rPr>
                      <w:rFonts w:hint="eastAsia" w:cs="宋体"/>
                      <w:color w:val="auto"/>
                      <w:highlight w:val="none"/>
                      <w:lang w:val="en-US" w:eastAsia="zh-CN"/>
                    </w:rPr>
                    <w:t>日均值）</w:t>
                  </w:r>
                </w:p>
              </w:tc>
              <w:tc>
                <w:tcPr>
                  <w:tcW w:w="1339" w:type="pct"/>
                  <w:tcBorders>
                    <w:bottom w:val="single" w:color="000000" w:sz="12" w:space="0"/>
                    <w:tl2br w:val="nil"/>
                    <w:tr2bl w:val="nil"/>
                  </w:tcBorders>
                  <w:shd w:val="clear" w:color="auto" w:fill="auto"/>
                  <w:vAlign w:val="center"/>
                </w:tcPr>
                <w:p w14:paraId="5A55FF5F">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ascii="Times New Roman" w:hAnsi="Times New Roman" w:eastAsia="宋体"/>
                      <w:color w:val="auto"/>
                      <w:spacing w:val="-10"/>
                      <w:sz w:val="21"/>
                      <w:lang w:val="en-US" w:eastAsia="zh-CN"/>
                    </w:rPr>
                  </w:pPr>
                  <w:r>
                    <w:rPr>
                      <w:rFonts w:hint="eastAsia" w:ascii="Times New Roman" w:hAnsi="Times New Roman" w:eastAsia="宋体" w:cs="宋体"/>
                      <w:color w:val="auto"/>
                      <w:highlight w:val="none"/>
                    </w:rPr>
                    <w:t>《污水排入城镇下水道水质标准》（GB/T31962-2015）</w:t>
                  </w:r>
                </w:p>
              </w:tc>
            </w:tr>
            <w:tr w14:paraId="2FA06C4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0" w:hRule="atLeast"/>
              </w:trPr>
              <w:tc>
                <w:tcPr>
                  <w:tcW w:w="291" w:type="pct"/>
                  <w:tcBorders>
                    <w:top w:val="single" w:color="000000" w:sz="12" w:space="0"/>
                    <w:tl2br w:val="nil"/>
                    <w:tr2bl w:val="nil"/>
                  </w:tcBorders>
                  <w:shd w:val="clear" w:color="auto" w:fill="auto"/>
                  <w:vAlign w:val="center"/>
                </w:tcPr>
                <w:p w14:paraId="7C91235A">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ascii="Times New Roman" w:hAnsi="Times New Roman" w:eastAsia="宋体"/>
                      <w:color w:val="auto"/>
                      <w:spacing w:val="-10"/>
                      <w:sz w:val="21"/>
                    </w:rPr>
                  </w:pPr>
                  <w:r>
                    <w:rPr>
                      <w:rFonts w:ascii="Times New Roman" w:hAnsi="Times New Roman" w:eastAsia="宋体"/>
                      <w:color w:val="auto"/>
                      <w:spacing w:val="-10"/>
                      <w:sz w:val="21"/>
                      <w:lang w:val="en-US" w:eastAsia="zh-CN"/>
                    </w:rPr>
                    <w:t>1</w:t>
                  </w:r>
                </w:p>
              </w:tc>
              <w:tc>
                <w:tcPr>
                  <w:tcW w:w="2051" w:type="pct"/>
                  <w:tcBorders>
                    <w:top w:val="single" w:color="000000" w:sz="12" w:space="0"/>
                    <w:tl2br w:val="nil"/>
                    <w:tr2bl w:val="nil"/>
                  </w:tcBorders>
                  <w:shd w:val="clear" w:color="auto" w:fill="auto"/>
                  <w:vAlign w:val="center"/>
                </w:tcPr>
                <w:p w14:paraId="7B1DC835">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粪大肠菌群数</w:t>
                  </w:r>
                  <w:r>
                    <w:rPr>
                      <w:rFonts w:hint="eastAsia" w:ascii="Times New Roman" w:hAnsi="Times New Roman"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MPN/L</w:t>
                  </w:r>
                  <w:r>
                    <w:rPr>
                      <w:rFonts w:hint="eastAsia" w:ascii="Times New Roman" w:hAnsi="Times New Roman" w:cs="Times New Roman"/>
                      <w:color w:val="auto"/>
                      <w:spacing w:val="0"/>
                      <w:sz w:val="21"/>
                      <w:szCs w:val="21"/>
                      <w:lang w:val="en-US" w:eastAsia="zh-CN"/>
                    </w:rPr>
                    <w:t>）</w:t>
                  </w:r>
                </w:p>
              </w:tc>
              <w:tc>
                <w:tcPr>
                  <w:tcW w:w="1317" w:type="pct"/>
                  <w:tcBorders>
                    <w:top w:val="single" w:color="000000" w:sz="12" w:space="0"/>
                    <w:tl2br w:val="nil"/>
                    <w:tr2bl w:val="nil"/>
                  </w:tcBorders>
                  <w:shd w:val="clear" w:color="auto" w:fill="auto"/>
                  <w:vAlign w:val="center"/>
                </w:tcPr>
                <w:p w14:paraId="5F38FA45">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5000</w:t>
                  </w:r>
                </w:p>
              </w:tc>
              <w:tc>
                <w:tcPr>
                  <w:tcW w:w="1339" w:type="pct"/>
                  <w:vMerge w:val="restart"/>
                  <w:tcBorders>
                    <w:top w:val="single" w:color="000000" w:sz="12" w:space="0"/>
                    <w:tl2br w:val="nil"/>
                    <w:tr2bl w:val="nil"/>
                  </w:tcBorders>
                  <w:shd w:val="clear" w:color="auto" w:fill="auto"/>
                  <w:vAlign w:val="center"/>
                </w:tcPr>
                <w:p w14:paraId="3A43BD9F">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w:t>
                  </w:r>
                </w:p>
              </w:tc>
            </w:tr>
            <w:tr w14:paraId="184D0E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291" w:type="pct"/>
                  <w:tcBorders>
                    <w:tl2br w:val="nil"/>
                    <w:tr2bl w:val="nil"/>
                  </w:tcBorders>
                  <w:shd w:val="clear" w:color="auto" w:fill="auto"/>
                  <w:vAlign w:val="center"/>
                </w:tcPr>
                <w:p w14:paraId="1F038289">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ascii="Times New Roman" w:hAnsi="Times New Roman" w:eastAsia="宋体"/>
                      <w:color w:val="auto"/>
                      <w:spacing w:val="-10"/>
                      <w:sz w:val="21"/>
                    </w:rPr>
                  </w:pPr>
                  <w:r>
                    <w:rPr>
                      <w:rFonts w:ascii="Times New Roman" w:hAnsi="Times New Roman" w:eastAsia="宋体"/>
                      <w:color w:val="auto"/>
                      <w:spacing w:val="-10"/>
                      <w:sz w:val="21"/>
                      <w:lang w:val="en-US" w:eastAsia="zh-CN"/>
                    </w:rPr>
                    <w:t>2</w:t>
                  </w:r>
                </w:p>
              </w:tc>
              <w:tc>
                <w:tcPr>
                  <w:tcW w:w="2051" w:type="pct"/>
                  <w:tcBorders>
                    <w:tl2br w:val="nil"/>
                    <w:tr2bl w:val="nil"/>
                  </w:tcBorders>
                  <w:shd w:val="clear" w:color="auto" w:fill="auto"/>
                  <w:vAlign w:val="center"/>
                </w:tcPr>
                <w:p w14:paraId="7DAAB949">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pH</w:t>
                  </w:r>
                </w:p>
              </w:tc>
              <w:tc>
                <w:tcPr>
                  <w:tcW w:w="1317" w:type="pct"/>
                  <w:tcBorders>
                    <w:tl2br w:val="nil"/>
                    <w:tr2bl w:val="nil"/>
                  </w:tcBorders>
                  <w:shd w:val="clear" w:color="auto" w:fill="auto"/>
                  <w:vAlign w:val="center"/>
                </w:tcPr>
                <w:p w14:paraId="024F0632">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6-9</w:t>
                  </w:r>
                </w:p>
              </w:tc>
              <w:tc>
                <w:tcPr>
                  <w:tcW w:w="1339" w:type="pct"/>
                  <w:vMerge w:val="continue"/>
                  <w:tcBorders>
                    <w:tl2br w:val="nil"/>
                    <w:tr2bl w:val="nil"/>
                  </w:tcBorders>
                  <w:shd w:val="clear" w:color="auto" w:fill="auto"/>
                  <w:vAlign w:val="center"/>
                </w:tcPr>
                <w:p w14:paraId="47119707">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p>
              </w:tc>
            </w:tr>
            <w:tr w14:paraId="331296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291" w:type="pct"/>
                  <w:vMerge w:val="restart"/>
                  <w:tcBorders>
                    <w:tl2br w:val="nil"/>
                    <w:tr2bl w:val="nil"/>
                  </w:tcBorders>
                  <w:shd w:val="clear" w:color="auto" w:fill="auto"/>
                  <w:vAlign w:val="center"/>
                </w:tcPr>
                <w:p w14:paraId="16EBCF9D">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ascii="Times New Roman" w:hAnsi="Times New Roman" w:eastAsia="宋体"/>
                      <w:color w:val="auto"/>
                      <w:spacing w:val="-10"/>
                      <w:sz w:val="21"/>
                    </w:rPr>
                  </w:pPr>
                  <w:r>
                    <w:rPr>
                      <w:rFonts w:ascii="Times New Roman" w:hAnsi="Times New Roman" w:eastAsia="宋体"/>
                      <w:color w:val="auto"/>
                      <w:spacing w:val="-10"/>
                      <w:sz w:val="21"/>
                      <w:lang w:val="en-US" w:eastAsia="zh-CN"/>
                    </w:rPr>
                    <w:t>3</w:t>
                  </w:r>
                </w:p>
              </w:tc>
              <w:tc>
                <w:tcPr>
                  <w:tcW w:w="2051" w:type="pct"/>
                  <w:tcBorders>
                    <w:tl2br w:val="nil"/>
                    <w:tr2bl w:val="nil"/>
                  </w:tcBorders>
                  <w:shd w:val="clear" w:color="auto" w:fill="auto"/>
                  <w:vAlign w:val="center"/>
                </w:tcPr>
                <w:p w14:paraId="625F0EA5">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化学需氧量</w:t>
                  </w:r>
                  <w:r>
                    <w:rPr>
                      <w:rFonts w:hint="eastAsia" w:ascii="Times New Roman" w:hAnsi="Times New Roman"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COD</w:t>
                  </w:r>
                  <w:r>
                    <w:rPr>
                      <w:rFonts w:hint="eastAsia" w:ascii="Times New Roman" w:hAnsi="Times New Roman"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浓度</w:t>
                  </w:r>
                  <w:r>
                    <w:rPr>
                      <w:rFonts w:hint="eastAsia" w:ascii="Times New Roman" w:hAnsi="Times New Roman"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mg/L</w:t>
                  </w:r>
                  <w:r>
                    <w:rPr>
                      <w:rFonts w:hint="eastAsia" w:ascii="Times New Roman" w:hAnsi="Times New Roman" w:cs="Times New Roman"/>
                      <w:color w:val="auto"/>
                      <w:spacing w:val="0"/>
                      <w:sz w:val="21"/>
                      <w:szCs w:val="21"/>
                      <w:lang w:val="en-US" w:eastAsia="zh-CN"/>
                    </w:rPr>
                    <w:t>）</w:t>
                  </w:r>
                </w:p>
              </w:tc>
              <w:tc>
                <w:tcPr>
                  <w:tcW w:w="1317" w:type="pct"/>
                  <w:tcBorders>
                    <w:tl2br w:val="nil"/>
                    <w:tr2bl w:val="nil"/>
                  </w:tcBorders>
                  <w:shd w:val="clear" w:color="auto" w:fill="auto"/>
                  <w:vAlign w:val="center"/>
                </w:tcPr>
                <w:p w14:paraId="48521722">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250</w:t>
                  </w:r>
                </w:p>
              </w:tc>
              <w:tc>
                <w:tcPr>
                  <w:tcW w:w="1339" w:type="pct"/>
                  <w:vMerge w:val="continue"/>
                  <w:tcBorders>
                    <w:tl2br w:val="nil"/>
                    <w:tr2bl w:val="nil"/>
                  </w:tcBorders>
                  <w:shd w:val="clear" w:color="auto" w:fill="auto"/>
                  <w:vAlign w:val="center"/>
                </w:tcPr>
                <w:p w14:paraId="196B0A0A">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p>
              </w:tc>
            </w:tr>
            <w:tr w14:paraId="613A7F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291" w:type="pct"/>
                  <w:vMerge w:val="continue"/>
                  <w:tcBorders>
                    <w:tl2br w:val="nil"/>
                    <w:tr2bl w:val="nil"/>
                  </w:tcBorders>
                  <w:shd w:val="clear" w:color="auto" w:fill="auto"/>
                  <w:vAlign w:val="center"/>
                </w:tcPr>
                <w:p w14:paraId="00D9D1E5">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pPr>
                </w:p>
              </w:tc>
              <w:tc>
                <w:tcPr>
                  <w:tcW w:w="2051" w:type="pct"/>
                  <w:tcBorders>
                    <w:tl2br w:val="nil"/>
                    <w:tr2bl w:val="nil"/>
                  </w:tcBorders>
                  <w:shd w:val="clear" w:color="auto" w:fill="auto"/>
                  <w:vAlign w:val="center"/>
                </w:tcPr>
                <w:p w14:paraId="0A32C4D2">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最高允许排放负荷</w:t>
                  </w:r>
                  <w:r>
                    <w:rPr>
                      <w:rFonts w:hint="eastAsia" w:ascii="Times New Roman" w:hAnsi="Times New Roman"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g/床位</w:t>
                  </w:r>
                  <w:r>
                    <w:rPr>
                      <w:rFonts w:hint="eastAsia" w:ascii="Times New Roman" w:hAnsi="Times New Roman" w:cs="Times New Roman"/>
                      <w:color w:val="auto"/>
                      <w:spacing w:val="0"/>
                      <w:sz w:val="21"/>
                      <w:szCs w:val="21"/>
                      <w:lang w:val="en-US" w:eastAsia="zh-CN"/>
                    </w:rPr>
                    <w:t>）</w:t>
                  </w:r>
                </w:p>
              </w:tc>
              <w:tc>
                <w:tcPr>
                  <w:tcW w:w="1317" w:type="pct"/>
                  <w:tcBorders>
                    <w:tl2br w:val="nil"/>
                    <w:tr2bl w:val="nil"/>
                  </w:tcBorders>
                  <w:shd w:val="clear" w:color="auto" w:fill="auto"/>
                  <w:vAlign w:val="center"/>
                </w:tcPr>
                <w:p w14:paraId="67A808CB">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250</w:t>
                  </w:r>
                </w:p>
              </w:tc>
              <w:tc>
                <w:tcPr>
                  <w:tcW w:w="1339" w:type="pct"/>
                  <w:vMerge w:val="continue"/>
                  <w:tcBorders>
                    <w:tl2br w:val="nil"/>
                    <w:tr2bl w:val="nil"/>
                  </w:tcBorders>
                  <w:shd w:val="clear" w:color="auto" w:fill="auto"/>
                  <w:vAlign w:val="center"/>
                </w:tcPr>
                <w:p w14:paraId="0F258A7B">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p>
              </w:tc>
            </w:tr>
            <w:tr w14:paraId="3113C5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67" w:hRule="atLeast"/>
              </w:trPr>
              <w:tc>
                <w:tcPr>
                  <w:tcW w:w="291" w:type="pct"/>
                  <w:vMerge w:val="restart"/>
                  <w:tcBorders>
                    <w:tl2br w:val="nil"/>
                    <w:tr2bl w:val="nil"/>
                  </w:tcBorders>
                  <w:shd w:val="clear" w:color="auto" w:fill="auto"/>
                  <w:vAlign w:val="center"/>
                </w:tcPr>
                <w:p w14:paraId="5FBA7275">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ascii="Times New Roman" w:hAnsi="Times New Roman" w:eastAsia="宋体"/>
                      <w:color w:val="auto"/>
                      <w:spacing w:val="-10"/>
                      <w:sz w:val="21"/>
                    </w:rPr>
                  </w:pPr>
                  <w:r>
                    <w:rPr>
                      <w:rFonts w:ascii="Times New Roman" w:hAnsi="Times New Roman" w:eastAsia="宋体"/>
                      <w:color w:val="auto"/>
                      <w:spacing w:val="-10"/>
                      <w:sz w:val="21"/>
                      <w:lang w:val="en-US" w:eastAsia="zh-CN"/>
                    </w:rPr>
                    <w:t>4</w:t>
                  </w:r>
                </w:p>
              </w:tc>
              <w:tc>
                <w:tcPr>
                  <w:tcW w:w="2051" w:type="pct"/>
                  <w:tcBorders>
                    <w:tl2br w:val="nil"/>
                    <w:tr2bl w:val="nil"/>
                  </w:tcBorders>
                  <w:shd w:val="clear" w:color="auto" w:fill="auto"/>
                  <w:vAlign w:val="center"/>
                </w:tcPr>
                <w:p w14:paraId="16BFCC20">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生化需氧量</w:t>
                  </w:r>
                  <w:r>
                    <w:rPr>
                      <w:rFonts w:hint="eastAsia" w:ascii="Times New Roman" w:hAnsi="Times New Roman"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BOD</w:t>
                  </w:r>
                  <w:r>
                    <w:rPr>
                      <w:rFonts w:hint="eastAsia" w:ascii="Times New Roman" w:hAnsi="Times New Roman"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浓度</w:t>
                  </w:r>
                  <w:r>
                    <w:rPr>
                      <w:rFonts w:hint="eastAsia" w:ascii="Times New Roman" w:hAnsi="Times New Roman"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mg/L</w:t>
                  </w:r>
                  <w:r>
                    <w:rPr>
                      <w:rFonts w:hint="eastAsia" w:ascii="Times New Roman" w:hAnsi="Times New Roman" w:cs="Times New Roman"/>
                      <w:color w:val="auto"/>
                      <w:spacing w:val="0"/>
                      <w:sz w:val="21"/>
                      <w:szCs w:val="21"/>
                      <w:lang w:val="en-US" w:eastAsia="zh-CN"/>
                    </w:rPr>
                    <w:t>）</w:t>
                  </w:r>
                </w:p>
              </w:tc>
              <w:tc>
                <w:tcPr>
                  <w:tcW w:w="1317" w:type="pct"/>
                  <w:tcBorders>
                    <w:tl2br w:val="nil"/>
                    <w:tr2bl w:val="nil"/>
                  </w:tcBorders>
                  <w:shd w:val="clear" w:color="auto" w:fill="auto"/>
                  <w:vAlign w:val="center"/>
                </w:tcPr>
                <w:p w14:paraId="39E04A76">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100</w:t>
                  </w:r>
                </w:p>
              </w:tc>
              <w:tc>
                <w:tcPr>
                  <w:tcW w:w="1339" w:type="pct"/>
                  <w:vMerge w:val="continue"/>
                  <w:tcBorders>
                    <w:tl2br w:val="nil"/>
                    <w:tr2bl w:val="nil"/>
                  </w:tcBorders>
                  <w:shd w:val="clear" w:color="auto" w:fill="auto"/>
                  <w:vAlign w:val="center"/>
                </w:tcPr>
                <w:p w14:paraId="79D561A0">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p>
              </w:tc>
            </w:tr>
            <w:tr w14:paraId="18A8E2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7" w:hRule="atLeast"/>
              </w:trPr>
              <w:tc>
                <w:tcPr>
                  <w:tcW w:w="291" w:type="pct"/>
                  <w:vMerge w:val="continue"/>
                  <w:tcBorders>
                    <w:tl2br w:val="nil"/>
                    <w:tr2bl w:val="nil"/>
                  </w:tcBorders>
                  <w:shd w:val="clear" w:color="auto" w:fill="auto"/>
                  <w:vAlign w:val="center"/>
                </w:tcPr>
                <w:p w14:paraId="5B9B0680">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pPr>
                </w:p>
              </w:tc>
              <w:tc>
                <w:tcPr>
                  <w:tcW w:w="2051" w:type="pct"/>
                  <w:tcBorders>
                    <w:tl2br w:val="nil"/>
                    <w:tr2bl w:val="nil"/>
                  </w:tcBorders>
                  <w:shd w:val="clear" w:color="auto" w:fill="auto"/>
                  <w:vAlign w:val="center"/>
                </w:tcPr>
                <w:p w14:paraId="4E9FA55F">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最高允许排放负荷</w:t>
                  </w:r>
                  <w:r>
                    <w:rPr>
                      <w:rFonts w:hint="eastAsia" w:ascii="Times New Roman" w:hAnsi="Times New Roman"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g/床位</w:t>
                  </w:r>
                  <w:r>
                    <w:rPr>
                      <w:rFonts w:hint="eastAsia" w:ascii="Times New Roman" w:hAnsi="Times New Roman" w:cs="Times New Roman"/>
                      <w:color w:val="auto"/>
                      <w:spacing w:val="0"/>
                      <w:sz w:val="21"/>
                      <w:szCs w:val="21"/>
                      <w:lang w:val="en-US" w:eastAsia="zh-CN"/>
                    </w:rPr>
                    <w:t>）</w:t>
                  </w:r>
                </w:p>
              </w:tc>
              <w:tc>
                <w:tcPr>
                  <w:tcW w:w="1317" w:type="pct"/>
                  <w:tcBorders>
                    <w:tl2br w:val="nil"/>
                    <w:tr2bl w:val="nil"/>
                  </w:tcBorders>
                  <w:shd w:val="clear" w:color="auto" w:fill="auto"/>
                  <w:vAlign w:val="center"/>
                </w:tcPr>
                <w:p w14:paraId="02CA8EAB">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100</w:t>
                  </w:r>
                </w:p>
              </w:tc>
              <w:tc>
                <w:tcPr>
                  <w:tcW w:w="1339" w:type="pct"/>
                  <w:vMerge w:val="continue"/>
                  <w:tcBorders>
                    <w:tl2br w:val="nil"/>
                    <w:tr2bl w:val="nil"/>
                  </w:tcBorders>
                  <w:shd w:val="clear" w:color="auto" w:fill="auto"/>
                  <w:vAlign w:val="center"/>
                </w:tcPr>
                <w:p w14:paraId="3267AAC4">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p>
              </w:tc>
            </w:tr>
            <w:tr w14:paraId="433DD7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67" w:hRule="atLeast"/>
              </w:trPr>
              <w:tc>
                <w:tcPr>
                  <w:tcW w:w="291" w:type="pct"/>
                  <w:vMerge w:val="restart"/>
                  <w:tcBorders>
                    <w:tl2br w:val="nil"/>
                    <w:tr2bl w:val="nil"/>
                  </w:tcBorders>
                  <w:shd w:val="clear" w:color="auto" w:fill="auto"/>
                  <w:vAlign w:val="center"/>
                </w:tcPr>
                <w:p w14:paraId="67D0991B">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ascii="Times New Roman" w:hAnsi="Times New Roman" w:eastAsia="宋体"/>
                      <w:color w:val="auto"/>
                      <w:spacing w:val="-10"/>
                      <w:sz w:val="21"/>
                    </w:rPr>
                  </w:pPr>
                  <w:r>
                    <w:rPr>
                      <w:rFonts w:ascii="Times New Roman" w:hAnsi="Times New Roman" w:eastAsia="宋体"/>
                      <w:color w:val="auto"/>
                      <w:spacing w:val="-10"/>
                      <w:sz w:val="21"/>
                      <w:lang w:val="en-US" w:eastAsia="zh-CN"/>
                    </w:rPr>
                    <w:t>5</w:t>
                  </w:r>
                </w:p>
              </w:tc>
              <w:tc>
                <w:tcPr>
                  <w:tcW w:w="2051" w:type="pct"/>
                  <w:tcBorders>
                    <w:tl2br w:val="nil"/>
                    <w:tr2bl w:val="nil"/>
                  </w:tcBorders>
                  <w:shd w:val="clear" w:color="auto" w:fill="auto"/>
                  <w:vAlign w:val="center"/>
                </w:tcPr>
                <w:p w14:paraId="104F6245">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悬浮物</w:t>
                  </w:r>
                  <w:r>
                    <w:rPr>
                      <w:rFonts w:hint="eastAsia" w:ascii="Times New Roman" w:hAnsi="Times New Roman"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SS</w:t>
                  </w:r>
                  <w:r>
                    <w:rPr>
                      <w:rFonts w:hint="eastAsia" w:ascii="Times New Roman" w:hAnsi="Times New Roman"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浓度</w:t>
                  </w:r>
                  <w:r>
                    <w:rPr>
                      <w:rFonts w:hint="eastAsia" w:ascii="Times New Roman" w:hAnsi="Times New Roman"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mg/L</w:t>
                  </w:r>
                  <w:r>
                    <w:rPr>
                      <w:rFonts w:hint="eastAsia" w:ascii="Times New Roman" w:hAnsi="Times New Roman" w:cs="Times New Roman"/>
                      <w:color w:val="auto"/>
                      <w:spacing w:val="0"/>
                      <w:sz w:val="21"/>
                      <w:szCs w:val="21"/>
                      <w:lang w:val="en-US" w:eastAsia="zh-CN"/>
                    </w:rPr>
                    <w:t>）</w:t>
                  </w:r>
                </w:p>
              </w:tc>
              <w:tc>
                <w:tcPr>
                  <w:tcW w:w="1317" w:type="pct"/>
                  <w:tcBorders>
                    <w:tl2br w:val="nil"/>
                    <w:tr2bl w:val="nil"/>
                  </w:tcBorders>
                  <w:shd w:val="clear" w:color="auto" w:fill="auto"/>
                  <w:vAlign w:val="center"/>
                </w:tcPr>
                <w:p w14:paraId="7AFCB82F">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60</w:t>
                  </w:r>
                </w:p>
              </w:tc>
              <w:tc>
                <w:tcPr>
                  <w:tcW w:w="1339" w:type="pct"/>
                  <w:vMerge w:val="continue"/>
                  <w:tcBorders>
                    <w:tl2br w:val="nil"/>
                    <w:tr2bl w:val="nil"/>
                  </w:tcBorders>
                  <w:shd w:val="clear" w:color="auto" w:fill="auto"/>
                  <w:vAlign w:val="center"/>
                </w:tcPr>
                <w:p w14:paraId="61C3F255">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p>
              </w:tc>
            </w:tr>
            <w:tr w14:paraId="2DEE7E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67" w:hRule="atLeast"/>
              </w:trPr>
              <w:tc>
                <w:tcPr>
                  <w:tcW w:w="291" w:type="pct"/>
                  <w:vMerge w:val="continue"/>
                  <w:tcBorders>
                    <w:tl2br w:val="nil"/>
                    <w:tr2bl w:val="nil"/>
                  </w:tcBorders>
                  <w:shd w:val="clear" w:color="auto" w:fill="auto"/>
                  <w:vAlign w:val="center"/>
                </w:tcPr>
                <w:p w14:paraId="582DCE9F">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pPr>
                </w:p>
              </w:tc>
              <w:tc>
                <w:tcPr>
                  <w:tcW w:w="2051" w:type="pct"/>
                  <w:tcBorders>
                    <w:tl2br w:val="nil"/>
                    <w:tr2bl w:val="nil"/>
                  </w:tcBorders>
                  <w:shd w:val="clear" w:color="auto" w:fill="auto"/>
                  <w:vAlign w:val="center"/>
                </w:tcPr>
                <w:p w14:paraId="1E670E29">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color w:val="auto"/>
                    </w:rPr>
                  </w:pPr>
                  <w:r>
                    <w:rPr>
                      <w:rFonts w:hint="default" w:ascii="Times New Roman" w:hAnsi="Times New Roman" w:eastAsia="宋体" w:cs="Times New Roman"/>
                      <w:color w:val="auto"/>
                      <w:spacing w:val="0"/>
                      <w:sz w:val="21"/>
                      <w:szCs w:val="21"/>
                      <w:lang w:val="en-US" w:eastAsia="zh-CN"/>
                    </w:rPr>
                    <w:t>最高允许排放负荷</w:t>
                  </w:r>
                  <w:r>
                    <w:rPr>
                      <w:rFonts w:hint="eastAsia" w:ascii="Times New Roman" w:hAnsi="Times New Roman"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g/床位</w:t>
                  </w:r>
                  <w:r>
                    <w:rPr>
                      <w:rFonts w:hint="eastAsia" w:ascii="Times New Roman" w:hAnsi="Times New Roman" w:cs="Times New Roman"/>
                      <w:color w:val="auto"/>
                      <w:spacing w:val="0"/>
                      <w:sz w:val="21"/>
                      <w:szCs w:val="21"/>
                      <w:lang w:val="en-US" w:eastAsia="zh-CN"/>
                    </w:rPr>
                    <w:t>）</w:t>
                  </w:r>
                </w:p>
              </w:tc>
              <w:tc>
                <w:tcPr>
                  <w:tcW w:w="1317" w:type="pct"/>
                  <w:tcBorders>
                    <w:tl2br w:val="nil"/>
                    <w:tr2bl w:val="nil"/>
                  </w:tcBorders>
                  <w:shd w:val="clear" w:color="auto" w:fill="auto"/>
                  <w:vAlign w:val="center"/>
                </w:tcPr>
                <w:p w14:paraId="4C9F7529">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60</w:t>
                  </w:r>
                </w:p>
              </w:tc>
              <w:tc>
                <w:tcPr>
                  <w:tcW w:w="1339" w:type="pct"/>
                  <w:vMerge w:val="continue"/>
                  <w:tcBorders>
                    <w:tl2br w:val="nil"/>
                    <w:tr2bl w:val="nil"/>
                  </w:tcBorders>
                  <w:shd w:val="clear" w:color="auto" w:fill="auto"/>
                  <w:vAlign w:val="center"/>
                </w:tcPr>
                <w:p w14:paraId="7437E975">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p>
              </w:tc>
            </w:tr>
            <w:tr w14:paraId="2759FE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291" w:type="pct"/>
                  <w:tcBorders>
                    <w:tl2br w:val="nil"/>
                    <w:tr2bl w:val="nil"/>
                  </w:tcBorders>
                  <w:shd w:val="clear" w:color="auto" w:fill="auto"/>
                  <w:vAlign w:val="center"/>
                </w:tcPr>
                <w:p w14:paraId="5537FD7E">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ascii="Times New Roman" w:hAnsi="Times New Roman" w:eastAsia="宋体"/>
                      <w:color w:val="auto"/>
                      <w:spacing w:val="-10"/>
                      <w:sz w:val="21"/>
                    </w:rPr>
                  </w:pPr>
                  <w:r>
                    <w:rPr>
                      <w:rFonts w:ascii="Times New Roman" w:hAnsi="Times New Roman" w:eastAsia="宋体"/>
                      <w:color w:val="auto"/>
                      <w:spacing w:val="-10"/>
                      <w:sz w:val="21"/>
                      <w:lang w:val="en-US" w:eastAsia="zh-CN"/>
                    </w:rPr>
                    <w:t>6</w:t>
                  </w:r>
                </w:p>
              </w:tc>
              <w:tc>
                <w:tcPr>
                  <w:tcW w:w="2051" w:type="pct"/>
                  <w:tcBorders>
                    <w:tl2br w:val="nil"/>
                    <w:tr2bl w:val="nil"/>
                  </w:tcBorders>
                  <w:shd w:val="clear" w:color="auto" w:fill="auto"/>
                  <w:vAlign w:val="center"/>
                </w:tcPr>
                <w:p w14:paraId="1787A0A5">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氨氮</w:t>
                  </w:r>
                  <w:r>
                    <w:rPr>
                      <w:rFonts w:hint="eastAsia" w:ascii="Times New Roman" w:hAnsi="Times New Roman"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mg/L</w:t>
                  </w:r>
                  <w:r>
                    <w:rPr>
                      <w:rFonts w:hint="eastAsia" w:ascii="Times New Roman" w:hAnsi="Times New Roman" w:cs="Times New Roman"/>
                      <w:color w:val="auto"/>
                      <w:spacing w:val="0"/>
                      <w:sz w:val="21"/>
                      <w:szCs w:val="21"/>
                      <w:lang w:val="en-US" w:eastAsia="zh-CN"/>
                    </w:rPr>
                    <w:t>）</w:t>
                  </w:r>
                </w:p>
              </w:tc>
              <w:tc>
                <w:tcPr>
                  <w:tcW w:w="1317" w:type="pct"/>
                  <w:tcBorders>
                    <w:tl2br w:val="nil"/>
                    <w:tr2bl w:val="nil"/>
                  </w:tcBorders>
                  <w:shd w:val="clear" w:color="auto" w:fill="auto"/>
                  <w:vAlign w:val="center"/>
                </w:tcPr>
                <w:p w14:paraId="62FE18D7">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w:t>
                  </w:r>
                </w:p>
              </w:tc>
              <w:tc>
                <w:tcPr>
                  <w:tcW w:w="1339" w:type="pct"/>
                  <w:tcBorders>
                    <w:tl2br w:val="nil"/>
                    <w:tr2bl w:val="nil"/>
                  </w:tcBorders>
                  <w:shd w:val="clear" w:color="auto" w:fill="auto"/>
                  <w:vAlign w:val="center"/>
                </w:tcPr>
                <w:p w14:paraId="4C00E193">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45</w:t>
                  </w:r>
                </w:p>
              </w:tc>
            </w:tr>
            <w:tr w14:paraId="683A8EF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80" w:hRule="atLeast"/>
              </w:trPr>
              <w:tc>
                <w:tcPr>
                  <w:tcW w:w="291" w:type="pct"/>
                  <w:tcBorders>
                    <w:tl2br w:val="nil"/>
                    <w:tr2bl w:val="nil"/>
                  </w:tcBorders>
                  <w:shd w:val="clear" w:color="auto" w:fill="auto"/>
                  <w:vAlign w:val="center"/>
                </w:tcPr>
                <w:p w14:paraId="41E0FA6B">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ascii="Times New Roman" w:hAnsi="Times New Roman" w:eastAsia="宋体"/>
                      <w:color w:val="auto"/>
                      <w:spacing w:val="-10"/>
                      <w:sz w:val="21"/>
                    </w:rPr>
                  </w:pPr>
                  <w:r>
                    <w:rPr>
                      <w:rFonts w:ascii="Times New Roman" w:hAnsi="Times New Roman" w:eastAsia="宋体"/>
                      <w:color w:val="auto"/>
                      <w:spacing w:val="-10"/>
                      <w:sz w:val="21"/>
                      <w:lang w:val="en-US" w:eastAsia="zh-CN"/>
                    </w:rPr>
                    <w:t>7</w:t>
                  </w:r>
                </w:p>
              </w:tc>
              <w:tc>
                <w:tcPr>
                  <w:tcW w:w="2051" w:type="pct"/>
                  <w:tcBorders>
                    <w:tl2br w:val="nil"/>
                    <w:tr2bl w:val="nil"/>
                  </w:tcBorders>
                  <w:shd w:val="clear" w:color="auto" w:fill="auto"/>
                  <w:vAlign w:val="center"/>
                </w:tcPr>
                <w:p w14:paraId="2805FE93">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动植物油</w:t>
                  </w:r>
                  <w:r>
                    <w:rPr>
                      <w:rFonts w:hint="eastAsia" w:ascii="Times New Roman" w:hAnsi="Times New Roman"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mg/L</w:t>
                  </w:r>
                  <w:r>
                    <w:rPr>
                      <w:rFonts w:hint="eastAsia" w:ascii="Times New Roman" w:hAnsi="Times New Roman" w:cs="Times New Roman"/>
                      <w:color w:val="auto"/>
                      <w:spacing w:val="0"/>
                      <w:sz w:val="21"/>
                      <w:szCs w:val="21"/>
                      <w:lang w:val="en-US" w:eastAsia="zh-CN"/>
                    </w:rPr>
                    <w:t>）</w:t>
                  </w:r>
                </w:p>
              </w:tc>
              <w:tc>
                <w:tcPr>
                  <w:tcW w:w="1317" w:type="pct"/>
                  <w:tcBorders>
                    <w:tl2br w:val="nil"/>
                    <w:tr2bl w:val="nil"/>
                  </w:tcBorders>
                  <w:shd w:val="clear" w:color="auto" w:fill="auto"/>
                  <w:vAlign w:val="center"/>
                </w:tcPr>
                <w:p w14:paraId="5ED6CB01">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20</w:t>
                  </w:r>
                </w:p>
              </w:tc>
              <w:tc>
                <w:tcPr>
                  <w:tcW w:w="1339" w:type="pct"/>
                  <w:vMerge w:val="restart"/>
                  <w:tcBorders>
                    <w:tl2br w:val="nil"/>
                    <w:tr2bl w:val="nil"/>
                  </w:tcBorders>
                  <w:shd w:val="clear" w:color="auto" w:fill="auto"/>
                  <w:vAlign w:val="center"/>
                </w:tcPr>
                <w:p w14:paraId="783FA2F2">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w:t>
                  </w:r>
                </w:p>
              </w:tc>
            </w:tr>
            <w:tr w14:paraId="25E292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0" w:hRule="atLeast"/>
              </w:trPr>
              <w:tc>
                <w:tcPr>
                  <w:tcW w:w="291" w:type="pct"/>
                  <w:tcBorders>
                    <w:tl2br w:val="nil"/>
                    <w:tr2bl w:val="nil"/>
                  </w:tcBorders>
                  <w:shd w:val="clear" w:color="auto" w:fill="auto"/>
                  <w:vAlign w:val="center"/>
                </w:tcPr>
                <w:p w14:paraId="649D4CC1">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ascii="Times New Roman" w:hAnsi="Times New Roman" w:eastAsia="宋体"/>
                      <w:color w:val="auto"/>
                      <w:spacing w:val="-10"/>
                      <w:sz w:val="21"/>
                    </w:rPr>
                  </w:pPr>
                  <w:r>
                    <w:rPr>
                      <w:rFonts w:ascii="Times New Roman" w:hAnsi="Times New Roman" w:eastAsia="宋体"/>
                      <w:color w:val="auto"/>
                      <w:spacing w:val="-10"/>
                      <w:sz w:val="21"/>
                      <w:lang w:val="en-US" w:eastAsia="zh-CN"/>
                    </w:rPr>
                    <w:t>8</w:t>
                  </w:r>
                </w:p>
              </w:tc>
              <w:tc>
                <w:tcPr>
                  <w:tcW w:w="2051" w:type="pct"/>
                  <w:tcBorders>
                    <w:tl2br w:val="nil"/>
                    <w:tr2bl w:val="nil"/>
                  </w:tcBorders>
                  <w:shd w:val="clear" w:color="auto" w:fill="auto"/>
                  <w:vAlign w:val="center"/>
                </w:tcPr>
                <w:p w14:paraId="41F655A6">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总余氯</w:t>
                  </w:r>
                  <w:r>
                    <w:rPr>
                      <w:rFonts w:hint="eastAsia" w:ascii="Times New Roman" w:hAnsi="Times New Roman"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mg/L</w:t>
                  </w:r>
                  <w:r>
                    <w:rPr>
                      <w:rFonts w:hint="eastAsia" w:ascii="Times New Roman" w:hAnsi="Times New Roman" w:cs="Times New Roman"/>
                      <w:color w:val="auto"/>
                      <w:spacing w:val="0"/>
                      <w:sz w:val="21"/>
                      <w:szCs w:val="21"/>
                      <w:lang w:val="en-US" w:eastAsia="zh-CN"/>
                    </w:rPr>
                    <w:t>）</w:t>
                  </w:r>
                </w:p>
              </w:tc>
              <w:tc>
                <w:tcPr>
                  <w:tcW w:w="1317" w:type="pct"/>
                  <w:tcBorders>
                    <w:tl2br w:val="nil"/>
                    <w:tr2bl w:val="nil"/>
                  </w:tcBorders>
                  <w:shd w:val="clear" w:color="auto" w:fill="auto"/>
                  <w:vAlign w:val="center"/>
                </w:tcPr>
                <w:p w14:paraId="08E13B2B">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一</w:t>
                  </w:r>
                </w:p>
              </w:tc>
              <w:tc>
                <w:tcPr>
                  <w:tcW w:w="1339" w:type="pct"/>
                  <w:vMerge w:val="continue"/>
                  <w:tcBorders>
                    <w:tl2br w:val="nil"/>
                    <w:tr2bl w:val="nil"/>
                  </w:tcBorders>
                  <w:shd w:val="clear" w:color="auto" w:fill="auto"/>
                  <w:vAlign w:val="center"/>
                </w:tcPr>
                <w:p w14:paraId="2B8ABFF5">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center"/>
                    <w:textAlignment w:val="auto"/>
                    <w:rPr>
                      <w:rFonts w:hint="default" w:ascii="Times New Roman" w:hAnsi="Times New Roman" w:eastAsia="宋体" w:cs="Times New Roman"/>
                      <w:color w:val="auto"/>
                      <w:spacing w:val="0"/>
                      <w:sz w:val="21"/>
                      <w:szCs w:val="21"/>
                      <w:lang w:val="en-US" w:eastAsia="zh-CN"/>
                    </w:rPr>
                  </w:pPr>
                </w:p>
              </w:tc>
            </w:tr>
            <w:tr w14:paraId="58D537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60" w:hRule="atLeast"/>
              </w:trPr>
              <w:tc>
                <w:tcPr>
                  <w:tcW w:w="291" w:type="pct"/>
                  <w:tcBorders>
                    <w:tl2br w:val="nil"/>
                    <w:tr2bl w:val="nil"/>
                  </w:tcBorders>
                  <w:shd w:val="clear" w:color="auto" w:fill="auto"/>
                  <w:vAlign w:val="center"/>
                </w:tcPr>
                <w:p w14:paraId="160F554D">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ascii="Times New Roman" w:hAnsi="Times New Roman" w:eastAsia="宋体"/>
                      <w:color w:val="auto"/>
                      <w:spacing w:val="-10"/>
                      <w:sz w:val="21"/>
                    </w:rPr>
                  </w:pPr>
                  <w:r>
                    <w:rPr>
                      <w:rFonts w:ascii="Times New Roman" w:hAnsi="Times New Roman" w:eastAsia="宋体"/>
                      <w:color w:val="auto"/>
                      <w:spacing w:val="-10"/>
                      <w:sz w:val="21"/>
                      <w:lang w:val="en-US" w:eastAsia="zh-CN"/>
                    </w:rPr>
                    <w:t>9</w:t>
                  </w:r>
                </w:p>
              </w:tc>
              <w:tc>
                <w:tcPr>
                  <w:tcW w:w="4708" w:type="pct"/>
                  <w:gridSpan w:val="3"/>
                  <w:tcBorders>
                    <w:tl2br w:val="nil"/>
                    <w:tr2bl w:val="nil"/>
                  </w:tcBorders>
                  <w:shd w:val="clear" w:color="auto" w:fill="auto"/>
                  <w:vAlign w:val="center"/>
                </w:tcPr>
                <w:p w14:paraId="37E3BA5E">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both"/>
                    <w:textAlignment w:val="auto"/>
                    <w:rPr>
                      <w:rFonts w:hint="default" w:ascii="Times New Roman" w:hAnsi="Times New Roman" w:eastAsia="宋体" w:cs="Times New Roman"/>
                      <w:color w:val="auto"/>
                      <w:spacing w:val="0"/>
                      <w:sz w:val="21"/>
                      <w:szCs w:val="21"/>
                      <w:lang w:val="en-US" w:eastAsia="zh-CN"/>
                    </w:rPr>
                  </w:pPr>
                  <w:r>
                    <w:rPr>
                      <w:rFonts w:hint="default" w:ascii="Times New Roman" w:hAnsi="Times New Roman" w:eastAsia="宋体" w:cs="Times New Roman"/>
                      <w:color w:val="auto"/>
                      <w:spacing w:val="0"/>
                      <w:sz w:val="21"/>
                      <w:szCs w:val="21"/>
                      <w:lang w:val="en-US" w:eastAsia="zh-CN"/>
                    </w:rPr>
                    <w:t>注：</w:t>
                  </w:r>
                </w:p>
                <w:p w14:paraId="339D9F04">
                  <w:pPr>
                    <w:pStyle w:val="97"/>
                    <w:keepNext w:val="0"/>
                    <w:keepLines w:val="0"/>
                    <w:pageBreakBefore w:val="0"/>
                    <w:widowControl/>
                    <w:kinsoku/>
                    <w:wordWrap/>
                    <w:overflowPunct/>
                    <w:topLinePunct w:val="0"/>
                    <w:autoSpaceDE/>
                    <w:autoSpaceDN/>
                    <w:bidi w:val="0"/>
                    <w:adjustRightInd/>
                    <w:snapToGrid/>
                    <w:spacing w:before="0" w:line="240" w:lineRule="auto"/>
                    <w:ind w:left="0" w:leftChars="0" w:right="0" w:rightChars="0"/>
                    <w:jc w:val="both"/>
                    <w:textAlignment w:val="auto"/>
                    <w:rPr>
                      <w:rFonts w:hint="eastAsia" w:ascii="Times New Roman" w:hAnsi="Times New Roman" w:cs="Times New Roman"/>
                      <w:color w:val="auto"/>
                      <w:spacing w:val="0"/>
                      <w:sz w:val="21"/>
                      <w:szCs w:val="21"/>
                      <w:lang w:val="en-US" w:eastAsia="zh-CN"/>
                    </w:rPr>
                  </w:pPr>
                  <w:r>
                    <w:rPr>
                      <w:rFonts w:hint="eastAsia" w:ascii="Times New Roman" w:hAnsi="Times New Roman" w:cs="Times New Roman"/>
                      <w:color w:val="auto"/>
                      <w:spacing w:val="0"/>
                      <w:sz w:val="21"/>
                      <w:szCs w:val="21"/>
                      <w:lang w:val="en-US" w:eastAsia="zh-CN"/>
                    </w:rPr>
                    <w:t>1）</w:t>
                  </w:r>
                  <w:r>
                    <w:rPr>
                      <w:rFonts w:hint="default" w:ascii="Times New Roman" w:hAnsi="Times New Roman" w:eastAsia="宋体" w:cs="Times New Roman"/>
                      <w:color w:val="auto"/>
                      <w:spacing w:val="0"/>
                      <w:sz w:val="21"/>
                      <w:szCs w:val="21"/>
                      <w:lang w:val="en-US" w:eastAsia="zh-CN"/>
                    </w:rPr>
                    <w:t>采用含氯消毒剂消毒的工艺控制要求为：排放标准：消毒接触池接触时间≥1h</w:t>
                  </w:r>
                  <w:r>
                    <w:rPr>
                      <w:rFonts w:hint="eastAsia" w:ascii="Times New Roman" w:hAnsi="Times New Roman"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接触池出口总余氯3～10mg/L。</w:t>
                  </w:r>
                  <w:r>
                    <w:rPr>
                      <w:rFonts w:hint="default" w:ascii="Times New Roman" w:hAnsi="Times New Roman" w:eastAsia="宋体" w:cs="Times New Roman"/>
                      <w:color w:val="auto"/>
                      <w:spacing w:val="0"/>
                      <w:sz w:val="21"/>
                      <w:szCs w:val="21"/>
                      <w:lang w:val="en-US" w:eastAsia="zh-CN"/>
                    </w:rPr>
                    <w:br w:type="textWrapping"/>
                  </w:r>
                  <w:r>
                    <w:rPr>
                      <w:rFonts w:hint="default" w:ascii="Times New Roman" w:hAnsi="Times New Roman" w:eastAsia="宋体" w:cs="Times New Roman"/>
                      <w:color w:val="auto"/>
                      <w:spacing w:val="0"/>
                      <w:sz w:val="21"/>
                      <w:szCs w:val="21"/>
                      <w:lang w:val="en-US" w:eastAsia="zh-CN"/>
                    </w:rPr>
                    <w:t>预处理标准：消毒接触池接触时间≥1h</w:t>
                  </w:r>
                  <w:r>
                    <w:rPr>
                      <w:rFonts w:hint="eastAsia" w:ascii="Times New Roman" w:hAnsi="Times New Roman"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接触池出口总余氯2～8mg/L。</w:t>
                  </w:r>
                  <w:r>
                    <w:rPr>
                      <w:rFonts w:hint="default" w:ascii="Times New Roman" w:hAnsi="Times New Roman" w:eastAsia="宋体" w:cs="Times New Roman"/>
                      <w:color w:val="auto"/>
                      <w:spacing w:val="0"/>
                      <w:sz w:val="21"/>
                      <w:szCs w:val="21"/>
                      <w:lang w:val="en-US" w:eastAsia="zh-CN"/>
                    </w:rPr>
                    <w:br w:type="textWrapping"/>
                  </w:r>
                  <w:r>
                    <w:rPr>
                      <w:rFonts w:hint="default" w:ascii="Times New Roman" w:hAnsi="Times New Roman" w:eastAsia="宋体" w:cs="Times New Roman"/>
                      <w:color w:val="auto"/>
                      <w:spacing w:val="0"/>
                      <w:sz w:val="21"/>
                      <w:szCs w:val="21"/>
                      <w:lang w:val="en-US" w:eastAsia="zh-CN"/>
                    </w:rPr>
                    <w:t>2</w:t>
                  </w:r>
                  <w:r>
                    <w:rPr>
                      <w:rFonts w:hint="eastAsia" w:ascii="Times New Roman" w:hAnsi="Times New Roman" w:cs="Times New Roman"/>
                      <w:color w:val="auto"/>
                      <w:spacing w:val="0"/>
                      <w:sz w:val="21"/>
                      <w:szCs w:val="21"/>
                      <w:lang w:val="en-US" w:eastAsia="zh-CN"/>
                    </w:rPr>
                    <w:t>）</w:t>
                  </w:r>
                  <w:r>
                    <w:rPr>
                      <w:rFonts w:hint="default" w:ascii="Times New Roman" w:hAnsi="Times New Roman" w:eastAsia="宋体" w:cs="Times New Roman"/>
                      <w:color w:val="auto"/>
                      <w:spacing w:val="0"/>
                      <w:sz w:val="21"/>
                      <w:szCs w:val="21"/>
                      <w:lang w:val="en-US" w:eastAsia="zh-CN"/>
                    </w:rPr>
                    <w:t>采用其他消毒剂对总余氯不</w:t>
                  </w:r>
                  <w:r>
                    <w:rPr>
                      <w:rFonts w:hint="eastAsia" w:ascii="Times New Roman" w:hAnsi="Times New Roman" w:cs="Times New Roman"/>
                      <w:color w:val="auto"/>
                      <w:spacing w:val="0"/>
                      <w:sz w:val="21"/>
                      <w:szCs w:val="21"/>
                      <w:lang w:val="en-US" w:eastAsia="zh-CN"/>
                    </w:rPr>
                    <w:t>作</w:t>
                  </w:r>
                  <w:r>
                    <w:rPr>
                      <w:rFonts w:hint="default" w:ascii="Times New Roman" w:hAnsi="Times New Roman" w:eastAsia="宋体" w:cs="Times New Roman"/>
                      <w:color w:val="auto"/>
                      <w:spacing w:val="0"/>
                      <w:sz w:val="21"/>
                      <w:szCs w:val="21"/>
                      <w:lang w:val="en-US" w:eastAsia="zh-CN"/>
                    </w:rPr>
                    <w:t>要求。</w:t>
                  </w:r>
                </w:p>
              </w:tc>
            </w:tr>
          </w:tbl>
          <w:p w14:paraId="23864DB6">
            <w:pPr>
              <w:pStyle w:val="97"/>
              <w:numPr>
                <w:ilvl w:val="3"/>
                <w:numId w:val="0"/>
              </w:numPr>
              <w:tabs>
                <w:tab w:val="left" w:pos="767"/>
              </w:tabs>
              <w:spacing w:before="0" w:after="0" w:line="240" w:lineRule="auto"/>
              <w:ind w:left="767" w:leftChars="0" w:right="0" w:rightChars="0" w:hanging="277" w:firstLineChars="0"/>
              <w:jc w:val="left"/>
              <w:rPr>
                <w:color w:val="auto"/>
                <w:sz w:val="24"/>
              </w:rPr>
            </w:pPr>
            <w:r>
              <w:rPr>
                <w:rFonts w:hint="eastAsia" w:ascii="Times New Roman" w:hAnsi="Times New Roman" w:eastAsia="Times New Roman" w:cs="Times New Roman"/>
                <w:b w:val="0"/>
                <w:bCs w:val="0"/>
                <w:i w:val="0"/>
                <w:iCs w:val="0"/>
                <w:color w:val="auto"/>
                <w:spacing w:val="-1"/>
                <w:w w:val="100"/>
                <w:kern w:val="2"/>
                <w:sz w:val="22"/>
                <w:szCs w:val="22"/>
                <w:lang w:val="en-US" w:eastAsia="zh-CN" w:bidi="ar-SA"/>
              </w:rPr>
              <w:t>（2）</w:t>
            </w:r>
            <w:r>
              <w:rPr>
                <w:rFonts w:hint="eastAsia"/>
                <w:color w:val="auto"/>
                <w:spacing w:val="-2"/>
                <w:sz w:val="24"/>
                <w:lang w:eastAsia="zh-CN"/>
              </w:rPr>
              <w:t>污水处理厂</w:t>
            </w:r>
            <w:r>
              <w:rPr>
                <w:color w:val="auto"/>
                <w:spacing w:val="-2"/>
                <w:sz w:val="24"/>
              </w:rPr>
              <w:t>排放标准</w:t>
            </w:r>
          </w:p>
          <w:p w14:paraId="476E2BAE">
            <w:pPr>
              <w:pStyle w:val="97"/>
              <w:spacing w:before="158" w:line="364" w:lineRule="auto"/>
              <w:ind w:left="10" w:right="87" w:firstLine="480"/>
              <w:jc w:val="both"/>
              <w:rPr>
                <w:color w:val="auto"/>
                <w:spacing w:val="-2"/>
                <w:sz w:val="24"/>
              </w:rPr>
            </w:pPr>
            <w:r>
              <w:rPr>
                <w:color w:val="auto"/>
                <w:spacing w:val="-2"/>
                <w:sz w:val="24"/>
              </w:rPr>
              <w:t>根据调查，</w:t>
            </w:r>
            <w:r>
              <w:rPr>
                <w:rFonts w:hint="eastAsia"/>
                <w:color w:val="auto"/>
                <w:spacing w:val="-2"/>
                <w:sz w:val="24"/>
                <w:lang w:eastAsia="zh-CN"/>
              </w:rPr>
              <w:t>罗源城区污水处理厂</w:t>
            </w:r>
            <w:r>
              <w:rPr>
                <w:color w:val="auto"/>
                <w:spacing w:val="-2"/>
                <w:sz w:val="24"/>
              </w:rPr>
              <w:t>尾水排放执行《城镇污水处理厂污染物排放标准》</w:t>
            </w:r>
            <w:r>
              <w:rPr>
                <w:rFonts w:hint="eastAsia"/>
                <w:color w:val="auto"/>
                <w:spacing w:val="-2"/>
                <w:sz w:val="24"/>
                <w:lang w:val="en-US" w:eastAsia="zh-CN"/>
              </w:rPr>
              <w:t>（</w:t>
            </w:r>
            <w:r>
              <w:rPr>
                <w:rFonts w:ascii="Times New Roman" w:eastAsia="Times New Roman"/>
                <w:color w:val="auto"/>
                <w:spacing w:val="-2"/>
                <w:sz w:val="24"/>
              </w:rPr>
              <w:t>GB18918-2002</w:t>
            </w:r>
            <w:r>
              <w:rPr>
                <w:rFonts w:hint="eastAsia" w:ascii="Times New Roman" w:eastAsia="宋体"/>
                <w:color w:val="auto"/>
                <w:spacing w:val="-2"/>
                <w:sz w:val="24"/>
                <w:lang w:eastAsia="zh-CN"/>
              </w:rPr>
              <w:t>）</w:t>
            </w:r>
            <w:r>
              <w:rPr>
                <w:color w:val="auto"/>
                <w:spacing w:val="-6"/>
                <w:sz w:val="24"/>
              </w:rPr>
              <w:t>及其修改单表</w:t>
            </w:r>
            <w:r>
              <w:rPr>
                <w:rFonts w:ascii="Times New Roman" w:eastAsia="Times New Roman"/>
                <w:color w:val="auto"/>
                <w:spacing w:val="-2"/>
                <w:sz w:val="24"/>
              </w:rPr>
              <w:t>1</w:t>
            </w:r>
            <w:r>
              <w:rPr>
                <w:color w:val="auto"/>
                <w:spacing w:val="-9"/>
                <w:sz w:val="24"/>
              </w:rPr>
              <w:t>的一级</w:t>
            </w:r>
            <w:r>
              <w:rPr>
                <w:rFonts w:ascii="Times New Roman" w:eastAsia="Times New Roman"/>
                <w:color w:val="auto"/>
                <w:spacing w:val="-2"/>
                <w:sz w:val="24"/>
              </w:rPr>
              <w:t>A</w:t>
            </w:r>
            <w:r>
              <w:rPr>
                <w:color w:val="auto"/>
                <w:spacing w:val="-2"/>
                <w:sz w:val="24"/>
              </w:rPr>
              <w:t>标准，具体详见表</w:t>
            </w:r>
            <w:r>
              <w:rPr>
                <w:rFonts w:ascii="Times New Roman" w:eastAsia="Times New Roman"/>
                <w:color w:val="auto"/>
                <w:spacing w:val="-2"/>
                <w:sz w:val="24"/>
              </w:rPr>
              <w:t>3.</w:t>
            </w:r>
            <w:r>
              <w:rPr>
                <w:rFonts w:hint="eastAsia" w:ascii="Times New Roman" w:eastAsia="宋体"/>
                <w:color w:val="auto"/>
                <w:spacing w:val="-2"/>
                <w:sz w:val="24"/>
                <w:lang w:val="en-US" w:eastAsia="zh-CN"/>
              </w:rPr>
              <w:t>3</w:t>
            </w:r>
            <w:r>
              <w:rPr>
                <w:rFonts w:ascii="Times New Roman" w:eastAsia="Times New Roman"/>
                <w:color w:val="auto"/>
                <w:spacing w:val="-2"/>
                <w:sz w:val="24"/>
              </w:rPr>
              <w:t>-</w:t>
            </w:r>
            <w:r>
              <w:rPr>
                <w:rFonts w:hint="eastAsia" w:ascii="Times New Roman"/>
                <w:color w:val="auto"/>
                <w:spacing w:val="-2"/>
                <w:sz w:val="24"/>
                <w:lang w:val="en-US" w:eastAsia="zh-CN"/>
              </w:rPr>
              <w:t>3</w:t>
            </w:r>
            <w:r>
              <w:rPr>
                <w:color w:val="auto"/>
                <w:spacing w:val="-2"/>
                <w:sz w:val="24"/>
              </w:rPr>
              <w:t>。</w:t>
            </w:r>
          </w:p>
          <w:p w14:paraId="0DBA42E8">
            <w:pPr>
              <w:pStyle w:val="44"/>
              <w:keepNext/>
              <w:keepLines/>
              <w:pageBreakBefore w:val="0"/>
              <w:widowControl w:val="0"/>
              <w:numPr>
                <w:ilvl w:val="7"/>
                <w:numId w:val="1"/>
              </w:numPr>
              <w:kinsoku/>
              <w:wordWrap/>
              <w:overflowPunct/>
              <w:topLinePunct w:val="0"/>
              <w:autoSpaceDE/>
              <w:autoSpaceDN/>
              <w:bidi w:val="0"/>
              <w:adjustRightInd/>
              <w:snapToGrid/>
              <w:spacing w:before="0" w:after="0"/>
              <w:ind w:left="630" w:leftChars="0" w:firstLine="0" w:firstLineChars="0"/>
              <w:textAlignment w:val="auto"/>
              <w:rPr>
                <w:rFonts w:hint="eastAsia" w:ascii="Times New Roman" w:hAnsi="Times New Roman" w:eastAsia="宋体" w:cs="宋体"/>
                <w:color w:val="auto"/>
                <w:highlight w:val="none"/>
                <w:lang w:val="en-US" w:eastAsia="zh-CN"/>
              </w:rPr>
            </w:pPr>
            <w:r>
              <w:rPr>
                <w:rFonts w:hint="eastAsia" w:ascii="Times New Roman" w:hAnsi="Times New Roman" w:eastAsia="宋体" w:cs="宋体"/>
                <w:color w:val="auto"/>
                <w:highlight w:val="none"/>
                <w:lang w:val="en-US" w:eastAsia="zh-CN"/>
              </w:rPr>
              <w:t>污水处理厂尾水排放标准一览表</w:t>
            </w:r>
          </w:p>
          <w:tbl>
            <w:tblPr>
              <w:tblStyle w:val="35"/>
              <w:tblW w:w="0" w:type="auto"/>
              <w:tblInd w:w="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990"/>
              <w:gridCol w:w="1991"/>
              <w:gridCol w:w="1992"/>
              <w:gridCol w:w="1991"/>
            </w:tblGrid>
            <w:tr w14:paraId="1CE0C75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13" w:hRule="atLeast"/>
              </w:trPr>
              <w:tc>
                <w:tcPr>
                  <w:tcW w:w="1990" w:type="dxa"/>
                  <w:tcBorders>
                    <w:bottom w:val="single" w:color="000000" w:sz="12" w:space="0"/>
                  </w:tcBorders>
                  <w:vAlign w:val="center"/>
                </w:tcPr>
                <w:p w14:paraId="5A289188">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ascii="Times New Roman" w:hAnsi="Times New Roman" w:eastAsia="宋体"/>
                      <w:color w:val="auto"/>
                      <w:sz w:val="24"/>
                      <w:vertAlign w:val="baseline"/>
                    </w:rPr>
                  </w:pPr>
                  <w:r>
                    <w:rPr>
                      <w:rFonts w:ascii="Times New Roman" w:hAnsi="Times New Roman" w:eastAsia="宋体"/>
                      <w:color w:val="auto"/>
                      <w:spacing w:val="-8"/>
                      <w:sz w:val="21"/>
                    </w:rPr>
                    <w:t>序号</w:t>
                  </w:r>
                </w:p>
              </w:tc>
              <w:tc>
                <w:tcPr>
                  <w:tcW w:w="1991" w:type="dxa"/>
                  <w:tcBorders>
                    <w:bottom w:val="single" w:color="000000" w:sz="12" w:space="0"/>
                  </w:tcBorders>
                  <w:vAlign w:val="center"/>
                </w:tcPr>
                <w:p w14:paraId="36C19F73">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ascii="Times New Roman" w:hAnsi="Times New Roman" w:eastAsia="宋体"/>
                      <w:color w:val="auto"/>
                      <w:sz w:val="24"/>
                      <w:vertAlign w:val="baseline"/>
                    </w:rPr>
                  </w:pPr>
                  <w:r>
                    <w:rPr>
                      <w:rFonts w:ascii="Times New Roman" w:hAnsi="Times New Roman" w:eastAsia="宋体"/>
                      <w:color w:val="auto"/>
                      <w:spacing w:val="-4"/>
                      <w:sz w:val="21"/>
                    </w:rPr>
                    <w:t>污染物名称</w:t>
                  </w:r>
                </w:p>
              </w:tc>
              <w:tc>
                <w:tcPr>
                  <w:tcW w:w="1992" w:type="dxa"/>
                  <w:tcBorders>
                    <w:bottom w:val="single" w:color="000000" w:sz="12" w:space="0"/>
                  </w:tcBorders>
                  <w:vAlign w:val="center"/>
                </w:tcPr>
                <w:p w14:paraId="35DA60A4">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ascii="Times New Roman" w:hAnsi="Times New Roman" w:eastAsia="宋体"/>
                      <w:color w:val="auto"/>
                      <w:sz w:val="24"/>
                      <w:vertAlign w:val="baseline"/>
                    </w:rPr>
                  </w:pPr>
                  <w:r>
                    <w:rPr>
                      <w:rFonts w:ascii="Times New Roman" w:hAnsi="Times New Roman" w:eastAsia="宋体"/>
                      <w:color w:val="auto"/>
                      <w:spacing w:val="-11"/>
                      <w:sz w:val="21"/>
                    </w:rPr>
                    <w:t>一级标准</w:t>
                  </w:r>
                  <w:r>
                    <w:rPr>
                      <w:rFonts w:ascii="Times New Roman" w:hAnsi="Times New Roman" w:eastAsia="宋体"/>
                      <w:color w:val="auto"/>
                      <w:sz w:val="21"/>
                    </w:rPr>
                    <w:t>A</w:t>
                  </w:r>
                  <w:r>
                    <w:rPr>
                      <w:rFonts w:ascii="Times New Roman" w:hAnsi="Times New Roman" w:eastAsia="宋体"/>
                      <w:color w:val="auto"/>
                      <w:spacing w:val="-5"/>
                      <w:sz w:val="21"/>
                    </w:rPr>
                    <w:t>标准</w:t>
                  </w:r>
                </w:p>
              </w:tc>
              <w:tc>
                <w:tcPr>
                  <w:tcW w:w="1991" w:type="dxa"/>
                  <w:tcBorders>
                    <w:bottom w:val="single" w:color="000000" w:sz="12" w:space="0"/>
                  </w:tcBorders>
                  <w:vAlign w:val="center"/>
                </w:tcPr>
                <w:p w14:paraId="1F223BCB">
                  <w:pPr>
                    <w:pStyle w:val="97"/>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ascii="Times New Roman" w:hAnsi="Times New Roman" w:eastAsia="宋体"/>
                      <w:color w:val="auto"/>
                      <w:sz w:val="24"/>
                      <w:vertAlign w:val="baseline"/>
                    </w:rPr>
                  </w:pPr>
                  <w:r>
                    <w:rPr>
                      <w:rFonts w:ascii="Times New Roman" w:hAnsi="Times New Roman" w:eastAsia="宋体"/>
                      <w:color w:val="auto"/>
                      <w:spacing w:val="-7"/>
                      <w:sz w:val="21"/>
                    </w:rPr>
                    <w:t>标准来源</w:t>
                  </w:r>
                </w:p>
              </w:tc>
            </w:tr>
            <w:tr w14:paraId="1C8364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13" w:hRule="atLeast"/>
              </w:trPr>
              <w:tc>
                <w:tcPr>
                  <w:tcW w:w="1990" w:type="dxa"/>
                  <w:tcBorders>
                    <w:top w:val="single" w:color="000000" w:sz="12" w:space="0"/>
                    <w:tl2br w:val="nil"/>
                    <w:tr2bl w:val="nil"/>
                  </w:tcBorders>
                  <w:vAlign w:val="center"/>
                </w:tcPr>
                <w:p w14:paraId="18EF064E">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ascii="Times New Roman" w:hAnsi="Times New Roman" w:eastAsia="宋体"/>
                      <w:color w:val="auto"/>
                      <w:sz w:val="24"/>
                      <w:vertAlign w:val="baseline"/>
                    </w:rPr>
                  </w:pPr>
                  <w:r>
                    <w:rPr>
                      <w:rFonts w:ascii="Times New Roman" w:hAnsi="Times New Roman" w:eastAsia="宋体"/>
                      <w:color w:val="auto"/>
                      <w:spacing w:val="-10"/>
                      <w:sz w:val="21"/>
                    </w:rPr>
                    <w:t>1</w:t>
                  </w:r>
                </w:p>
              </w:tc>
              <w:tc>
                <w:tcPr>
                  <w:tcW w:w="1991" w:type="dxa"/>
                  <w:tcBorders>
                    <w:top w:val="single" w:color="000000" w:sz="12" w:space="0"/>
                    <w:tl2br w:val="nil"/>
                    <w:tr2bl w:val="nil"/>
                  </w:tcBorders>
                  <w:shd w:val="clear" w:color="auto" w:fill="auto"/>
                  <w:vAlign w:val="center"/>
                </w:tcPr>
                <w:p w14:paraId="2C58C524">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ascii="Times New Roman" w:hAnsi="Times New Roman" w:eastAsia="宋体" w:cs="宋体"/>
                      <w:color w:val="auto"/>
                      <w:kern w:val="2"/>
                      <w:sz w:val="24"/>
                      <w:szCs w:val="24"/>
                      <w:vertAlign w:val="baseline"/>
                      <w:lang w:val="zh-CN" w:eastAsia="zh-CN" w:bidi="zh-CN"/>
                    </w:rPr>
                  </w:pPr>
                  <w:r>
                    <w:rPr>
                      <w:rFonts w:ascii="Times New Roman" w:hAnsi="Times New Roman" w:eastAsia="宋体"/>
                      <w:color w:val="auto"/>
                      <w:spacing w:val="-5"/>
                      <w:sz w:val="21"/>
                    </w:rPr>
                    <w:t>COD</w:t>
                  </w:r>
                </w:p>
              </w:tc>
              <w:tc>
                <w:tcPr>
                  <w:tcW w:w="1992" w:type="dxa"/>
                  <w:tcBorders>
                    <w:top w:val="single" w:color="000000" w:sz="12" w:space="0"/>
                    <w:tl2br w:val="nil"/>
                    <w:tr2bl w:val="nil"/>
                  </w:tcBorders>
                  <w:shd w:val="clear" w:color="auto" w:fill="auto"/>
                  <w:vAlign w:val="center"/>
                </w:tcPr>
                <w:p w14:paraId="7F478103">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ascii="Times New Roman" w:hAnsi="Times New Roman" w:eastAsia="宋体" w:cs="宋体"/>
                      <w:color w:val="auto"/>
                      <w:kern w:val="2"/>
                      <w:sz w:val="24"/>
                      <w:szCs w:val="24"/>
                      <w:vertAlign w:val="baseline"/>
                      <w:lang w:val="zh-CN" w:eastAsia="zh-CN" w:bidi="zh-CN"/>
                    </w:rPr>
                  </w:pPr>
                  <w:r>
                    <w:rPr>
                      <w:rFonts w:ascii="Times New Roman" w:hAnsi="Times New Roman" w:eastAsia="宋体"/>
                      <w:color w:val="auto"/>
                      <w:spacing w:val="-2"/>
                      <w:sz w:val="21"/>
                    </w:rPr>
                    <w:t>50mg/L</w:t>
                  </w:r>
                </w:p>
              </w:tc>
              <w:tc>
                <w:tcPr>
                  <w:tcW w:w="1991" w:type="dxa"/>
                  <w:vMerge w:val="restart"/>
                  <w:tcBorders>
                    <w:top w:val="single" w:color="000000" w:sz="12" w:space="0"/>
                    <w:tl2br w:val="nil"/>
                    <w:tr2bl w:val="nil"/>
                  </w:tcBorders>
                  <w:vAlign w:val="center"/>
                </w:tcPr>
                <w:p w14:paraId="11720790">
                  <w:pPr>
                    <w:pStyle w:val="97"/>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ascii="Times New Roman" w:hAnsi="Times New Roman" w:eastAsia="宋体"/>
                      <w:color w:val="auto"/>
                      <w:sz w:val="24"/>
                      <w:vertAlign w:val="baseline"/>
                    </w:rPr>
                  </w:pPr>
                  <w:r>
                    <w:rPr>
                      <w:rFonts w:ascii="Times New Roman" w:hAnsi="Times New Roman" w:eastAsia="宋体"/>
                      <w:color w:val="auto"/>
                      <w:spacing w:val="-2"/>
                      <w:sz w:val="21"/>
                    </w:rPr>
                    <w:t>《城镇污水处理厂污染物排放标准》</w:t>
                  </w:r>
                  <w:r>
                    <w:rPr>
                      <w:rFonts w:hint="eastAsia" w:ascii="Times New Roman" w:hAnsi="Times New Roman"/>
                      <w:color w:val="auto"/>
                      <w:spacing w:val="-2"/>
                      <w:sz w:val="21"/>
                      <w:lang w:eastAsia="zh-CN"/>
                    </w:rPr>
                    <w:t>（</w:t>
                  </w:r>
                  <w:r>
                    <w:rPr>
                      <w:rFonts w:ascii="Times New Roman" w:hAnsi="Times New Roman" w:eastAsia="宋体"/>
                      <w:color w:val="auto"/>
                      <w:spacing w:val="-2"/>
                      <w:sz w:val="21"/>
                    </w:rPr>
                    <w:t>GB18918-2002</w:t>
                  </w:r>
                  <w:r>
                    <w:rPr>
                      <w:rFonts w:hint="eastAsia" w:ascii="Times New Roman" w:hAnsi="Times New Roman"/>
                      <w:color w:val="auto"/>
                      <w:spacing w:val="-2"/>
                      <w:sz w:val="21"/>
                      <w:lang w:eastAsia="zh-CN"/>
                    </w:rPr>
                    <w:t>）</w:t>
                  </w:r>
                  <w:r>
                    <w:rPr>
                      <w:rFonts w:ascii="Times New Roman" w:hAnsi="Times New Roman" w:eastAsia="宋体"/>
                      <w:color w:val="auto"/>
                      <w:spacing w:val="-2"/>
                      <w:sz w:val="21"/>
                    </w:rPr>
                    <w:t>及其修</w:t>
                  </w:r>
                  <w:r>
                    <w:rPr>
                      <w:rFonts w:ascii="Times New Roman" w:hAnsi="Times New Roman" w:eastAsia="宋体"/>
                      <w:color w:val="auto"/>
                      <w:spacing w:val="-14"/>
                      <w:sz w:val="21"/>
                    </w:rPr>
                    <w:t>改单表</w:t>
                  </w:r>
                  <w:r>
                    <w:rPr>
                      <w:rFonts w:ascii="Times New Roman" w:hAnsi="Times New Roman" w:eastAsia="宋体"/>
                      <w:color w:val="auto"/>
                      <w:spacing w:val="-10"/>
                      <w:sz w:val="21"/>
                    </w:rPr>
                    <w:t>1</w:t>
                  </w:r>
                </w:p>
              </w:tc>
            </w:tr>
            <w:tr w14:paraId="691903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13" w:hRule="atLeast"/>
              </w:trPr>
              <w:tc>
                <w:tcPr>
                  <w:tcW w:w="1990" w:type="dxa"/>
                  <w:tcBorders>
                    <w:tl2br w:val="nil"/>
                    <w:tr2bl w:val="nil"/>
                  </w:tcBorders>
                  <w:vAlign w:val="center"/>
                </w:tcPr>
                <w:p w14:paraId="7EFD3106">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ascii="Times New Roman" w:hAnsi="Times New Roman" w:eastAsia="宋体"/>
                      <w:color w:val="auto"/>
                      <w:sz w:val="24"/>
                      <w:vertAlign w:val="baseline"/>
                    </w:rPr>
                  </w:pPr>
                  <w:r>
                    <w:rPr>
                      <w:rFonts w:ascii="Times New Roman" w:hAnsi="Times New Roman" w:eastAsia="宋体"/>
                      <w:color w:val="auto"/>
                      <w:spacing w:val="-10"/>
                      <w:sz w:val="21"/>
                    </w:rPr>
                    <w:t>2</w:t>
                  </w:r>
                </w:p>
              </w:tc>
              <w:tc>
                <w:tcPr>
                  <w:tcW w:w="1991" w:type="dxa"/>
                  <w:tcBorders>
                    <w:tl2br w:val="nil"/>
                    <w:tr2bl w:val="nil"/>
                  </w:tcBorders>
                  <w:shd w:val="clear" w:color="auto" w:fill="auto"/>
                  <w:vAlign w:val="center"/>
                </w:tcPr>
                <w:p w14:paraId="3330027F">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ascii="Times New Roman" w:hAnsi="Times New Roman" w:eastAsia="宋体" w:cs="宋体"/>
                      <w:color w:val="auto"/>
                      <w:kern w:val="2"/>
                      <w:sz w:val="24"/>
                      <w:szCs w:val="24"/>
                      <w:vertAlign w:val="baseline"/>
                      <w:lang w:val="zh-CN" w:eastAsia="zh-CN" w:bidi="zh-CN"/>
                    </w:rPr>
                  </w:pPr>
                  <w:r>
                    <w:rPr>
                      <w:rFonts w:ascii="Times New Roman" w:hAnsi="Times New Roman" w:eastAsia="宋体"/>
                      <w:color w:val="auto"/>
                      <w:spacing w:val="-4"/>
                      <w:position w:val="2"/>
                      <w:sz w:val="21"/>
                    </w:rPr>
                    <w:t>BOD</w:t>
                  </w:r>
                  <w:r>
                    <w:rPr>
                      <w:rFonts w:ascii="Times New Roman" w:hAnsi="Times New Roman" w:eastAsia="宋体"/>
                      <w:color w:val="auto"/>
                      <w:spacing w:val="-4"/>
                      <w:sz w:val="13"/>
                    </w:rPr>
                    <w:t>5</w:t>
                  </w:r>
                </w:p>
              </w:tc>
              <w:tc>
                <w:tcPr>
                  <w:tcW w:w="1992" w:type="dxa"/>
                  <w:tcBorders>
                    <w:tl2br w:val="nil"/>
                    <w:tr2bl w:val="nil"/>
                  </w:tcBorders>
                  <w:shd w:val="clear" w:color="auto" w:fill="auto"/>
                  <w:vAlign w:val="center"/>
                </w:tcPr>
                <w:p w14:paraId="24C47B68">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ascii="Times New Roman" w:hAnsi="Times New Roman" w:eastAsia="宋体" w:cs="宋体"/>
                      <w:color w:val="auto"/>
                      <w:kern w:val="2"/>
                      <w:sz w:val="24"/>
                      <w:szCs w:val="24"/>
                      <w:vertAlign w:val="baseline"/>
                      <w:lang w:val="zh-CN" w:eastAsia="zh-CN" w:bidi="zh-CN"/>
                    </w:rPr>
                  </w:pPr>
                  <w:r>
                    <w:rPr>
                      <w:rFonts w:ascii="Times New Roman" w:hAnsi="Times New Roman" w:eastAsia="宋体"/>
                      <w:color w:val="auto"/>
                      <w:spacing w:val="-2"/>
                      <w:sz w:val="21"/>
                    </w:rPr>
                    <w:t>10mg/L</w:t>
                  </w:r>
                </w:p>
              </w:tc>
              <w:tc>
                <w:tcPr>
                  <w:tcW w:w="1991" w:type="dxa"/>
                  <w:vMerge w:val="continue"/>
                  <w:tcBorders>
                    <w:tl2br w:val="nil"/>
                    <w:tr2bl w:val="nil"/>
                  </w:tcBorders>
                  <w:vAlign w:val="center"/>
                </w:tcPr>
                <w:p w14:paraId="506FF9AF">
                  <w:pPr>
                    <w:pStyle w:val="97"/>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ascii="Times New Roman" w:hAnsi="Times New Roman" w:eastAsia="宋体"/>
                      <w:color w:val="auto"/>
                      <w:sz w:val="24"/>
                      <w:vertAlign w:val="baseline"/>
                    </w:rPr>
                  </w:pPr>
                </w:p>
              </w:tc>
            </w:tr>
            <w:tr w14:paraId="369A15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13" w:hRule="atLeast"/>
              </w:trPr>
              <w:tc>
                <w:tcPr>
                  <w:tcW w:w="1990" w:type="dxa"/>
                  <w:tcBorders>
                    <w:tl2br w:val="nil"/>
                    <w:tr2bl w:val="nil"/>
                  </w:tcBorders>
                  <w:vAlign w:val="center"/>
                </w:tcPr>
                <w:p w14:paraId="51593192">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ascii="Times New Roman" w:hAnsi="Times New Roman" w:eastAsia="宋体"/>
                      <w:color w:val="auto"/>
                      <w:sz w:val="24"/>
                      <w:vertAlign w:val="baseline"/>
                    </w:rPr>
                  </w:pPr>
                  <w:r>
                    <w:rPr>
                      <w:rFonts w:ascii="Times New Roman" w:hAnsi="Times New Roman" w:eastAsia="宋体"/>
                      <w:color w:val="auto"/>
                      <w:spacing w:val="-10"/>
                      <w:sz w:val="21"/>
                    </w:rPr>
                    <w:t>3</w:t>
                  </w:r>
                </w:p>
              </w:tc>
              <w:tc>
                <w:tcPr>
                  <w:tcW w:w="1991" w:type="dxa"/>
                  <w:tcBorders>
                    <w:tl2br w:val="nil"/>
                    <w:tr2bl w:val="nil"/>
                  </w:tcBorders>
                  <w:shd w:val="clear" w:color="auto" w:fill="auto"/>
                  <w:vAlign w:val="center"/>
                </w:tcPr>
                <w:p w14:paraId="50594BE8">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ascii="Times New Roman" w:hAnsi="Times New Roman" w:eastAsia="宋体" w:cs="宋体"/>
                      <w:color w:val="auto"/>
                      <w:kern w:val="2"/>
                      <w:sz w:val="24"/>
                      <w:szCs w:val="24"/>
                      <w:vertAlign w:val="baseline"/>
                      <w:lang w:val="zh-CN" w:eastAsia="zh-CN" w:bidi="zh-CN"/>
                    </w:rPr>
                  </w:pPr>
                  <w:r>
                    <w:rPr>
                      <w:rFonts w:ascii="Times New Roman" w:hAnsi="Times New Roman" w:eastAsia="宋体"/>
                      <w:color w:val="auto"/>
                      <w:spacing w:val="-5"/>
                      <w:sz w:val="21"/>
                    </w:rPr>
                    <w:t>SS</w:t>
                  </w:r>
                </w:p>
              </w:tc>
              <w:tc>
                <w:tcPr>
                  <w:tcW w:w="1992" w:type="dxa"/>
                  <w:tcBorders>
                    <w:tl2br w:val="nil"/>
                    <w:tr2bl w:val="nil"/>
                  </w:tcBorders>
                  <w:shd w:val="clear" w:color="auto" w:fill="auto"/>
                  <w:vAlign w:val="center"/>
                </w:tcPr>
                <w:p w14:paraId="721EAC22">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ascii="Times New Roman" w:hAnsi="Times New Roman" w:eastAsia="宋体" w:cs="宋体"/>
                      <w:color w:val="auto"/>
                      <w:kern w:val="2"/>
                      <w:sz w:val="24"/>
                      <w:szCs w:val="24"/>
                      <w:vertAlign w:val="baseline"/>
                      <w:lang w:val="zh-CN" w:eastAsia="zh-CN" w:bidi="zh-CN"/>
                    </w:rPr>
                  </w:pPr>
                  <w:r>
                    <w:rPr>
                      <w:rFonts w:ascii="Times New Roman" w:hAnsi="Times New Roman" w:eastAsia="宋体"/>
                      <w:color w:val="auto"/>
                      <w:spacing w:val="-2"/>
                      <w:sz w:val="21"/>
                    </w:rPr>
                    <w:t>10mg/L</w:t>
                  </w:r>
                </w:p>
              </w:tc>
              <w:tc>
                <w:tcPr>
                  <w:tcW w:w="1991" w:type="dxa"/>
                  <w:vMerge w:val="continue"/>
                  <w:tcBorders>
                    <w:tl2br w:val="nil"/>
                    <w:tr2bl w:val="nil"/>
                  </w:tcBorders>
                  <w:vAlign w:val="center"/>
                </w:tcPr>
                <w:p w14:paraId="77A8A733">
                  <w:pPr>
                    <w:pStyle w:val="97"/>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ascii="Times New Roman" w:hAnsi="Times New Roman" w:eastAsia="宋体"/>
                      <w:color w:val="auto"/>
                      <w:sz w:val="24"/>
                      <w:vertAlign w:val="baseline"/>
                    </w:rPr>
                  </w:pPr>
                </w:p>
              </w:tc>
            </w:tr>
            <w:tr w14:paraId="23A72E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13" w:hRule="atLeast"/>
              </w:trPr>
              <w:tc>
                <w:tcPr>
                  <w:tcW w:w="1990" w:type="dxa"/>
                  <w:tcBorders>
                    <w:tl2br w:val="nil"/>
                    <w:tr2bl w:val="nil"/>
                  </w:tcBorders>
                  <w:vAlign w:val="center"/>
                </w:tcPr>
                <w:p w14:paraId="19D4AB91">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ascii="Times New Roman" w:hAnsi="Times New Roman" w:eastAsia="宋体"/>
                      <w:color w:val="auto"/>
                      <w:sz w:val="24"/>
                      <w:vertAlign w:val="baseline"/>
                    </w:rPr>
                  </w:pPr>
                  <w:r>
                    <w:rPr>
                      <w:rFonts w:ascii="Times New Roman" w:hAnsi="Times New Roman" w:eastAsia="宋体"/>
                      <w:color w:val="auto"/>
                      <w:spacing w:val="-10"/>
                      <w:sz w:val="21"/>
                    </w:rPr>
                    <w:t>4</w:t>
                  </w:r>
                </w:p>
              </w:tc>
              <w:tc>
                <w:tcPr>
                  <w:tcW w:w="1991" w:type="dxa"/>
                  <w:tcBorders>
                    <w:tl2br w:val="nil"/>
                    <w:tr2bl w:val="nil"/>
                  </w:tcBorders>
                  <w:shd w:val="clear" w:color="auto" w:fill="auto"/>
                  <w:vAlign w:val="center"/>
                </w:tcPr>
                <w:p w14:paraId="141FC117">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ascii="Times New Roman" w:hAnsi="Times New Roman" w:eastAsia="宋体" w:cs="宋体"/>
                      <w:color w:val="auto"/>
                      <w:kern w:val="2"/>
                      <w:sz w:val="24"/>
                      <w:szCs w:val="24"/>
                      <w:vertAlign w:val="baseline"/>
                      <w:lang w:val="zh-CN" w:eastAsia="zh-CN" w:bidi="zh-CN"/>
                    </w:rPr>
                  </w:pPr>
                  <w:r>
                    <w:rPr>
                      <w:rFonts w:ascii="Times New Roman" w:hAnsi="Times New Roman" w:eastAsia="宋体"/>
                      <w:color w:val="auto"/>
                      <w:spacing w:val="-2"/>
                      <w:position w:val="2"/>
                      <w:sz w:val="21"/>
                    </w:rPr>
                    <w:t>NH</w:t>
                  </w:r>
                  <w:r>
                    <w:rPr>
                      <w:rFonts w:ascii="Times New Roman" w:hAnsi="Times New Roman" w:eastAsia="宋体"/>
                      <w:color w:val="auto"/>
                      <w:spacing w:val="-2"/>
                      <w:sz w:val="13"/>
                    </w:rPr>
                    <w:t>3</w:t>
                  </w:r>
                  <w:r>
                    <w:rPr>
                      <w:rFonts w:ascii="Times New Roman" w:hAnsi="Times New Roman" w:eastAsia="宋体"/>
                      <w:color w:val="auto"/>
                      <w:spacing w:val="-2"/>
                      <w:position w:val="2"/>
                      <w:sz w:val="21"/>
                    </w:rPr>
                    <w:t>-</w:t>
                  </w:r>
                  <w:r>
                    <w:rPr>
                      <w:rFonts w:ascii="Times New Roman" w:hAnsi="Times New Roman" w:eastAsia="宋体"/>
                      <w:color w:val="auto"/>
                      <w:spacing w:val="-10"/>
                      <w:position w:val="2"/>
                      <w:sz w:val="21"/>
                    </w:rPr>
                    <w:t>N</w:t>
                  </w:r>
                </w:p>
              </w:tc>
              <w:tc>
                <w:tcPr>
                  <w:tcW w:w="1992" w:type="dxa"/>
                  <w:tcBorders>
                    <w:tl2br w:val="nil"/>
                    <w:tr2bl w:val="nil"/>
                  </w:tcBorders>
                  <w:shd w:val="clear" w:color="auto" w:fill="auto"/>
                  <w:vAlign w:val="center"/>
                </w:tcPr>
                <w:p w14:paraId="4ECF1B5C">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ascii="Times New Roman" w:hAnsi="Times New Roman" w:eastAsia="宋体" w:cs="宋体"/>
                      <w:color w:val="auto"/>
                      <w:kern w:val="2"/>
                      <w:sz w:val="24"/>
                      <w:szCs w:val="24"/>
                      <w:vertAlign w:val="baseline"/>
                      <w:lang w:val="zh-CN" w:eastAsia="zh-CN" w:bidi="zh-CN"/>
                    </w:rPr>
                  </w:pPr>
                  <w:r>
                    <w:rPr>
                      <w:rFonts w:ascii="Times New Roman" w:hAnsi="Times New Roman" w:eastAsia="宋体"/>
                      <w:color w:val="auto"/>
                      <w:spacing w:val="-2"/>
                      <w:sz w:val="21"/>
                    </w:rPr>
                    <w:t>5mg/L</w:t>
                  </w:r>
                </w:p>
              </w:tc>
              <w:tc>
                <w:tcPr>
                  <w:tcW w:w="1991" w:type="dxa"/>
                  <w:vMerge w:val="continue"/>
                  <w:tcBorders>
                    <w:tl2br w:val="nil"/>
                    <w:tr2bl w:val="nil"/>
                  </w:tcBorders>
                  <w:vAlign w:val="center"/>
                </w:tcPr>
                <w:p w14:paraId="5A46114E">
                  <w:pPr>
                    <w:pStyle w:val="97"/>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ascii="Times New Roman" w:hAnsi="Times New Roman" w:eastAsia="宋体"/>
                      <w:color w:val="auto"/>
                      <w:sz w:val="24"/>
                      <w:vertAlign w:val="baseline"/>
                    </w:rPr>
                  </w:pPr>
                </w:p>
              </w:tc>
            </w:tr>
            <w:tr w14:paraId="6AD8BFD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13" w:hRule="atLeast"/>
              </w:trPr>
              <w:tc>
                <w:tcPr>
                  <w:tcW w:w="1990" w:type="dxa"/>
                  <w:tcBorders>
                    <w:tl2br w:val="nil"/>
                    <w:tr2bl w:val="nil"/>
                  </w:tcBorders>
                  <w:vAlign w:val="center"/>
                </w:tcPr>
                <w:p w14:paraId="69A01AFD">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ascii="Times New Roman" w:hAnsi="Times New Roman" w:eastAsia="宋体"/>
                      <w:color w:val="auto"/>
                      <w:sz w:val="24"/>
                      <w:vertAlign w:val="baseline"/>
                    </w:rPr>
                  </w:pPr>
                  <w:r>
                    <w:rPr>
                      <w:rFonts w:ascii="Times New Roman" w:hAnsi="Times New Roman" w:eastAsia="宋体"/>
                      <w:color w:val="auto"/>
                      <w:spacing w:val="-10"/>
                      <w:sz w:val="21"/>
                    </w:rPr>
                    <w:t>5</w:t>
                  </w:r>
                </w:p>
              </w:tc>
              <w:tc>
                <w:tcPr>
                  <w:tcW w:w="1991" w:type="dxa"/>
                  <w:tcBorders>
                    <w:tl2br w:val="nil"/>
                    <w:tr2bl w:val="nil"/>
                  </w:tcBorders>
                  <w:shd w:val="clear" w:color="auto" w:fill="auto"/>
                  <w:vAlign w:val="center"/>
                </w:tcPr>
                <w:p w14:paraId="3B0B44B8">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default" w:ascii="Times New Roman" w:hAnsi="Times New Roman" w:eastAsia="宋体" w:cs="宋体"/>
                      <w:color w:val="auto"/>
                      <w:kern w:val="2"/>
                      <w:sz w:val="24"/>
                      <w:szCs w:val="24"/>
                      <w:vertAlign w:val="baseline"/>
                      <w:lang w:val="en-US" w:eastAsia="zh-CN" w:bidi="zh-CN"/>
                    </w:rPr>
                  </w:pPr>
                  <w:r>
                    <w:rPr>
                      <w:rFonts w:hint="eastAsia" w:ascii="Times New Roman" w:hAnsi="Times New Roman" w:eastAsia="宋体"/>
                      <w:color w:val="auto"/>
                      <w:sz w:val="21"/>
                      <w:szCs w:val="21"/>
                      <w:vertAlign w:val="baseline"/>
                      <w:lang w:val="en-US" w:eastAsia="zh-CN"/>
                    </w:rPr>
                    <w:t>动植物油</w:t>
                  </w:r>
                </w:p>
              </w:tc>
              <w:tc>
                <w:tcPr>
                  <w:tcW w:w="1992" w:type="dxa"/>
                  <w:tcBorders>
                    <w:tl2br w:val="nil"/>
                    <w:tr2bl w:val="nil"/>
                  </w:tcBorders>
                  <w:shd w:val="clear" w:color="auto" w:fill="auto"/>
                  <w:vAlign w:val="center"/>
                </w:tcPr>
                <w:p w14:paraId="05166DAA">
                  <w:pPr>
                    <w:keepNext w:val="0"/>
                    <w:keepLines w:val="0"/>
                    <w:pageBreakBefore w:val="0"/>
                    <w:widowControl w:val="0"/>
                    <w:tabs>
                      <w:tab w:val="left" w:pos="3741"/>
                      <w:tab w:val="left" w:pos="5726"/>
                    </w:tabs>
                    <w:kinsoku/>
                    <w:wordWrap/>
                    <w:overflowPunct/>
                    <w:topLinePunct w:val="0"/>
                    <w:autoSpaceDE/>
                    <w:autoSpaceDN/>
                    <w:bidi w:val="0"/>
                    <w:adjustRightInd/>
                    <w:snapToGrid/>
                    <w:spacing w:line="240" w:lineRule="auto"/>
                    <w:ind w:right="0" w:rightChars="0"/>
                    <w:jc w:val="center"/>
                    <w:textAlignment w:val="auto"/>
                    <w:rPr>
                      <w:rFonts w:hint="eastAsia" w:ascii="Times New Roman" w:hAnsi="Times New Roman" w:eastAsia="宋体" w:cs="Times New Roman"/>
                      <w:color w:val="auto"/>
                      <w:kern w:val="2"/>
                      <w:sz w:val="24"/>
                      <w:szCs w:val="24"/>
                      <w:vertAlign w:val="baseline"/>
                      <w:lang w:val="en-US" w:eastAsia="zh-CN" w:bidi="ar-SA"/>
                    </w:rPr>
                  </w:pPr>
                  <w:r>
                    <w:rPr>
                      <w:rFonts w:ascii="Times New Roman" w:hAnsi="Times New Roman" w:eastAsia="宋体"/>
                      <w:color w:val="auto"/>
                      <w:spacing w:val="-4"/>
                      <w:sz w:val="21"/>
                    </w:rPr>
                    <w:t>1mg/L</w:t>
                  </w:r>
                </w:p>
              </w:tc>
              <w:tc>
                <w:tcPr>
                  <w:tcW w:w="1991" w:type="dxa"/>
                  <w:vMerge w:val="continue"/>
                  <w:tcBorders>
                    <w:tl2br w:val="nil"/>
                    <w:tr2bl w:val="nil"/>
                  </w:tcBorders>
                  <w:vAlign w:val="center"/>
                </w:tcPr>
                <w:p w14:paraId="0BB9F05F">
                  <w:pPr>
                    <w:pStyle w:val="97"/>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ascii="Times New Roman" w:hAnsi="Times New Roman" w:eastAsia="宋体"/>
                      <w:color w:val="auto"/>
                      <w:sz w:val="24"/>
                      <w:vertAlign w:val="baseline"/>
                    </w:rPr>
                  </w:pPr>
                </w:p>
              </w:tc>
            </w:tr>
            <w:tr w14:paraId="05CA1D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13" w:hRule="atLeast"/>
              </w:trPr>
              <w:tc>
                <w:tcPr>
                  <w:tcW w:w="1990" w:type="dxa"/>
                  <w:tcBorders>
                    <w:tl2br w:val="nil"/>
                    <w:tr2bl w:val="nil"/>
                  </w:tcBorders>
                  <w:vAlign w:val="center"/>
                </w:tcPr>
                <w:p w14:paraId="32DAA65B">
                  <w:pPr>
                    <w:pStyle w:val="97"/>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hint="eastAsia" w:ascii="Times New Roman" w:hAnsi="Times New Roman" w:eastAsia="宋体"/>
                      <w:color w:val="auto"/>
                      <w:sz w:val="24"/>
                      <w:vertAlign w:val="baseline"/>
                      <w:lang w:val="en-US" w:eastAsia="zh-CN"/>
                    </w:rPr>
                  </w:pPr>
                  <w:r>
                    <w:rPr>
                      <w:rFonts w:hint="eastAsia" w:ascii="Times New Roman" w:hAnsi="Times New Roman" w:eastAsia="宋体"/>
                      <w:color w:val="auto"/>
                      <w:sz w:val="24"/>
                      <w:vertAlign w:val="baseline"/>
                      <w:lang w:val="en-US" w:eastAsia="zh-CN"/>
                    </w:rPr>
                    <w:t>6</w:t>
                  </w:r>
                </w:p>
              </w:tc>
              <w:tc>
                <w:tcPr>
                  <w:tcW w:w="1991" w:type="dxa"/>
                  <w:tcBorders>
                    <w:tl2br w:val="nil"/>
                    <w:tr2bl w:val="nil"/>
                  </w:tcBorders>
                  <w:shd w:val="clear" w:color="auto" w:fill="auto"/>
                  <w:vAlign w:val="center"/>
                </w:tcPr>
                <w:p w14:paraId="4900A435">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default" w:ascii="Times New Roman" w:hAnsi="Times New Roman" w:eastAsia="宋体" w:cs="宋体"/>
                      <w:color w:val="auto"/>
                      <w:kern w:val="2"/>
                      <w:sz w:val="21"/>
                      <w:szCs w:val="21"/>
                      <w:vertAlign w:val="baseline"/>
                      <w:lang w:val="en-US" w:eastAsia="zh-CN" w:bidi="zh-CN"/>
                    </w:rPr>
                  </w:pPr>
                  <w:r>
                    <w:rPr>
                      <w:rFonts w:hint="eastAsia" w:ascii="Times New Roman" w:hAnsi="Times New Roman"/>
                      <w:color w:val="auto"/>
                      <w:sz w:val="21"/>
                      <w:szCs w:val="21"/>
                      <w:vertAlign w:val="baseline"/>
                      <w:lang w:val="en-US" w:eastAsia="zh-CN"/>
                    </w:rPr>
                    <w:t>LAS</w:t>
                  </w:r>
                </w:p>
              </w:tc>
              <w:tc>
                <w:tcPr>
                  <w:tcW w:w="1992" w:type="dxa"/>
                  <w:tcBorders>
                    <w:tl2br w:val="nil"/>
                    <w:tr2bl w:val="nil"/>
                  </w:tcBorders>
                  <w:shd w:val="clear" w:color="auto" w:fill="auto"/>
                  <w:vAlign w:val="center"/>
                </w:tcPr>
                <w:p w14:paraId="3AA037AA">
                  <w:pPr>
                    <w:keepNext w:val="0"/>
                    <w:keepLines w:val="0"/>
                    <w:pageBreakBefore w:val="0"/>
                    <w:widowControl w:val="0"/>
                    <w:tabs>
                      <w:tab w:val="left" w:pos="3741"/>
                      <w:tab w:val="left" w:pos="5726"/>
                    </w:tabs>
                    <w:kinsoku/>
                    <w:wordWrap/>
                    <w:overflowPunct/>
                    <w:topLinePunct w:val="0"/>
                    <w:autoSpaceDE/>
                    <w:autoSpaceDN/>
                    <w:bidi w:val="0"/>
                    <w:adjustRightInd/>
                    <w:snapToGrid/>
                    <w:spacing w:line="240" w:lineRule="auto"/>
                    <w:ind w:right="0" w:rightChars="0"/>
                    <w:jc w:val="center"/>
                    <w:textAlignment w:val="auto"/>
                    <w:rPr>
                      <w:rFonts w:hint="eastAsia" w:ascii="Times New Roman" w:hAnsi="Times New Roman" w:eastAsia="宋体" w:cs="Times New Roman"/>
                      <w:color w:val="auto"/>
                      <w:spacing w:val="-4"/>
                      <w:kern w:val="2"/>
                      <w:sz w:val="21"/>
                      <w:szCs w:val="24"/>
                      <w:lang w:val="en-US" w:eastAsia="zh-CN" w:bidi="ar-SA"/>
                    </w:rPr>
                  </w:pPr>
                  <w:r>
                    <w:rPr>
                      <w:rFonts w:hint="eastAsia"/>
                      <w:color w:val="auto"/>
                      <w:spacing w:val="-4"/>
                      <w:sz w:val="21"/>
                      <w:lang w:val="en-US" w:eastAsia="zh-CN"/>
                    </w:rPr>
                    <w:t>0.5</w:t>
                  </w:r>
                  <w:r>
                    <w:rPr>
                      <w:rFonts w:ascii="Times New Roman" w:hAnsi="Times New Roman" w:eastAsia="宋体"/>
                      <w:color w:val="auto"/>
                      <w:spacing w:val="-4"/>
                      <w:sz w:val="21"/>
                    </w:rPr>
                    <w:t>mg/L</w:t>
                  </w:r>
                </w:p>
              </w:tc>
              <w:tc>
                <w:tcPr>
                  <w:tcW w:w="1991" w:type="dxa"/>
                  <w:vMerge w:val="continue"/>
                  <w:tcBorders>
                    <w:tl2br w:val="nil"/>
                    <w:tr2bl w:val="nil"/>
                  </w:tcBorders>
                  <w:vAlign w:val="center"/>
                </w:tcPr>
                <w:p w14:paraId="7518DA6A">
                  <w:pPr>
                    <w:pStyle w:val="97"/>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ascii="Times New Roman" w:hAnsi="Times New Roman" w:eastAsia="宋体"/>
                      <w:color w:val="auto"/>
                      <w:sz w:val="24"/>
                      <w:vertAlign w:val="baseline"/>
                    </w:rPr>
                  </w:pPr>
                </w:p>
              </w:tc>
            </w:tr>
            <w:tr w14:paraId="7AF034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13" w:hRule="atLeast"/>
              </w:trPr>
              <w:tc>
                <w:tcPr>
                  <w:tcW w:w="1990" w:type="dxa"/>
                  <w:tcBorders>
                    <w:tl2br w:val="nil"/>
                    <w:tr2bl w:val="nil"/>
                  </w:tcBorders>
                  <w:vAlign w:val="center"/>
                </w:tcPr>
                <w:p w14:paraId="2BDE6524">
                  <w:pPr>
                    <w:pStyle w:val="97"/>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hint="default" w:ascii="Times New Roman" w:hAnsi="Times New Roman" w:eastAsia="宋体"/>
                      <w:color w:val="auto"/>
                      <w:sz w:val="24"/>
                      <w:vertAlign w:val="baseline"/>
                      <w:lang w:val="en-US" w:eastAsia="zh-CN"/>
                    </w:rPr>
                  </w:pPr>
                  <w:r>
                    <w:rPr>
                      <w:rFonts w:hint="eastAsia" w:ascii="Times New Roman" w:hAnsi="Times New Roman"/>
                      <w:color w:val="auto"/>
                      <w:sz w:val="24"/>
                      <w:vertAlign w:val="baseline"/>
                      <w:lang w:val="en-US" w:eastAsia="zh-CN"/>
                    </w:rPr>
                    <w:t>7</w:t>
                  </w:r>
                </w:p>
              </w:tc>
              <w:tc>
                <w:tcPr>
                  <w:tcW w:w="1991" w:type="dxa"/>
                  <w:tcBorders>
                    <w:tl2br w:val="nil"/>
                    <w:tr2bl w:val="nil"/>
                  </w:tcBorders>
                  <w:shd w:val="clear" w:color="auto" w:fill="auto"/>
                  <w:vAlign w:val="center"/>
                </w:tcPr>
                <w:p w14:paraId="5774713F">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default" w:ascii="Times New Roman" w:hAnsi="Times New Roman" w:eastAsia="宋体" w:cs="宋体"/>
                      <w:color w:val="auto"/>
                      <w:kern w:val="2"/>
                      <w:sz w:val="21"/>
                      <w:szCs w:val="21"/>
                      <w:vertAlign w:val="baseline"/>
                      <w:lang w:val="en-US" w:eastAsia="zh-CN" w:bidi="zh-CN"/>
                    </w:rPr>
                  </w:pPr>
                  <w:r>
                    <w:rPr>
                      <w:rFonts w:hint="eastAsia" w:ascii="Times New Roman" w:hAnsi="Times New Roman"/>
                      <w:color w:val="auto"/>
                      <w:sz w:val="21"/>
                      <w:szCs w:val="21"/>
                      <w:vertAlign w:val="baseline"/>
                      <w:lang w:val="en-US" w:eastAsia="zh-CN"/>
                    </w:rPr>
                    <w:t>石油类</w:t>
                  </w:r>
                </w:p>
              </w:tc>
              <w:tc>
                <w:tcPr>
                  <w:tcW w:w="1992" w:type="dxa"/>
                  <w:tcBorders>
                    <w:tl2br w:val="nil"/>
                    <w:tr2bl w:val="nil"/>
                  </w:tcBorders>
                  <w:shd w:val="clear" w:color="auto" w:fill="auto"/>
                  <w:vAlign w:val="center"/>
                </w:tcPr>
                <w:p w14:paraId="2E029D48">
                  <w:pPr>
                    <w:keepNext w:val="0"/>
                    <w:keepLines w:val="0"/>
                    <w:pageBreakBefore w:val="0"/>
                    <w:widowControl w:val="0"/>
                    <w:tabs>
                      <w:tab w:val="left" w:pos="3741"/>
                      <w:tab w:val="left" w:pos="5726"/>
                    </w:tabs>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auto"/>
                      <w:spacing w:val="-4"/>
                      <w:kern w:val="2"/>
                      <w:sz w:val="21"/>
                      <w:szCs w:val="24"/>
                      <w:lang w:val="en-US" w:eastAsia="zh-CN" w:bidi="ar-SA"/>
                    </w:rPr>
                  </w:pPr>
                  <w:r>
                    <w:rPr>
                      <w:rFonts w:hint="eastAsia"/>
                      <w:color w:val="auto"/>
                      <w:spacing w:val="-4"/>
                      <w:sz w:val="21"/>
                      <w:lang w:val="en-US" w:eastAsia="zh-CN"/>
                    </w:rPr>
                    <w:t>1</w:t>
                  </w:r>
                  <w:r>
                    <w:rPr>
                      <w:rFonts w:ascii="Times New Roman" w:hAnsi="Times New Roman" w:eastAsia="宋体"/>
                      <w:color w:val="auto"/>
                      <w:spacing w:val="-4"/>
                      <w:sz w:val="21"/>
                    </w:rPr>
                    <w:t>mg/L</w:t>
                  </w:r>
                </w:p>
              </w:tc>
              <w:tc>
                <w:tcPr>
                  <w:tcW w:w="1991" w:type="dxa"/>
                  <w:vMerge w:val="continue"/>
                  <w:tcBorders>
                    <w:tl2br w:val="nil"/>
                    <w:tr2bl w:val="nil"/>
                  </w:tcBorders>
                  <w:vAlign w:val="center"/>
                </w:tcPr>
                <w:p w14:paraId="64598A2D">
                  <w:pPr>
                    <w:pStyle w:val="97"/>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ascii="Times New Roman" w:hAnsi="Times New Roman" w:eastAsia="宋体"/>
                      <w:color w:val="auto"/>
                      <w:sz w:val="24"/>
                      <w:vertAlign w:val="baseline"/>
                    </w:rPr>
                  </w:pPr>
                </w:p>
              </w:tc>
            </w:tr>
            <w:tr w14:paraId="48FA255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1990" w:type="dxa"/>
                  <w:tcBorders>
                    <w:tl2br w:val="nil"/>
                    <w:tr2bl w:val="nil"/>
                  </w:tcBorders>
                  <w:vAlign w:val="center"/>
                </w:tcPr>
                <w:p w14:paraId="59A8D0B0">
                  <w:pPr>
                    <w:pStyle w:val="97"/>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hint="default" w:ascii="Times New Roman" w:hAnsi="Times New Roman" w:eastAsia="宋体"/>
                      <w:color w:val="auto"/>
                      <w:sz w:val="24"/>
                      <w:vertAlign w:val="baseline"/>
                      <w:lang w:val="en-US" w:eastAsia="zh-CN"/>
                    </w:rPr>
                  </w:pPr>
                  <w:r>
                    <w:rPr>
                      <w:rFonts w:hint="eastAsia" w:ascii="Times New Roman" w:hAnsi="Times New Roman"/>
                      <w:color w:val="auto"/>
                      <w:sz w:val="24"/>
                      <w:vertAlign w:val="baseline"/>
                      <w:lang w:val="en-US" w:eastAsia="zh-CN"/>
                    </w:rPr>
                    <w:t>8</w:t>
                  </w:r>
                </w:p>
              </w:tc>
              <w:tc>
                <w:tcPr>
                  <w:tcW w:w="1991" w:type="dxa"/>
                  <w:tcBorders>
                    <w:tl2br w:val="nil"/>
                    <w:tr2bl w:val="nil"/>
                  </w:tcBorders>
                  <w:shd w:val="clear" w:color="auto" w:fill="auto"/>
                  <w:vAlign w:val="center"/>
                </w:tcPr>
                <w:p w14:paraId="485D4827">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default" w:ascii="Times New Roman" w:hAnsi="Times New Roman" w:eastAsia="宋体" w:cs="宋体"/>
                      <w:color w:val="auto"/>
                      <w:kern w:val="2"/>
                      <w:sz w:val="21"/>
                      <w:szCs w:val="21"/>
                      <w:vertAlign w:val="baseline"/>
                      <w:lang w:val="en-US" w:eastAsia="zh-CN" w:bidi="zh-CN"/>
                    </w:rPr>
                  </w:pPr>
                  <w:r>
                    <w:rPr>
                      <w:rFonts w:hint="eastAsia" w:ascii="Times New Roman" w:hAnsi="Times New Roman"/>
                      <w:color w:val="auto"/>
                      <w:sz w:val="21"/>
                      <w:szCs w:val="21"/>
                      <w:vertAlign w:val="baseline"/>
                      <w:lang w:val="en-US" w:eastAsia="zh-CN"/>
                    </w:rPr>
                    <w:t>挥发酚</w:t>
                  </w:r>
                </w:p>
              </w:tc>
              <w:tc>
                <w:tcPr>
                  <w:tcW w:w="1992" w:type="dxa"/>
                  <w:tcBorders>
                    <w:tl2br w:val="nil"/>
                    <w:tr2bl w:val="nil"/>
                  </w:tcBorders>
                  <w:shd w:val="clear" w:color="auto" w:fill="auto"/>
                  <w:vAlign w:val="center"/>
                </w:tcPr>
                <w:p w14:paraId="4F3BFEBD">
                  <w:pPr>
                    <w:keepNext w:val="0"/>
                    <w:keepLines w:val="0"/>
                    <w:pageBreakBefore w:val="0"/>
                    <w:widowControl w:val="0"/>
                    <w:tabs>
                      <w:tab w:val="left" w:pos="3741"/>
                      <w:tab w:val="left" w:pos="5726"/>
                    </w:tabs>
                    <w:kinsoku/>
                    <w:wordWrap/>
                    <w:overflowPunct/>
                    <w:topLinePunct w:val="0"/>
                    <w:autoSpaceDE/>
                    <w:autoSpaceDN/>
                    <w:bidi w:val="0"/>
                    <w:adjustRightInd/>
                    <w:snapToGrid/>
                    <w:spacing w:line="240" w:lineRule="auto"/>
                    <w:ind w:right="0" w:rightChars="0"/>
                    <w:jc w:val="center"/>
                    <w:textAlignment w:val="auto"/>
                    <w:rPr>
                      <w:rFonts w:hint="eastAsia" w:ascii="Times New Roman" w:hAnsi="Times New Roman" w:eastAsia="宋体" w:cs="Times New Roman"/>
                      <w:color w:val="auto"/>
                      <w:spacing w:val="-4"/>
                      <w:kern w:val="2"/>
                      <w:sz w:val="21"/>
                      <w:szCs w:val="24"/>
                      <w:lang w:val="en-US" w:eastAsia="zh-CN" w:bidi="ar-SA"/>
                    </w:rPr>
                  </w:pPr>
                  <w:r>
                    <w:rPr>
                      <w:rFonts w:hint="eastAsia"/>
                      <w:color w:val="auto"/>
                      <w:spacing w:val="-4"/>
                      <w:sz w:val="21"/>
                      <w:lang w:val="en-US" w:eastAsia="zh-CN"/>
                    </w:rPr>
                    <w:t>0.5</w:t>
                  </w:r>
                  <w:r>
                    <w:rPr>
                      <w:rFonts w:ascii="Times New Roman" w:hAnsi="Times New Roman" w:eastAsia="宋体"/>
                      <w:color w:val="auto"/>
                      <w:spacing w:val="-4"/>
                      <w:sz w:val="21"/>
                    </w:rPr>
                    <w:t>mg/L</w:t>
                  </w:r>
                </w:p>
              </w:tc>
              <w:tc>
                <w:tcPr>
                  <w:tcW w:w="1991" w:type="dxa"/>
                  <w:vMerge w:val="continue"/>
                  <w:tcBorders>
                    <w:tl2br w:val="nil"/>
                    <w:tr2bl w:val="nil"/>
                  </w:tcBorders>
                  <w:vAlign w:val="center"/>
                </w:tcPr>
                <w:p w14:paraId="11CC6642">
                  <w:pPr>
                    <w:pStyle w:val="97"/>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ascii="Times New Roman" w:hAnsi="Times New Roman" w:eastAsia="宋体"/>
                      <w:color w:val="auto"/>
                      <w:sz w:val="24"/>
                      <w:vertAlign w:val="baseline"/>
                    </w:rPr>
                  </w:pPr>
                </w:p>
              </w:tc>
            </w:tr>
            <w:tr w14:paraId="5CBB5BD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13" w:hRule="atLeast"/>
              </w:trPr>
              <w:tc>
                <w:tcPr>
                  <w:tcW w:w="1990" w:type="dxa"/>
                  <w:tcBorders>
                    <w:tl2br w:val="nil"/>
                    <w:tr2bl w:val="nil"/>
                  </w:tcBorders>
                  <w:vAlign w:val="center"/>
                </w:tcPr>
                <w:p w14:paraId="194759BC">
                  <w:pPr>
                    <w:pStyle w:val="97"/>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hint="default" w:ascii="Times New Roman" w:hAnsi="Times New Roman" w:eastAsia="宋体"/>
                      <w:color w:val="auto"/>
                      <w:sz w:val="24"/>
                      <w:vertAlign w:val="baseline"/>
                      <w:lang w:val="en-US" w:eastAsia="zh-CN"/>
                    </w:rPr>
                  </w:pPr>
                  <w:r>
                    <w:rPr>
                      <w:rFonts w:hint="eastAsia" w:ascii="Times New Roman" w:hAnsi="Times New Roman"/>
                      <w:color w:val="auto"/>
                      <w:sz w:val="24"/>
                      <w:vertAlign w:val="baseline"/>
                      <w:lang w:val="en-US" w:eastAsia="zh-CN"/>
                    </w:rPr>
                    <w:t>9</w:t>
                  </w:r>
                </w:p>
              </w:tc>
              <w:tc>
                <w:tcPr>
                  <w:tcW w:w="1991" w:type="dxa"/>
                  <w:tcBorders>
                    <w:tl2br w:val="nil"/>
                    <w:tr2bl w:val="nil"/>
                  </w:tcBorders>
                  <w:shd w:val="clear" w:color="auto" w:fill="auto"/>
                  <w:vAlign w:val="center"/>
                </w:tcPr>
                <w:p w14:paraId="57B80A6E">
                  <w:pPr>
                    <w:pStyle w:val="97"/>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default" w:ascii="Times New Roman" w:hAnsi="Times New Roman" w:eastAsia="宋体" w:cs="宋体"/>
                      <w:color w:val="auto"/>
                      <w:kern w:val="2"/>
                      <w:sz w:val="21"/>
                      <w:szCs w:val="21"/>
                      <w:vertAlign w:val="baseline"/>
                      <w:lang w:val="en-US" w:eastAsia="zh-CN" w:bidi="zh-CN"/>
                    </w:rPr>
                  </w:pPr>
                  <w:r>
                    <w:rPr>
                      <w:rFonts w:hint="eastAsia" w:ascii="Times New Roman" w:hAnsi="Times New Roman"/>
                      <w:color w:val="auto"/>
                      <w:sz w:val="21"/>
                      <w:szCs w:val="21"/>
                      <w:vertAlign w:val="baseline"/>
                      <w:lang w:val="en-US" w:eastAsia="zh-CN"/>
                    </w:rPr>
                    <w:t>总氰化合物</w:t>
                  </w:r>
                </w:p>
              </w:tc>
              <w:tc>
                <w:tcPr>
                  <w:tcW w:w="1992" w:type="dxa"/>
                  <w:tcBorders>
                    <w:tl2br w:val="nil"/>
                    <w:tr2bl w:val="nil"/>
                  </w:tcBorders>
                  <w:shd w:val="clear" w:color="auto" w:fill="auto"/>
                  <w:vAlign w:val="center"/>
                </w:tcPr>
                <w:p w14:paraId="2F0FCC1C">
                  <w:pPr>
                    <w:keepNext w:val="0"/>
                    <w:keepLines w:val="0"/>
                    <w:pageBreakBefore w:val="0"/>
                    <w:widowControl w:val="0"/>
                    <w:tabs>
                      <w:tab w:val="left" w:pos="3741"/>
                      <w:tab w:val="left" w:pos="5726"/>
                    </w:tabs>
                    <w:kinsoku/>
                    <w:wordWrap/>
                    <w:overflowPunct/>
                    <w:topLinePunct w:val="0"/>
                    <w:autoSpaceDE/>
                    <w:autoSpaceDN/>
                    <w:bidi w:val="0"/>
                    <w:adjustRightInd/>
                    <w:snapToGrid/>
                    <w:spacing w:line="240" w:lineRule="auto"/>
                    <w:ind w:right="0" w:rightChars="0"/>
                    <w:jc w:val="center"/>
                    <w:textAlignment w:val="auto"/>
                    <w:rPr>
                      <w:rFonts w:hint="default" w:ascii="Times New Roman" w:hAnsi="Times New Roman" w:eastAsia="宋体" w:cs="Times New Roman"/>
                      <w:color w:val="auto"/>
                      <w:spacing w:val="-4"/>
                      <w:kern w:val="2"/>
                      <w:sz w:val="21"/>
                      <w:szCs w:val="24"/>
                      <w:lang w:val="en-US" w:eastAsia="zh-CN" w:bidi="ar-SA"/>
                    </w:rPr>
                  </w:pPr>
                  <w:r>
                    <w:rPr>
                      <w:rFonts w:hint="eastAsia"/>
                      <w:color w:val="auto"/>
                      <w:spacing w:val="-4"/>
                      <w:sz w:val="21"/>
                      <w:lang w:val="en-US" w:eastAsia="zh-CN"/>
                    </w:rPr>
                    <w:t>0.5</w:t>
                  </w:r>
                  <w:r>
                    <w:rPr>
                      <w:rFonts w:ascii="Times New Roman" w:hAnsi="Times New Roman" w:eastAsia="宋体"/>
                      <w:color w:val="auto"/>
                      <w:spacing w:val="-4"/>
                      <w:sz w:val="21"/>
                    </w:rPr>
                    <w:t>mg/L</w:t>
                  </w:r>
                </w:p>
              </w:tc>
              <w:tc>
                <w:tcPr>
                  <w:tcW w:w="1991" w:type="dxa"/>
                  <w:vMerge w:val="continue"/>
                  <w:tcBorders>
                    <w:tl2br w:val="nil"/>
                    <w:tr2bl w:val="nil"/>
                  </w:tcBorders>
                  <w:vAlign w:val="center"/>
                </w:tcPr>
                <w:p w14:paraId="7B922D13">
                  <w:pPr>
                    <w:pStyle w:val="97"/>
                    <w:keepNext w:val="0"/>
                    <w:keepLines w:val="0"/>
                    <w:pageBreakBefore w:val="0"/>
                    <w:widowControl w:val="0"/>
                    <w:kinsoku/>
                    <w:wordWrap/>
                    <w:overflowPunct/>
                    <w:topLinePunct w:val="0"/>
                    <w:autoSpaceDE/>
                    <w:autoSpaceDN/>
                    <w:bidi w:val="0"/>
                    <w:adjustRightInd/>
                    <w:snapToGrid/>
                    <w:spacing w:line="240" w:lineRule="auto"/>
                    <w:ind w:left="0" w:right="0"/>
                    <w:textAlignment w:val="auto"/>
                    <w:rPr>
                      <w:rFonts w:ascii="Times New Roman" w:hAnsi="Times New Roman" w:eastAsia="宋体"/>
                      <w:color w:val="auto"/>
                      <w:sz w:val="24"/>
                      <w:vertAlign w:val="baseline"/>
                    </w:rPr>
                  </w:pPr>
                </w:p>
              </w:tc>
            </w:tr>
          </w:tbl>
          <w:p w14:paraId="5CE7A3C0">
            <w:pPr>
              <w:pStyle w:val="4"/>
              <w:numPr>
                <w:ilvl w:val="2"/>
                <w:numId w:val="1"/>
              </w:numPr>
              <w:bidi w:val="0"/>
              <w:ind w:left="720" w:leftChars="0" w:hanging="720" w:firstLineChars="0"/>
              <w:rPr>
                <w:rFonts w:hint="eastAsia"/>
                <w:color w:val="auto"/>
                <w:highlight w:val="none"/>
                <w:lang w:val="en-US" w:eastAsia="zh-CN"/>
              </w:rPr>
            </w:pPr>
            <w:r>
              <w:rPr>
                <w:rFonts w:hint="eastAsia"/>
                <w:color w:val="auto"/>
                <w:highlight w:val="none"/>
                <w:lang w:val="en-US" w:eastAsia="zh-CN"/>
              </w:rPr>
              <w:t>噪声排放标准</w:t>
            </w:r>
          </w:p>
          <w:p w14:paraId="784A0B26">
            <w:pPr>
              <w:pStyle w:val="4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leftChars="0" w:right="0" w:firstLine="480"/>
              <w:textAlignment w:val="auto"/>
              <w:rPr>
                <w:rFonts w:hint="default" w:ascii="Times New Roman" w:hAnsi="Times New Roman" w:cs="Times New Roman"/>
                <w:color w:val="auto"/>
                <w:highlight w:val="none"/>
              </w:rPr>
            </w:pPr>
            <w:r>
              <w:rPr>
                <w:rFonts w:hint="eastAsia" w:ascii="Times New Roman" w:hAnsi="Times New Roman" w:cs="Times New Roman"/>
                <w:color w:val="auto"/>
                <w:highlight w:val="none"/>
                <w:lang w:val="en-US" w:eastAsia="zh-CN"/>
              </w:rPr>
              <w:t>运营期</w:t>
            </w:r>
            <w:r>
              <w:rPr>
                <w:rFonts w:hint="default" w:ascii="Times New Roman" w:hAnsi="Times New Roman" w:cs="Times New Roman"/>
                <w:color w:val="auto"/>
                <w:highlight w:val="none"/>
              </w:rPr>
              <w:t>厂界噪声执行《工业企业厂界环境噪声排放标准》</w:t>
            </w:r>
            <w:r>
              <w:rPr>
                <w:rFonts w:hint="eastAsia" w:cs="Times New Roman"/>
                <w:color w:val="auto"/>
                <w:highlight w:val="none"/>
                <w:lang w:eastAsia="zh-CN"/>
              </w:rPr>
              <w:t>（</w:t>
            </w:r>
            <w:r>
              <w:rPr>
                <w:rFonts w:hint="default" w:ascii="Times New Roman" w:hAnsi="Times New Roman" w:cs="Times New Roman"/>
                <w:color w:val="auto"/>
                <w:highlight w:val="none"/>
              </w:rPr>
              <w:t>GB12348-2008</w:t>
            </w:r>
            <w:r>
              <w:rPr>
                <w:rFonts w:hint="eastAsia" w:cs="Times New Roman"/>
                <w:color w:val="auto"/>
                <w:highlight w:val="none"/>
                <w:lang w:eastAsia="zh-CN"/>
              </w:rPr>
              <w:t>）中</w:t>
            </w:r>
            <w:r>
              <w:rPr>
                <w:rFonts w:hint="eastAsia" w:cs="Times New Roman"/>
                <w:color w:val="auto"/>
                <w:highlight w:val="none"/>
                <w:lang w:val="en-US" w:eastAsia="zh-CN"/>
              </w:rPr>
              <w:t>2</w:t>
            </w:r>
            <w:r>
              <w:rPr>
                <w:rFonts w:hint="default" w:ascii="Times New Roman" w:hAnsi="Times New Roman" w:cs="Times New Roman"/>
                <w:color w:val="auto"/>
                <w:highlight w:val="none"/>
              </w:rPr>
              <w:t>类标准。</w:t>
            </w:r>
          </w:p>
          <w:p w14:paraId="76BE9C4A">
            <w:pPr>
              <w:pStyle w:val="44"/>
              <w:keepNext/>
              <w:keepLines/>
              <w:pageBreakBefore w:val="0"/>
              <w:widowControl w:val="0"/>
              <w:numPr>
                <w:ilvl w:val="7"/>
                <w:numId w:val="1"/>
              </w:numPr>
              <w:kinsoku/>
              <w:wordWrap/>
              <w:overflowPunct/>
              <w:topLinePunct w:val="0"/>
              <w:autoSpaceDE/>
              <w:autoSpaceDN/>
              <w:bidi w:val="0"/>
              <w:adjustRightInd/>
              <w:snapToGrid/>
              <w:spacing w:before="0" w:after="0"/>
              <w:ind w:left="630" w:leftChars="0" w:firstLine="0" w:firstLineChars="0"/>
              <w:textAlignment w:val="auto"/>
              <w:rPr>
                <w:rFonts w:hint="default" w:ascii="Times New Roman" w:hAnsi="Times New Roman" w:eastAsia="宋体" w:cs="宋体"/>
                <w:color w:val="auto"/>
                <w:highlight w:val="none"/>
                <w:lang w:val="en-US" w:eastAsia="zh-CN"/>
              </w:rPr>
            </w:pPr>
            <w:r>
              <w:rPr>
                <w:rFonts w:hint="default" w:ascii="Times New Roman" w:hAnsi="Times New Roman" w:eastAsia="宋体" w:cs="宋体"/>
                <w:color w:val="auto"/>
                <w:highlight w:val="none"/>
                <w:lang w:val="en-US" w:eastAsia="zh-CN"/>
              </w:rPr>
              <w:t>工业企业厂界环境噪声</w:t>
            </w:r>
            <w:r>
              <w:rPr>
                <w:rFonts w:hint="eastAsia" w:ascii="Times New Roman" w:hAnsi="Times New Roman" w:eastAsia="宋体" w:cs="宋体"/>
                <w:color w:val="auto"/>
                <w:highlight w:val="none"/>
                <w:lang w:val="en-US" w:eastAsia="zh-CN"/>
              </w:rPr>
              <w:t>排放限值</w:t>
            </w:r>
          </w:p>
          <w:tbl>
            <w:tblPr>
              <w:tblStyle w:val="34"/>
              <w:tblW w:w="7971" w:type="dxa"/>
              <w:jc w:val="center"/>
              <w:tblBorders>
                <w:top w:val="single" w:color="000000" w:sz="12" w:space="0"/>
                <w:left w:val="none" w:color="auto" w:sz="0" w:space="0"/>
                <w:bottom w:val="single" w:color="000000" w:sz="12" w:space="0"/>
                <w:right w:val="none" w:color="auto" w:sz="0" w:space="0"/>
                <w:insideH w:val="single" w:color="000000" w:sz="12" w:space="0"/>
                <w:insideV w:val="single" w:color="auto" w:sz="4" w:space="0"/>
              </w:tblBorders>
              <w:tblLayout w:type="autofit"/>
              <w:tblCellMar>
                <w:top w:w="0" w:type="dxa"/>
                <w:left w:w="108" w:type="dxa"/>
                <w:bottom w:w="0" w:type="dxa"/>
                <w:right w:w="108" w:type="dxa"/>
              </w:tblCellMar>
            </w:tblPr>
            <w:tblGrid>
              <w:gridCol w:w="2658"/>
              <w:gridCol w:w="2658"/>
              <w:gridCol w:w="2655"/>
            </w:tblGrid>
            <w:tr w14:paraId="485F2144">
              <w:tblPrEx>
                <w:tblBorders>
                  <w:top w:val="single" w:color="000000" w:sz="12" w:space="0"/>
                  <w:left w:val="none" w:color="auto" w:sz="0" w:space="0"/>
                  <w:bottom w:val="single" w:color="000000" w:sz="12" w:space="0"/>
                  <w:right w:val="none" w:color="auto" w:sz="0" w:space="0"/>
                  <w:insideH w:val="single" w:color="000000" w:sz="12" w:space="0"/>
                  <w:insideV w:val="single" w:color="auto" w:sz="4" w:space="0"/>
                </w:tblBorders>
                <w:tblCellMar>
                  <w:top w:w="0" w:type="dxa"/>
                  <w:left w:w="108" w:type="dxa"/>
                  <w:bottom w:w="0" w:type="dxa"/>
                  <w:right w:w="108" w:type="dxa"/>
                </w:tblCellMar>
              </w:tblPrEx>
              <w:trPr>
                <w:cantSplit/>
                <w:trHeight w:val="340" w:hRule="atLeast"/>
                <w:jc w:val="center"/>
              </w:trPr>
              <w:tc>
                <w:tcPr>
                  <w:tcW w:w="2658" w:type="dxa"/>
                  <w:tcBorders>
                    <w:tl2br w:val="nil"/>
                    <w:tr2bl w:val="nil"/>
                  </w:tcBorders>
                  <w:vAlign w:val="center"/>
                </w:tcPr>
                <w:p w14:paraId="02CB95C1">
                  <w:pPr>
                    <w:pStyle w:val="48"/>
                    <w:keepNext w:val="0"/>
                    <w:keepLines w:val="0"/>
                    <w:suppressLineNumbers w:val="0"/>
                    <w:tabs>
                      <w:tab w:val="left" w:pos="0"/>
                    </w:tabs>
                    <w:bidi w:val="0"/>
                    <w:spacing w:before="0" w:beforeAutospacing="0" w:after="0" w:afterAutospacing="0"/>
                    <w:ind w:right="0"/>
                    <w:rPr>
                      <w:rFonts w:hint="default"/>
                      <w:color w:val="auto"/>
                    </w:rPr>
                  </w:pPr>
                  <w:r>
                    <w:rPr>
                      <w:rFonts w:hint="default"/>
                      <w:color w:val="auto"/>
                    </w:rPr>
                    <w:t>类别</w:t>
                  </w:r>
                </w:p>
              </w:tc>
              <w:tc>
                <w:tcPr>
                  <w:tcW w:w="2658" w:type="dxa"/>
                  <w:tcBorders>
                    <w:tl2br w:val="nil"/>
                    <w:tr2bl w:val="nil"/>
                  </w:tcBorders>
                  <w:vAlign w:val="center"/>
                </w:tcPr>
                <w:p w14:paraId="42F9CF29">
                  <w:pPr>
                    <w:pStyle w:val="48"/>
                    <w:keepNext w:val="0"/>
                    <w:keepLines w:val="0"/>
                    <w:suppressLineNumbers w:val="0"/>
                    <w:tabs>
                      <w:tab w:val="left" w:pos="0"/>
                    </w:tabs>
                    <w:bidi w:val="0"/>
                    <w:spacing w:before="0" w:beforeAutospacing="0" w:after="0" w:afterAutospacing="0"/>
                    <w:ind w:right="0"/>
                    <w:rPr>
                      <w:rFonts w:hint="default"/>
                      <w:color w:val="auto"/>
                    </w:rPr>
                  </w:pPr>
                  <w:r>
                    <w:rPr>
                      <w:rFonts w:hint="default"/>
                      <w:color w:val="auto"/>
                    </w:rPr>
                    <w:t>昼间</w:t>
                  </w:r>
                </w:p>
              </w:tc>
              <w:tc>
                <w:tcPr>
                  <w:tcW w:w="2655" w:type="dxa"/>
                  <w:tcBorders>
                    <w:tl2br w:val="nil"/>
                    <w:tr2bl w:val="nil"/>
                  </w:tcBorders>
                  <w:vAlign w:val="center"/>
                </w:tcPr>
                <w:p w14:paraId="64BD5442">
                  <w:pPr>
                    <w:pStyle w:val="48"/>
                    <w:keepNext w:val="0"/>
                    <w:keepLines w:val="0"/>
                    <w:suppressLineNumbers w:val="0"/>
                    <w:tabs>
                      <w:tab w:val="left" w:pos="0"/>
                    </w:tabs>
                    <w:bidi w:val="0"/>
                    <w:spacing w:before="0" w:beforeAutospacing="0" w:after="0" w:afterAutospacing="0"/>
                    <w:ind w:right="0"/>
                    <w:rPr>
                      <w:rFonts w:hint="default"/>
                      <w:color w:val="auto"/>
                    </w:rPr>
                  </w:pPr>
                  <w:r>
                    <w:rPr>
                      <w:rFonts w:hint="default"/>
                      <w:color w:val="auto"/>
                    </w:rPr>
                    <w:t>夜间</w:t>
                  </w:r>
                </w:p>
              </w:tc>
            </w:tr>
            <w:tr w14:paraId="53A71633">
              <w:tblPrEx>
                <w:tblBorders>
                  <w:top w:val="single" w:color="000000" w:sz="12" w:space="0"/>
                  <w:left w:val="none" w:color="auto" w:sz="0" w:space="0"/>
                  <w:bottom w:val="single" w:color="000000" w:sz="12" w:space="0"/>
                  <w:right w:val="none" w:color="auto" w:sz="0" w:space="0"/>
                  <w:insideH w:val="single" w:color="000000" w:sz="12" w:space="0"/>
                  <w:insideV w:val="single" w:color="auto" w:sz="4" w:space="0"/>
                </w:tblBorders>
                <w:tblCellMar>
                  <w:top w:w="0" w:type="dxa"/>
                  <w:left w:w="108" w:type="dxa"/>
                  <w:bottom w:w="0" w:type="dxa"/>
                  <w:right w:w="108" w:type="dxa"/>
                </w:tblCellMar>
              </w:tblPrEx>
              <w:trPr>
                <w:cantSplit/>
                <w:trHeight w:val="340" w:hRule="atLeast"/>
                <w:jc w:val="center"/>
              </w:trPr>
              <w:tc>
                <w:tcPr>
                  <w:tcW w:w="2658" w:type="dxa"/>
                  <w:tcBorders>
                    <w:tl2br w:val="nil"/>
                    <w:tr2bl w:val="nil"/>
                  </w:tcBorders>
                  <w:vAlign w:val="center"/>
                </w:tcPr>
                <w:p w14:paraId="349B4C77">
                  <w:pPr>
                    <w:pStyle w:val="48"/>
                    <w:keepNext w:val="0"/>
                    <w:keepLines w:val="0"/>
                    <w:suppressLineNumbers w:val="0"/>
                    <w:tabs>
                      <w:tab w:val="left" w:pos="0"/>
                    </w:tabs>
                    <w:bidi w:val="0"/>
                    <w:spacing w:before="0" w:beforeAutospacing="0" w:after="0" w:afterAutospacing="0"/>
                    <w:ind w:left="0" w:leftChars="0" w:right="0" w:rightChars="0" w:firstLine="0" w:firstLineChars="0"/>
                    <w:rPr>
                      <w:rFonts w:hint="default"/>
                      <w:color w:val="auto"/>
                    </w:rPr>
                  </w:pPr>
                  <w:r>
                    <w:rPr>
                      <w:rFonts w:hint="eastAsia"/>
                      <w:color w:val="auto"/>
                      <w:lang w:val="en-US" w:eastAsia="zh-CN"/>
                    </w:rPr>
                    <w:t>2</w:t>
                  </w:r>
                  <w:r>
                    <w:rPr>
                      <w:rFonts w:hint="default"/>
                      <w:color w:val="auto"/>
                    </w:rPr>
                    <w:t>类</w:t>
                  </w:r>
                </w:p>
              </w:tc>
              <w:tc>
                <w:tcPr>
                  <w:tcW w:w="2658" w:type="dxa"/>
                  <w:tcBorders>
                    <w:tl2br w:val="nil"/>
                    <w:tr2bl w:val="nil"/>
                  </w:tcBorders>
                  <w:vAlign w:val="center"/>
                </w:tcPr>
                <w:p w14:paraId="6CDCC721">
                  <w:pPr>
                    <w:pStyle w:val="48"/>
                    <w:keepNext w:val="0"/>
                    <w:keepLines w:val="0"/>
                    <w:suppressLineNumbers w:val="0"/>
                    <w:tabs>
                      <w:tab w:val="left" w:pos="0"/>
                    </w:tabs>
                    <w:bidi w:val="0"/>
                    <w:spacing w:before="0" w:beforeAutospacing="0" w:after="0" w:afterAutospacing="0"/>
                    <w:ind w:left="0" w:leftChars="0" w:right="0" w:rightChars="0" w:firstLine="0" w:firstLineChars="0"/>
                    <w:rPr>
                      <w:rFonts w:hint="default" w:eastAsia="宋体"/>
                      <w:color w:val="auto"/>
                      <w:lang w:val="en-US" w:eastAsia="zh-CN"/>
                    </w:rPr>
                  </w:pPr>
                  <w:r>
                    <w:rPr>
                      <w:rFonts w:ascii="Times New Roman" w:hAnsi="Times New Roman"/>
                      <w:color w:val="auto"/>
                      <w:spacing w:val="-5"/>
                      <w:sz w:val="21"/>
                    </w:rPr>
                    <w:t>≤</w:t>
                  </w:r>
                  <w:r>
                    <w:rPr>
                      <w:rFonts w:hint="default"/>
                      <w:color w:val="auto"/>
                    </w:rPr>
                    <w:t>6</w:t>
                  </w:r>
                  <w:r>
                    <w:rPr>
                      <w:rFonts w:hint="eastAsia"/>
                      <w:color w:val="auto"/>
                      <w:lang w:val="en-US" w:eastAsia="zh-CN"/>
                    </w:rPr>
                    <w:t>0dB(A)</w:t>
                  </w:r>
                </w:p>
              </w:tc>
              <w:tc>
                <w:tcPr>
                  <w:tcW w:w="2655" w:type="dxa"/>
                  <w:tcBorders>
                    <w:tl2br w:val="nil"/>
                    <w:tr2bl w:val="nil"/>
                  </w:tcBorders>
                  <w:vAlign w:val="center"/>
                </w:tcPr>
                <w:p w14:paraId="4B2C189D">
                  <w:pPr>
                    <w:pStyle w:val="48"/>
                    <w:keepNext w:val="0"/>
                    <w:keepLines w:val="0"/>
                    <w:suppressLineNumbers w:val="0"/>
                    <w:tabs>
                      <w:tab w:val="left" w:pos="0"/>
                    </w:tabs>
                    <w:bidi w:val="0"/>
                    <w:spacing w:before="0" w:beforeAutospacing="0" w:after="0" w:afterAutospacing="0"/>
                    <w:ind w:left="0" w:leftChars="0" w:right="0" w:rightChars="0" w:firstLine="0" w:firstLineChars="0"/>
                    <w:rPr>
                      <w:rFonts w:hint="default"/>
                      <w:color w:val="auto"/>
                    </w:rPr>
                  </w:pPr>
                  <w:r>
                    <w:rPr>
                      <w:rFonts w:ascii="Times New Roman" w:hAnsi="Times New Roman"/>
                      <w:color w:val="auto"/>
                      <w:spacing w:val="-5"/>
                      <w:sz w:val="21"/>
                    </w:rPr>
                    <w:t>≤</w:t>
                  </w:r>
                  <w:r>
                    <w:rPr>
                      <w:rFonts w:hint="default"/>
                      <w:color w:val="auto"/>
                    </w:rPr>
                    <w:t>5</w:t>
                  </w:r>
                  <w:r>
                    <w:rPr>
                      <w:rFonts w:hint="eastAsia"/>
                      <w:color w:val="auto"/>
                      <w:lang w:val="en-US" w:eastAsia="zh-CN"/>
                    </w:rPr>
                    <w:t>0dB(A)</w:t>
                  </w:r>
                </w:p>
              </w:tc>
            </w:tr>
          </w:tbl>
          <w:p w14:paraId="6FA78CD9">
            <w:pPr>
              <w:pStyle w:val="4"/>
              <w:numPr>
                <w:ilvl w:val="2"/>
                <w:numId w:val="1"/>
              </w:numPr>
              <w:bidi w:val="0"/>
              <w:ind w:left="720" w:leftChars="0" w:hanging="720" w:firstLineChars="0"/>
              <w:rPr>
                <w:rFonts w:hint="eastAsia"/>
                <w:color w:val="auto"/>
                <w:highlight w:val="none"/>
                <w:lang w:val="en-US" w:eastAsia="zh-CN"/>
              </w:rPr>
            </w:pPr>
            <w:r>
              <w:rPr>
                <w:rFonts w:hint="eastAsia"/>
                <w:color w:val="auto"/>
                <w:highlight w:val="none"/>
                <w:lang w:val="en-US" w:eastAsia="zh-CN"/>
              </w:rPr>
              <w:t>固体废物执行标准</w:t>
            </w:r>
          </w:p>
          <w:p w14:paraId="7A25D0D3">
            <w:pPr>
              <w:pStyle w:val="46"/>
              <w:ind w:firstLine="480"/>
              <w:rPr>
                <w:rFonts w:hint="eastAsia"/>
                <w:color w:val="auto"/>
                <w:highlight w:val="none"/>
              </w:rPr>
            </w:pPr>
            <w:r>
              <w:rPr>
                <w:rFonts w:hint="eastAsia"/>
                <w:color w:val="auto"/>
                <w:highlight w:val="none"/>
              </w:rPr>
              <w:t>本项目运营期项目生活垃圾处置执行《中华人民共和国固体废物污染环境防治法》</w:t>
            </w:r>
            <w:r>
              <w:rPr>
                <w:rFonts w:hint="eastAsia"/>
                <w:color w:val="auto"/>
                <w:highlight w:val="none"/>
                <w:lang w:eastAsia="zh-CN"/>
              </w:rPr>
              <w:t>（</w:t>
            </w:r>
            <w:r>
              <w:rPr>
                <w:rFonts w:hint="eastAsia"/>
                <w:color w:val="auto"/>
                <w:highlight w:val="none"/>
              </w:rPr>
              <w:t>2020 年修订</w:t>
            </w:r>
            <w:r>
              <w:rPr>
                <w:rFonts w:hint="eastAsia"/>
                <w:color w:val="auto"/>
                <w:highlight w:val="none"/>
                <w:lang w:eastAsia="zh-CN"/>
              </w:rPr>
              <w:t>）</w:t>
            </w:r>
            <w:r>
              <w:rPr>
                <w:rFonts w:hint="eastAsia"/>
                <w:color w:val="auto"/>
                <w:highlight w:val="none"/>
              </w:rPr>
              <w:t>的相关规定；产生的一般工业固废应按照《一般工业固体废物贮存和填埋污染控制标准》</w:t>
            </w:r>
            <w:r>
              <w:rPr>
                <w:rFonts w:hint="eastAsia"/>
                <w:color w:val="auto"/>
                <w:highlight w:val="none"/>
                <w:lang w:eastAsia="zh-CN"/>
              </w:rPr>
              <w:t>（</w:t>
            </w:r>
            <w:r>
              <w:rPr>
                <w:rFonts w:hint="eastAsia"/>
                <w:color w:val="auto"/>
                <w:highlight w:val="none"/>
              </w:rPr>
              <w:t>GB18599-2020</w:t>
            </w:r>
            <w:r>
              <w:rPr>
                <w:rFonts w:hint="eastAsia"/>
                <w:color w:val="auto"/>
                <w:highlight w:val="none"/>
                <w:lang w:eastAsia="zh-CN"/>
              </w:rPr>
              <w:t>）</w:t>
            </w:r>
            <w:r>
              <w:rPr>
                <w:rFonts w:hint="eastAsia"/>
                <w:color w:val="auto"/>
                <w:highlight w:val="none"/>
              </w:rPr>
              <w:t>进行处理处置。项目危险废物执行《危险废物贮存污染控制标准》</w:t>
            </w:r>
            <w:r>
              <w:rPr>
                <w:rFonts w:hint="eastAsia"/>
                <w:color w:val="auto"/>
                <w:highlight w:val="none"/>
                <w:lang w:eastAsia="zh-CN"/>
              </w:rPr>
              <w:t>（</w:t>
            </w:r>
            <w:r>
              <w:rPr>
                <w:rFonts w:hint="eastAsia"/>
                <w:color w:val="auto"/>
                <w:highlight w:val="none"/>
              </w:rPr>
              <w:t>GB18597-2023</w:t>
            </w:r>
            <w:r>
              <w:rPr>
                <w:rFonts w:hint="eastAsia"/>
                <w:color w:val="auto"/>
                <w:highlight w:val="none"/>
                <w:lang w:eastAsia="zh-CN"/>
              </w:rPr>
              <w:t>）</w:t>
            </w:r>
            <w:r>
              <w:rPr>
                <w:rFonts w:hint="eastAsia"/>
                <w:color w:val="auto"/>
                <w:highlight w:val="none"/>
              </w:rPr>
              <w:t>中的规定，同时医疗废物还应符合《医疗废物管理条例》和《医疗卫生机构医疗废物管理办法》的相关规定。化粪池和污水处理设施产生的污泥清掏前应进行检测，应达到《医疗机构水污染物排放标准》</w:t>
            </w:r>
            <w:r>
              <w:rPr>
                <w:rFonts w:hint="eastAsia"/>
                <w:color w:val="auto"/>
                <w:highlight w:val="none"/>
                <w:lang w:eastAsia="zh-CN"/>
              </w:rPr>
              <w:t>（</w:t>
            </w:r>
            <w:r>
              <w:rPr>
                <w:rFonts w:hint="eastAsia"/>
                <w:color w:val="auto"/>
                <w:highlight w:val="none"/>
              </w:rPr>
              <w:t>GB18466-2005</w:t>
            </w:r>
            <w:r>
              <w:rPr>
                <w:rFonts w:hint="eastAsia"/>
                <w:color w:val="auto"/>
                <w:highlight w:val="none"/>
                <w:lang w:eastAsia="zh-CN"/>
              </w:rPr>
              <w:t>）</w:t>
            </w:r>
            <w:r>
              <w:rPr>
                <w:rFonts w:hint="eastAsia"/>
                <w:color w:val="auto"/>
                <w:highlight w:val="none"/>
              </w:rPr>
              <w:t>表4医疗机构污泥控制标准</w:t>
            </w:r>
            <w:r>
              <w:rPr>
                <w:rFonts w:hint="eastAsia"/>
                <w:color w:val="auto"/>
                <w:highlight w:val="none"/>
                <w:lang w:eastAsia="zh-CN"/>
              </w:rPr>
              <w:t>（</w:t>
            </w:r>
            <w:r>
              <w:rPr>
                <w:rFonts w:hint="eastAsia"/>
                <w:color w:val="auto"/>
                <w:highlight w:val="none"/>
              </w:rPr>
              <w:t>传染病医疗机构、综合医疗机构和其他医疗机构标准限值取严执行</w:t>
            </w:r>
            <w:r>
              <w:rPr>
                <w:rFonts w:hint="eastAsia"/>
                <w:color w:val="auto"/>
                <w:highlight w:val="none"/>
                <w:lang w:eastAsia="zh-CN"/>
              </w:rPr>
              <w:t>）</w:t>
            </w:r>
            <w:r>
              <w:rPr>
                <w:rFonts w:hint="eastAsia"/>
                <w:color w:val="auto"/>
                <w:highlight w:val="none"/>
              </w:rPr>
              <w:t>，具体标准详见表3.</w:t>
            </w:r>
            <w:r>
              <w:rPr>
                <w:rFonts w:hint="eastAsia"/>
                <w:color w:val="auto"/>
                <w:highlight w:val="none"/>
                <w:lang w:val="en-US" w:eastAsia="zh-CN"/>
              </w:rPr>
              <w:t>3</w:t>
            </w:r>
            <w:r>
              <w:rPr>
                <w:rFonts w:hint="eastAsia"/>
                <w:color w:val="auto"/>
                <w:highlight w:val="none"/>
              </w:rPr>
              <w:t>-</w:t>
            </w:r>
            <w:r>
              <w:rPr>
                <w:rFonts w:hint="eastAsia"/>
                <w:color w:val="auto"/>
                <w:highlight w:val="none"/>
                <w:lang w:val="en-US" w:eastAsia="zh-CN"/>
              </w:rPr>
              <w:t>6</w:t>
            </w:r>
            <w:r>
              <w:rPr>
                <w:rFonts w:hint="eastAsia"/>
                <w:color w:val="auto"/>
                <w:highlight w:val="none"/>
              </w:rPr>
              <w:t>。</w:t>
            </w:r>
          </w:p>
          <w:p w14:paraId="6F957C43">
            <w:pPr>
              <w:pStyle w:val="44"/>
              <w:keepNext/>
              <w:keepLines/>
              <w:pageBreakBefore w:val="0"/>
              <w:widowControl w:val="0"/>
              <w:numPr>
                <w:ilvl w:val="7"/>
                <w:numId w:val="1"/>
              </w:numPr>
              <w:kinsoku/>
              <w:wordWrap/>
              <w:overflowPunct/>
              <w:topLinePunct w:val="0"/>
              <w:autoSpaceDE/>
              <w:autoSpaceDN/>
              <w:bidi w:val="0"/>
              <w:adjustRightInd/>
              <w:snapToGrid/>
              <w:spacing w:before="0" w:after="0"/>
              <w:ind w:left="630" w:leftChars="0" w:firstLine="0" w:firstLineChars="0"/>
              <w:textAlignment w:val="auto"/>
              <w:rPr>
                <w:rFonts w:hint="default" w:ascii="Times New Roman" w:hAnsi="Times New Roman" w:eastAsia="宋体" w:cs="宋体"/>
                <w:color w:val="auto"/>
                <w:highlight w:val="none"/>
                <w:lang w:val="en-US" w:eastAsia="zh-CN"/>
              </w:rPr>
            </w:pPr>
            <w:r>
              <w:rPr>
                <w:rFonts w:hint="eastAsia" w:ascii="Times New Roman" w:hAnsi="Times New Roman" w:eastAsia="宋体" w:cs="宋体"/>
                <w:color w:val="auto"/>
                <w:highlight w:val="none"/>
                <w:lang w:val="en-US" w:eastAsia="zh-CN"/>
              </w:rPr>
              <w:t>《医疗机构水污染物排放标准》</w:t>
            </w:r>
            <w:r>
              <w:rPr>
                <w:rFonts w:hint="eastAsia" w:cs="宋体"/>
                <w:color w:val="auto"/>
                <w:highlight w:val="none"/>
                <w:lang w:val="en-US" w:eastAsia="zh-CN"/>
              </w:rPr>
              <w:t>（</w:t>
            </w:r>
            <w:r>
              <w:rPr>
                <w:rFonts w:hint="eastAsia" w:ascii="Times New Roman" w:hAnsi="Times New Roman" w:eastAsia="宋体" w:cs="宋体"/>
                <w:color w:val="auto"/>
                <w:highlight w:val="none"/>
                <w:lang w:val="en-US" w:eastAsia="zh-CN"/>
              </w:rPr>
              <w:t>GB18466-2005</w:t>
            </w:r>
            <w:r>
              <w:rPr>
                <w:rFonts w:hint="eastAsia" w:cs="宋体"/>
                <w:color w:val="auto"/>
                <w:highlight w:val="none"/>
                <w:lang w:val="en-US" w:eastAsia="zh-CN"/>
              </w:rPr>
              <w:t>）（</w:t>
            </w:r>
            <w:r>
              <w:rPr>
                <w:rFonts w:hint="eastAsia" w:ascii="Times New Roman" w:hAnsi="Times New Roman" w:eastAsia="宋体" w:cs="宋体"/>
                <w:color w:val="auto"/>
                <w:highlight w:val="none"/>
                <w:lang w:val="en-US" w:eastAsia="zh-CN"/>
              </w:rPr>
              <w:t>摘录</w:t>
            </w:r>
            <w:r>
              <w:rPr>
                <w:rFonts w:hint="eastAsia" w:cs="宋体"/>
                <w:color w:val="auto"/>
                <w:highlight w:val="none"/>
                <w:lang w:val="en-US" w:eastAsia="zh-CN"/>
              </w:rPr>
              <w:t>）</w:t>
            </w:r>
          </w:p>
          <w:tbl>
            <w:tblPr>
              <w:tblStyle w:val="34"/>
              <w:tblW w:w="0" w:type="auto"/>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74"/>
              <w:gridCol w:w="1471"/>
              <w:gridCol w:w="1259"/>
              <w:gridCol w:w="1051"/>
              <w:gridCol w:w="1051"/>
              <w:gridCol w:w="1468"/>
            </w:tblGrid>
            <w:tr w14:paraId="553AA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0" w:type="auto"/>
                  <w:tcBorders>
                    <w:top w:val="single" w:color="000000" w:sz="12" w:space="0"/>
                    <w:left w:val="single" w:color="000000" w:sz="4" w:space="0"/>
                    <w:bottom w:val="single" w:color="000000" w:sz="4" w:space="0"/>
                    <w:right w:val="single" w:color="000000" w:sz="4" w:space="0"/>
                  </w:tcBorders>
                  <w:shd w:val="clear" w:color="auto" w:fill="auto"/>
                  <w:vAlign w:val="center"/>
                </w:tcPr>
                <w:p w14:paraId="27330D86">
                  <w:pPr>
                    <w:pStyle w:val="48"/>
                    <w:keepNext w:val="0"/>
                    <w:keepLines w:val="0"/>
                    <w:suppressLineNumbers w:val="0"/>
                    <w:tabs>
                      <w:tab w:val="left" w:pos="0"/>
                    </w:tabs>
                    <w:bidi w:val="0"/>
                    <w:spacing w:before="0" w:beforeAutospacing="0" w:after="0" w:afterAutospacing="0"/>
                    <w:ind w:right="0"/>
                    <w:rPr>
                      <w:rFonts w:hint="default"/>
                      <w:color w:val="auto"/>
                    </w:rPr>
                  </w:pPr>
                  <w:r>
                    <w:rPr>
                      <w:rFonts w:hint="default"/>
                      <w:color w:val="auto"/>
                      <w:lang w:val="en-US" w:eastAsia="zh-CN"/>
                    </w:rPr>
                    <w:t>医疗机构类别</w:t>
                  </w:r>
                </w:p>
              </w:tc>
              <w:tc>
                <w:tcPr>
                  <w:tcW w:w="0" w:type="auto"/>
                  <w:tcBorders>
                    <w:top w:val="single" w:color="000000" w:sz="12" w:space="0"/>
                    <w:left w:val="single" w:color="000000" w:sz="4" w:space="0"/>
                    <w:bottom w:val="single" w:color="000000" w:sz="4" w:space="0"/>
                    <w:right w:val="single" w:color="000000" w:sz="4" w:space="0"/>
                  </w:tcBorders>
                  <w:shd w:val="clear" w:color="auto" w:fill="auto"/>
                  <w:vAlign w:val="top"/>
                </w:tcPr>
                <w:p w14:paraId="60886849">
                  <w:pPr>
                    <w:pStyle w:val="48"/>
                    <w:keepNext w:val="0"/>
                    <w:keepLines w:val="0"/>
                    <w:suppressLineNumbers w:val="0"/>
                    <w:tabs>
                      <w:tab w:val="left" w:pos="0"/>
                    </w:tabs>
                    <w:bidi w:val="0"/>
                    <w:spacing w:before="0" w:beforeAutospacing="0" w:after="0" w:afterAutospacing="0"/>
                    <w:ind w:right="0"/>
                    <w:rPr>
                      <w:rFonts w:hint="default"/>
                      <w:color w:val="auto"/>
                    </w:rPr>
                  </w:pPr>
                  <w:r>
                    <w:rPr>
                      <w:rFonts w:hint="default"/>
                      <w:color w:val="auto"/>
                      <w:lang w:val="en-US" w:eastAsia="zh-CN"/>
                    </w:rPr>
                    <w:t>粪大肠菌群数</w:t>
                  </w:r>
                  <w:r>
                    <w:rPr>
                      <w:rFonts w:hint="default"/>
                      <w:color w:val="auto"/>
                      <w:lang w:val="en-US" w:eastAsia="zh-CN"/>
                    </w:rPr>
                    <w:br w:type="textWrapping"/>
                  </w:r>
                  <w:r>
                    <w:rPr>
                      <w:rFonts w:hint="default"/>
                      <w:color w:val="auto"/>
                      <w:lang w:val="en-US" w:eastAsia="zh-CN"/>
                    </w:rPr>
                    <w:t>(MPNg)</w:t>
                  </w:r>
                </w:p>
              </w:tc>
              <w:tc>
                <w:tcPr>
                  <w:tcW w:w="0" w:type="auto"/>
                  <w:tcBorders>
                    <w:top w:val="single" w:color="000000" w:sz="12" w:space="0"/>
                    <w:left w:val="single" w:color="000000" w:sz="4" w:space="0"/>
                    <w:bottom w:val="single" w:color="000000" w:sz="4" w:space="0"/>
                    <w:right w:val="single" w:color="000000" w:sz="4" w:space="0"/>
                  </w:tcBorders>
                  <w:shd w:val="clear" w:color="auto" w:fill="auto"/>
                  <w:vAlign w:val="center"/>
                </w:tcPr>
                <w:p w14:paraId="587EAA2F">
                  <w:pPr>
                    <w:pStyle w:val="48"/>
                    <w:keepNext w:val="0"/>
                    <w:keepLines w:val="0"/>
                    <w:suppressLineNumbers w:val="0"/>
                    <w:tabs>
                      <w:tab w:val="left" w:pos="0"/>
                    </w:tabs>
                    <w:bidi w:val="0"/>
                    <w:spacing w:before="0" w:beforeAutospacing="0" w:after="0" w:afterAutospacing="0"/>
                    <w:ind w:right="0"/>
                    <w:rPr>
                      <w:rFonts w:hint="default"/>
                      <w:color w:val="auto"/>
                    </w:rPr>
                  </w:pPr>
                  <w:r>
                    <w:rPr>
                      <w:rFonts w:hint="default"/>
                      <w:color w:val="auto"/>
                      <w:lang w:val="en-US" w:eastAsia="zh-CN"/>
                    </w:rPr>
                    <w:t>肠道致病菌</w:t>
                  </w:r>
                </w:p>
              </w:tc>
              <w:tc>
                <w:tcPr>
                  <w:tcW w:w="0" w:type="auto"/>
                  <w:tcBorders>
                    <w:top w:val="single" w:color="000000" w:sz="12" w:space="0"/>
                    <w:left w:val="single" w:color="000000" w:sz="4" w:space="0"/>
                    <w:bottom w:val="single" w:color="000000" w:sz="4" w:space="0"/>
                    <w:right w:val="single" w:color="000000" w:sz="4" w:space="0"/>
                  </w:tcBorders>
                  <w:shd w:val="clear" w:color="auto" w:fill="auto"/>
                  <w:vAlign w:val="center"/>
                </w:tcPr>
                <w:p w14:paraId="53B01B49">
                  <w:pPr>
                    <w:pStyle w:val="48"/>
                    <w:keepNext w:val="0"/>
                    <w:keepLines w:val="0"/>
                    <w:suppressLineNumbers w:val="0"/>
                    <w:tabs>
                      <w:tab w:val="left" w:pos="0"/>
                    </w:tabs>
                    <w:bidi w:val="0"/>
                    <w:spacing w:before="0" w:beforeAutospacing="0" w:after="0" w:afterAutospacing="0"/>
                    <w:ind w:right="0"/>
                    <w:rPr>
                      <w:rFonts w:hint="default"/>
                      <w:color w:val="auto"/>
                    </w:rPr>
                  </w:pPr>
                  <w:r>
                    <w:rPr>
                      <w:rFonts w:hint="default"/>
                      <w:color w:val="auto"/>
                      <w:lang w:val="en-US" w:eastAsia="zh-CN"/>
                    </w:rPr>
                    <w:t>肠道病毒</w:t>
                  </w:r>
                </w:p>
              </w:tc>
              <w:tc>
                <w:tcPr>
                  <w:tcW w:w="0" w:type="auto"/>
                  <w:tcBorders>
                    <w:top w:val="single" w:color="000000" w:sz="12" w:space="0"/>
                    <w:left w:val="single" w:color="000000" w:sz="4" w:space="0"/>
                    <w:bottom w:val="single" w:color="000000" w:sz="4" w:space="0"/>
                    <w:right w:val="single" w:color="000000" w:sz="4" w:space="0"/>
                  </w:tcBorders>
                  <w:shd w:val="clear" w:color="auto" w:fill="auto"/>
                  <w:vAlign w:val="center"/>
                </w:tcPr>
                <w:p w14:paraId="7194014D">
                  <w:pPr>
                    <w:pStyle w:val="48"/>
                    <w:keepNext w:val="0"/>
                    <w:keepLines w:val="0"/>
                    <w:suppressLineNumbers w:val="0"/>
                    <w:tabs>
                      <w:tab w:val="left" w:pos="0"/>
                    </w:tabs>
                    <w:bidi w:val="0"/>
                    <w:spacing w:before="0" w:beforeAutospacing="0" w:after="0" w:afterAutospacing="0"/>
                    <w:ind w:right="0"/>
                    <w:rPr>
                      <w:rFonts w:hint="default"/>
                      <w:color w:val="auto"/>
                    </w:rPr>
                  </w:pPr>
                  <w:r>
                    <w:rPr>
                      <w:rFonts w:hint="default"/>
                      <w:color w:val="auto"/>
                      <w:lang w:val="en-US" w:eastAsia="zh-CN"/>
                    </w:rPr>
                    <w:t>结核杆菌</w:t>
                  </w:r>
                </w:p>
              </w:tc>
              <w:tc>
                <w:tcPr>
                  <w:tcW w:w="0" w:type="auto"/>
                  <w:tcBorders>
                    <w:top w:val="single" w:color="000000" w:sz="12" w:space="0"/>
                    <w:left w:val="single" w:color="000000" w:sz="4" w:space="0"/>
                    <w:bottom w:val="single" w:color="000000" w:sz="4" w:space="0"/>
                    <w:right w:val="nil"/>
                  </w:tcBorders>
                  <w:shd w:val="clear" w:color="auto" w:fill="auto"/>
                  <w:vAlign w:val="top"/>
                </w:tcPr>
                <w:p w14:paraId="776203D4">
                  <w:pPr>
                    <w:pStyle w:val="48"/>
                    <w:keepNext w:val="0"/>
                    <w:keepLines w:val="0"/>
                    <w:suppressLineNumbers w:val="0"/>
                    <w:tabs>
                      <w:tab w:val="left" w:pos="0"/>
                    </w:tabs>
                    <w:bidi w:val="0"/>
                    <w:spacing w:before="0" w:beforeAutospacing="0" w:after="0" w:afterAutospacing="0"/>
                    <w:ind w:right="0"/>
                    <w:rPr>
                      <w:rFonts w:hint="default"/>
                      <w:color w:val="auto"/>
                    </w:rPr>
                  </w:pPr>
                  <w:r>
                    <w:rPr>
                      <w:rFonts w:hint="default"/>
                      <w:color w:val="auto"/>
                      <w:lang w:val="en-US" w:eastAsia="zh-CN"/>
                    </w:rPr>
                    <w:t>蛔虫卵死亡率</w:t>
                  </w:r>
                  <w:r>
                    <w:rPr>
                      <w:rFonts w:hint="default"/>
                      <w:color w:val="auto"/>
                      <w:lang w:val="en-US" w:eastAsia="zh-CN"/>
                    </w:rPr>
                    <w:br w:type="textWrapping"/>
                  </w:r>
                  <w:r>
                    <w:rPr>
                      <w:rFonts w:hint="default"/>
                      <w:color w:val="auto"/>
                      <w:lang w:val="en-US" w:eastAsia="zh-CN"/>
                    </w:rPr>
                    <w:t>(%)</w:t>
                  </w:r>
                </w:p>
              </w:tc>
            </w:tr>
            <w:tr w14:paraId="423B4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0" w:type="auto"/>
                  <w:tcBorders>
                    <w:top w:val="single" w:color="000000" w:sz="4" w:space="0"/>
                    <w:left w:val="nil"/>
                    <w:bottom w:val="single" w:color="000000" w:sz="12" w:space="0"/>
                    <w:right w:val="single" w:color="000000" w:sz="4" w:space="0"/>
                  </w:tcBorders>
                  <w:shd w:val="clear" w:color="auto" w:fill="auto"/>
                  <w:vAlign w:val="center"/>
                </w:tcPr>
                <w:p w14:paraId="7E8A24E2">
                  <w:pPr>
                    <w:pStyle w:val="48"/>
                    <w:keepNext w:val="0"/>
                    <w:keepLines w:val="0"/>
                    <w:suppressLineNumbers w:val="0"/>
                    <w:tabs>
                      <w:tab w:val="left" w:pos="0"/>
                    </w:tabs>
                    <w:bidi w:val="0"/>
                    <w:spacing w:before="0" w:beforeAutospacing="0" w:after="0" w:afterAutospacing="0"/>
                    <w:ind w:right="0"/>
                    <w:rPr>
                      <w:rFonts w:hint="default"/>
                      <w:color w:val="auto"/>
                      <w:lang w:val="en-US" w:eastAsia="zh-CN"/>
                    </w:rPr>
                  </w:pPr>
                  <w:r>
                    <w:rPr>
                      <w:rFonts w:hint="default"/>
                      <w:color w:val="auto"/>
                      <w:lang w:val="en-US" w:eastAsia="zh-CN"/>
                    </w:rPr>
                    <w:t>综合医疗机构</w:t>
                  </w:r>
                </w:p>
                <w:p w14:paraId="7D490CBC">
                  <w:pPr>
                    <w:pStyle w:val="48"/>
                    <w:keepNext w:val="0"/>
                    <w:keepLines w:val="0"/>
                    <w:suppressLineNumbers w:val="0"/>
                    <w:tabs>
                      <w:tab w:val="left" w:pos="0"/>
                    </w:tabs>
                    <w:bidi w:val="0"/>
                    <w:spacing w:before="0" w:beforeAutospacing="0" w:after="0" w:afterAutospacing="0"/>
                    <w:ind w:right="0"/>
                    <w:rPr>
                      <w:rFonts w:hint="default"/>
                      <w:color w:val="auto"/>
                    </w:rPr>
                  </w:pPr>
                  <w:r>
                    <w:rPr>
                      <w:rFonts w:hint="default"/>
                      <w:color w:val="auto"/>
                      <w:lang w:val="en-US" w:eastAsia="zh-CN"/>
                    </w:rPr>
                    <w:t>和其他医疗机构</w:t>
                  </w:r>
                </w:p>
              </w:tc>
              <w:tc>
                <w:tcPr>
                  <w:tcW w:w="0" w:type="auto"/>
                  <w:tcBorders>
                    <w:top w:val="single" w:color="000000" w:sz="4" w:space="0"/>
                    <w:left w:val="single" w:color="000000" w:sz="4" w:space="0"/>
                    <w:bottom w:val="single" w:color="000000" w:sz="12" w:space="0"/>
                    <w:right w:val="single" w:color="000000" w:sz="4" w:space="0"/>
                  </w:tcBorders>
                  <w:shd w:val="clear" w:color="auto" w:fill="auto"/>
                  <w:vAlign w:val="center"/>
                </w:tcPr>
                <w:p w14:paraId="0FD73C6B">
                  <w:pPr>
                    <w:pStyle w:val="48"/>
                    <w:keepNext w:val="0"/>
                    <w:keepLines w:val="0"/>
                    <w:suppressLineNumbers w:val="0"/>
                    <w:tabs>
                      <w:tab w:val="left" w:pos="0"/>
                    </w:tabs>
                    <w:bidi w:val="0"/>
                    <w:spacing w:before="0" w:beforeAutospacing="0" w:after="0" w:afterAutospacing="0"/>
                    <w:ind w:right="0"/>
                    <w:rPr>
                      <w:rFonts w:hint="default"/>
                      <w:color w:val="auto"/>
                    </w:rPr>
                  </w:pPr>
                  <w:r>
                    <w:rPr>
                      <w:rFonts w:hint="default"/>
                      <w:color w:val="auto"/>
                      <w:lang w:val="en-US" w:eastAsia="zh-CN"/>
                    </w:rPr>
                    <w:t>≤100</w:t>
                  </w:r>
                </w:p>
              </w:tc>
              <w:tc>
                <w:tcPr>
                  <w:tcW w:w="0" w:type="auto"/>
                  <w:tcBorders>
                    <w:top w:val="single" w:color="000000" w:sz="4" w:space="0"/>
                    <w:left w:val="single" w:color="000000" w:sz="4" w:space="0"/>
                    <w:bottom w:val="single" w:color="000000" w:sz="12" w:space="0"/>
                    <w:right w:val="single" w:color="000000" w:sz="4" w:space="0"/>
                  </w:tcBorders>
                  <w:shd w:val="clear" w:color="auto" w:fill="auto"/>
                  <w:vAlign w:val="center"/>
                </w:tcPr>
                <w:p w14:paraId="17B60CF3">
                  <w:pPr>
                    <w:pStyle w:val="48"/>
                    <w:keepNext w:val="0"/>
                    <w:keepLines w:val="0"/>
                    <w:suppressLineNumbers w:val="0"/>
                    <w:tabs>
                      <w:tab w:val="left" w:pos="0"/>
                    </w:tabs>
                    <w:bidi w:val="0"/>
                    <w:spacing w:before="0" w:beforeAutospacing="0" w:after="0" w:afterAutospacing="0"/>
                    <w:ind w:right="0"/>
                    <w:rPr>
                      <w:rFonts w:hint="default"/>
                      <w:color w:val="auto"/>
                    </w:rPr>
                  </w:pPr>
                  <w:r>
                    <w:rPr>
                      <w:rFonts w:hint="default"/>
                      <w:color w:val="auto"/>
                      <w:lang w:val="en-US" w:eastAsia="zh-CN"/>
                    </w:rPr>
                    <w:t>/</w:t>
                  </w:r>
                </w:p>
              </w:tc>
              <w:tc>
                <w:tcPr>
                  <w:tcW w:w="0" w:type="auto"/>
                  <w:tcBorders>
                    <w:top w:val="single" w:color="000000" w:sz="4" w:space="0"/>
                    <w:left w:val="single" w:color="000000" w:sz="4" w:space="0"/>
                    <w:bottom w:val="single" w:color="000000" w:sz="12" w:space="0"/>
                    <w:right w:val="single" w:color="000000" w:sz="4" w:space="0"/>
                  </w:tcBorders>
                  <w:shd w:val="clear" w:color="auto" w:fill="auto"/>
                  <w:vAlign w:val="center"/>
                </w:tcPr>
                <w:p w14:paraId="178155CC">
                  <w:pPr>
                    <w:pStyle w:val="48"/>
                    <w:keepNext w:val="0"/>
                    <w:keepLines w:val="0"/>
                    <w:suppressLineNumbers w:val="0"/>
                    <w:tabs>
                      <w:tab w:val="left" w:pos="0"/>
                    </w:tabs>
                    <w:bidi w:val="0"/>
                    <w:spacing w:before="0" w:beforeAutospacing="0" w:after="0" w:afterAutospacing="0"/>
                    <w:ind w:right="0"/>
                    <w:rPr>
                      <w:rFonts w:hint="default"/>
                      <w:color w:val="auto"/>
                    </w:rPr>
                  </w:pPr>
                  <w:r>
                    <w:rPr>
                      <w:rFonts w:hint="default"/>
                      <w:color w:val="auto"/>
                      <w:lang w:val="en-US" w:eastAsia="zh-CN"/>
                    </w:rPr>
                    <w:t>/</w:t>
                  </w:r>
                </w:p>
              </w:tc>
              <w:tc>
                <w:tcPr>
                  <w:tcW w:w="0" w:type="auto"/>
                  <w:tcBorders>
                    <w:top w:val="single" w:color="000000" w:sz="4" w:space="0"/>
                    <w:left w:val="single" w:color="000000" w:sz="4" w:space="0"/>
                    <w:bottom w:val="single" w:color="000000" w:sz="12" w:space="0"/>
                    <w:right w:val="single" w:color="000000" w:sz="4" w:space="0"/>
                  </w:tcBorders>
                  <w:shd w:val="clear" w:color="auto" w:fill="auto"/>
                  <w:vAlign w:val="center"/>
                </w:tcPr>
                <w:p w14:paraId="1AA13ED4">
                  <w:pPr>
                    <w:pStyle w:val="48"/>
                    <w:keepNext w:val="0"/>
                    <w:keepLines w:val="0"/>
                    <w:suppressLineNumbers w:val="0"/>
                    <w:tabs>
                      <w:tab w:val="left" w:pos="0"/>
                    </w:tabs>
                    <w:bidi w:val="0"/>
                    <w:spacing w:before="0" w:beforeAutospacing="0" w:after="0" w:afterAutospacing="0"/>
                    <w:ind w:right="0"/>
                    <w:rPr>
                      <w:rFonts w:hint="default"/>
                      <w:color w:val="auto"/>
                    </w:rPr>
                  </w:pPr>
                  <w:r>
                    <w:rPr>
                      <w:rFonts w:hint="default"/>
                      <w:color w:val="auto"/>
                      <w:lang w:val="en-US" w:eastAsia="zh-CN"/>
                    </w:rPr>
                    <w:t>/</w:t>
                  </w:r>
                </w:p>
              </w:tc>
              <w:tc>
                <w:tcPr>
                  <w:tcW w:w="0" w:type="auto"/>
                  <w:tcBorders>
                    <w:top w:val="single" w:color="000000" w:sz="4" w:space="0"/>
                    <w:left w:val="single" w:color="000000" w:sz="4" w:space="0"/>
                    <w:bottom w:val="single" w:color="000000" w:sz="12" w:space="0"/>
                    <w:right w:val="nil"/>
                  </w:tcBorders>
                  <w:shd w:val="clear" w:color="auto" w:fill="auto"/>
                  <w:vAlign w:val="center"/>
                </w:tcPr>
                <w:p w14:paraId="46429464">
                  <w:pPr>
                    <w:pStyle w:val="48"/>
                    <w:keepNext w:val="0"/>
                    <w:keepLines w:val="0"/>
                    <w:suppressLineNumbers w:val="0"/>
                    <w:tabs>
                      <w:tab w:val="left" w:pos="0"/>
                    </w:tabs>
                    <w:bidi w:val="0"/>
                    <w:spacing w:before="0" w:beforeAutospacing="0" w:after="0" w:afterAutospacing="0"/>
                    <w:ind w:right="0"/>
                    <w:rPr>
                      <w:rFonts w:hint="default"/>
                      <w:color w:val="auto"/>
                    </w:rPr>
                  </w:pPr>
                  <w:r>
                    <w:rPr>
                      <w:rFonts w:hint="default"/>
                      <w:color w:val="auto"/>
                      <w:lang w:val="en-US" w:eastAsia="zh-CN"/>
                    </w:rPr>
                    <w:t>&gt;95</w:t>
                  </w:r>
                </w:p>
              </w:tc>
            </w:tr>
          </w:tbl>
          <w:p w14:paraId="6DA1C4FE">
            <w:pPr>
              <w:pStyle w:val="46"/>
              <w:ind w:left="0" w:leftChars="0" w:firstLine="0" w:firstLineChars="0"/>
              <w:rPr>
                <w:rFonts w:ascii="宋体" w:hAnsi="宋体" w:cs="宋体"/>
                <w:color w:val="auto"/>
                <w:kern w:val="0"/>
                <w:szCs w:val="21"/>
                <w:highlight w:val="none"/>
              </w:rPr>
            </w:pPr>
          </w:p>
        </w:tc>
      </w:tr>
      <w:tr w14:paraId="1831B1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00" w:type="dxa"/>
            <w:vAlign w:val="center"/>
          </w:tcPr>
          <w:p w14:paraId="6CED8EFB">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总量</w:t>
            </w:r>
          </w:p>
          <w:p w14:paraId="5272FF54">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控制</w:t>
            </w:r>
          </w:p>
          <w:p w14:paraId="426DA3A9">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指标</w:t>
            </w:r>
          </w:p>
        </w:tc>
        <w:tc>
          <w:tcPr>
            <w:tcW w:w="8190" w:type="dxa"/>
            <w:vAlign w:val="center"/>
          </w:tcPr>
          <w:p w14:paraId="216CF323">
            <w:pPr>
              <w:pStyle w:val="3"/>
              <w:numPr>
                <w:ilvl w:val="1"/>
                <w:numId w:val="1"/>
              </w:numPr>
              <w:bidi w:val="0"/>
              <w:ind w:left="0" w:leftChars="0" w:firstLine="0" w:firstLineChars="0"/>
              <w:rPr>
                <w:rFonts w:hint="eastAsia" w:ascii="Times New Roman" w:hAnsi="Times New Roman" w:eastAsia="宋体" w:cs="Times New Roman"/>
                <w:color w:val="auto"/>
                <w:highlight w:val="none"/>
              </w:rPr>
            </w:pPr>
            <w:bookmarkStart w:id="30" w:name="_Toc18142"/>
            <w:bookmarkStart w:id="31" w:name="_Toc22536"/>
            <w:bookmarkStart w:id="32" w:name="_Toc551"/>
            <w:bookmarkStart w:id="33" w:name="_Toc24101"/>
            <w:r>
              <w:rPr>
                <w:rFonts w:hint="eastAsia" w:ascii="Times New Roman" w:hAnsi="Times New Roman" w:eastAsia="宋体" w:cs="Times New Roman"/>
                <w:color w:val="auto"/>
                <w:highlight w:val="none"/>
              </w:rPr>
              <w:t>总量控制分析</w:t>
            </w:r>
          </w:p>
          <w:p w14:paraId="3F48E4BA">
            <w:pPr>
              <w:pStyle w:val="4"/>
              <w:numPr>
                <w:ilvl w:val="2"/>
                <w:numId w:val="1"/>
              </w:numPr>
              <w:bidi w:val="0"/>
              <w:ind w:left="720" w:leftChars="0" w:hanging="720"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总量控制因子</w:t>
            </w:r>
            <w:bookmarkEnd w:id="30"/>
            <w:bookmarkEnd w:id="31"/>
            <w:bookmarkEnd w:id="32"/>
            <w:bookmarkEnd w:id="33"/>
          </w:p>
          <w:p w14:paraId="5F0E1A43">
            <w:pPr>
              <w:pStyle w:val="46"/>
              <w:ind w:firstLine="480"/>
              <w:rPr>
                <w:color w:val="auto"/>
                <w:highlight w:val="none"/>
              </w:rPr>
            </w:pPr>
            <w:r>
              <w:rPr>
                <w:rFonts w:hint="eastAsia" w:ascii="Times New Roman" w:hAnsi="Times New Roman"/>
                <w:color w:val="auto"/>
              </w:rPr>
              <w:t>根据</w:t>
            </w:r>
            <w:r>
              <w:rPr>
                <w:rFonts w:ascii="Times New Roman" w:hAnsi="Times New Roman"/>
                <w:color w:val="auto"/>
              </w:rPr>
              <w:t>国家</w:t>
            </w:r>
            <w:r>
              <w:rPr>
                <w:rFonts w:hint="eastAsia" w:ascii="Times New Roman" w:hAnsi="Times New Roman"/>
                <w:color w:val="auto"/>
              </w:rPr>
              <w:t>“</w:t>
            </w:r>
            <w:r>
              <w:rPr>
                <w:rFonts w:ascii="Times New Roman" w:hAnsi="Times New Roman"/>
                <w:color w:val="auto"/>
              </w:rPr>
              <w:t>十</w:t>
            </w:r>
            <w:r>
              <w:rPr>
                <w:rFonts w:hint="eastAsia" w:ascii="Times New Roman" w:hAnsi="Times New Roman"/>
                <w:color w:val="auto"/>
              </w:rPr>
              <w:t>四</w:t>
            </w:r>
            <w:r>
              <w:rPr>
                <w:rFonts w:ascii="Times New Roman" w:hAnsi="Times New Roman"/>
                <w:color w:val="auto"/>
              </w:rPr>
              <w:t>五</w:t>
            </w:r>
            <w:r>
              <w:rPr>
                <w:rFonts w:hint="eastAsia" w:ascii="Times New Roman" w:hAnsi="Times New Roman"/>
                <w:color w:val="auto"/>
              </w:rPr>
              <w:t>”</w:t>
            </w:r>
            <w:r>
              <w:rPr>
                <w:rFonts w:ascii="Times New Roman" w:hAnsi="Times New Roman"/>
                <w:color w:val="auto"/>
              </w:rPr>
              <w:t>期间污染物</w:t>
            </w:r>
            <w:r>
              <w:rPr>
                <w:rFonts w:hint="eastAsia" w:ascii="Times New Roman" w:hAnsi="Times New Roman"/>
                <w:color w:val="auto"/>
              </w:rPr>
              <w:t>总量</w:t>
            </w:r>
            <w:r>
              <w:rPr>
                <w:rFonts w:ascii="Times New Roman" w:hAnsi="Times New Roman"/>
                <w:color w:val="auto"/>
              </w:rPr>
              <w:t>控制</w:t>
            </w:r>
            <w:r>
              <w:rPr>
                <w:rFonts w:hint="eastAsia" w:ascii="Times New Roman" w:hAnsi="Times New Roman"/>
                <w:color w:val="auto"/>
              </w:rPr>
              <w:t>要求及</w:t>
            </w:r>
            <w:r>
              <w:rPr>
                <w:rFonts w:ascii="Times New Roman" w:hAnsi="Times New Roman"/>
                <w:color w:val="auto"/>
              </w:rPr>
              <w:t>《福建省“十四五”生态环境保护专项规划》（闽政办〔2021〕59号）</w:t>
            </w:r>
            <w:r>
              <w:rPr>
                <w:rFonts w:hint="eastAsia" w:ascii="Times New Roman" w:hAnsi="Times New Roman"/>
                <w:color w:val="auto"/>
              </w:rPr>
              <w:t>、</w:t>
            </w:r>
            <w:r>
              <w:rPr>
                <w:rFonts w:ascii="Times New Roman" w:hAnsi="Times New Roman"/>
                <w:color w:val="auto"/>
              </w:rPr>
              <w:t>《福建省人民政府关于推进排污权有偿使用和交易工作的意见</w:t>
            </w:r>
            <w:r>
              <w:rPr>
                <w:rFonts w:hint="eastAsia"/>
                <w:color w:val="auto"/>
                <w:lang w:eastAsia="zh-CN"/>
              </w:rPr>
              <w:t>（</w:t>
            </w:r>
            <w:r>
              <w:rPr>
                <w:rFonts w:ascii="Times New Roman" w:hAnsi="Times New Roman"/>
                <w:color w:val="auto"/>
              </w:rPr>
              <w:t>试行</w:t>
            </w:r>
            <w:r>
              <w:rPr>
                <w:rFonts w:hint="eastAsia"/>
                <w:color w:val="auto"/>
                <w:lang w:eastAsia="zh-CN"/>
              </w:rPr>
              <w:t>）</w:t>
            </w:r>
            <w:r>
              <w:rPr>
                <w:rFonts w:ascii="Times New Roman" w:hAnsi="Times New Roman"/>
                <w:color w:val="auto"/>
              </w:rPr>
              <w:t>》</w:t>
            </w:r>
            <w:r>
              <w:rPr>
                <w:rFonts w:hint="eastAsia" w:ascii="Times New Roman" w:hAnsi="Times New Roman"/>
                <w:color w:val="auto"/>
              </w:rPr>
              <w:t>（</w:t>
            </w:r>
            <w:r>
              <w:rPr>
                <w:rFonts w:ascii="Times New Roman" w:hAnsi="Times New Roman"/>
                <w:color w:val="auto"/>
              </w:rPr>
              <w:t>闽政</w:t>
            </w:r>
            <w:r>
              <w:rPr>
                <w:rFonts w:hint="eastAsia" w:ascii="Times New Roman" w:hAnsi="Times New Roman"/>
                <w:color w:val="auto"/>
                <w:lang w:eastAsia="zh-CN"/>
              </w:rPr>
              <w:t>〔2014〕</w:t>
            </w:r>
            <w:r>
              <w:rPr>
                <w:rFonts w:ascii="Times New Roman" w:hAnsi="Times New Roman"/>
                <w:color w:val="auto"/>
              </w:rPr>
              <w:t>24号</w:t>
            </w:r>
            <w:r>
              <w:rPr>
                <w:rFonts w:hint="eastAsia" w:ascii="Times New Roman" w:hAnsi="Times New Roman"/>
                <w:color w:val="auto"/>
              </w:rPr>
              <w:t>）</w:t>
            </w:r>
            <w:r>
              <w:rPr>
                <w:rFonts w:ascii="Times New Roman" w:hAnsi="Times New Roman"/>
                <w:color w:val="auto"/>
              </w:rPr>
              <w:t>、《福建省环保厅关于贯彻落实</w:t>
            </w:r>
            <w:r>
              <w:rPr>
                <w:rFonts w:hint="eastAsia"/>
                <w:color w:val="auto"/>
                <w:lang w:eastAsia="zh-CN"/>
              </w:rPr>
              <w:t>〈</w:t>
            </w:r>
            <w:r>
              <w:rPr>
                <w:rFonts w:ascii="Times New Roman" w:hAnsi="Times New Roman"/>
                <w:color w:val="auto"/>
              </w:rPr>
              <w:t>推进排污权有偿使用和交易工作的意见</w:t>
            </w:r>
            <w:r>
              <w:rPr>
                <w:rFonts w:hint="eastAsia" w:ascii="Times New Roman" w:hAnsi="Times New Roman"/>
                <w:color w:val="auto"/>
              </w:rPr>
              <w:t>（</w:t>
            </w:r>
            <w:r>
              <w:rPr>
                <w:rFonts w:ascii="Times New Roman" w:hAnsi="Times New Roman"/>
                <w:color w:val="auto"/>
              </w:rPr>
              <w:t>试行</w:t>
            </w:r>
            <w:r>
              <w:rPr>
                <w:rFonts w:hint="eastAsia" w:ascii="Times New Roman" w:hAnsi="Times New Roman"/>
                <w:color w:val="auto"/>
              </w:rPr>
              <w:t>）</w:t>
            </w:r>
            <w:r>
              <w:rPr>
                <w:rFonts w:hint="eastAsia"/>
                <w:color w:val="auto"/>
                <w:lang w:eastAsia="zh-CN"/>
              </w:rPr>
              <w:t>〉</w:t>
            </w:r>
            <w:r>
              <w:rPr>
                <w:rFonts w:ascii="Times New Roman" w:hAnsi="Times New Roman"/>
                <w:color w:val="auto"/>
              </w:rPr>
              <w:t>的通知》</w:t>
            </w:r>
            <w:r>
              <w:rPr>
                <w:rFonts w:hint="eastAsia" w:ascii="Times New Roman" w:hAnsi="Times New Roman"/>
                <w:color w:val="auto"/>
              </w:rPr>
              <w:t>（</w:t>
            </w:r>
            <w:r>
              <w:rPr>
                <w:rFonts w:ascii="Times New Roman" w:hAnsi="Times New Roman"/>
                <w:color w:val="auto"/>
              </w:rPr>
              <w:t>闽环发</w:t>
            </w:r>
            <w:r>
              <w:rPr>
                <w:rFonts w:hint="eastAsia" w:ascii="Times New Roman" w:hAnsi="Times New Roman"/>
                <w:color w:val="auto"/>
                <w:lang w:eastAsia="zh-CN"/>
              </w:rPr>
              <w:t>〔2014〕</w:t>
            </w:r>
            <w:r>
              <w:rPr>
                <w:rFonts w:ascii="Times New Roman" w:hAnsi="Times New Roman"/>
                <w:color w:val="auto"/>
              </w:rPr>
              <w:t>9号</w:t>
            </w:r>
            <w:r>
              <w:rPr>
                <w:rFonts w:hint="eastAsia" w:ascii="Times New Roman" w:hAnsi="Times New Roman"/>
                <w:color w:val="auto"/>
              </w:rPr>
              <w:t>）</w:t>
            </w:r>
            <w:r>
              <w:rPr>
                <w:rFonts w:ascii="Times New Roman" w:hAnsi="Times New Roman"/>
                <w:color w:val="auto"/>
              </w:rPr>
              <w:t>、《福建省环保厅关于环评审批中落实排污权交易工作要求的通知》</w:t>
            </w:r>
            <w:r>
              <w:rPr>
                <w:rFonts w:hint="eastAsia" w:ascii="Times New Roman" w:hAnsi="Times New Roman"/>
                <w:color w:val="auto"/>
              </w:rPr>
              <w:t>（</w:t>
            </w:r>
            <w:r>
              <w:rPr>
                <w:rFonts w:ascii="Times New Roman" w:hAnsi="Times New Roman"/>
                <w:color w:val="auto"/>
              </w:rPr>
              <w:t>闽环保评</w:t>
            </w:r>
            <w:r>
              <w:rPr>
                <w:rFonts w:hint="eastAsia" w:ascii="Times New Roman" w:hAnsi="Times New Roman"/>
                <w:color w:val="auto"/>
                <w:lang w:eastAsia="zh-CN"/>
              </w:rPr>
              <w:t>〔2014〕</w:t>
            </w:r>
            <w:r>
              <w:rPr>
                <w:rFonts w:ascii="Times New Roman" w:hAnsi="Times New Roman"/>
                <w:color w:val="auto"/>
              </w:rPr>
              <w:t>43号</w:t>
            </w:r>
            <w:r>
              <w:rPr>
                <w:rFonts w:hint="eastAsia" w:ascii="Times New Roman" w:hAnsi="Times New Roman"/>
                <w:color w:val="auto"/>
              </w:rPr>
              <w:t>）</w:t>
            </w:r>
            <w:r>
              <w:rPr>
                <w:rFonts w:ascii="Times New Roman" w:hAnsi="Times New Roman"/>
                <w:color w:val="auto"/>
              </w:rPr>
              <w:t>等有关文件要求，</w:t>
            </w:r>
            <w:r>
              <w:rPr>
                <w:color w:val="auto"/>
                <w:highlight w:val="none"/>
              </w:rPr>
              <w:t>结合本项目排污特征，确定本项目总量控制因子为</w:t>
            </w:r>
            <w:r>
              <w:rPr>
                <w:rFonts w:hint="default"/>
                <w:color w:val="auto"/>
                <w:highlight w:val="none"/>
              </w:rPr>
              <w:t>COD、氨氮</w:t>
            </w:r>
            <w:r>
              <w:rPr>
                <w:color w:val="auto"/>
                <w:highlight w:val="none"/>
              </w:rPr>
              <w:t>。</w:t>
            </w:r>
          </w:p>
          <w:p w14:paraId="32B5F9F1">
            <w:pPr>
              <w:pStyle w:val="4"/>
              <w:numPr>
                <w:ilvl w:val="2"/>
                <w:numId w:val="1"/>
              </w:numPr>
              <w:bidi w:val="0"/>
              <w:ind w:left="720" w:leftChars="0" w:hanging="720" w:firstLineChars="0"/>
              <w:rPr>
                <w:rFonts w:hint="eastAsia" w:ascii="Times New Roman" w:hAnsi="Times New Roman" w:eastAsia="宋体" w:cs="Times New Roman"/>
                <w:color w:val="auto"/>
                <w:highlight w:val="none"/>
                <w:lang w:val="en-US" w:eastAsia="zh-CN"/>
              </w:rPr>
            </w:pPr>
            <w:bookmarkStart w:id="34" w:name="_Toc17857"/>
            <w:bookmarkStart w:id="35" w:name="_Toc26157"/>
            <w:bookmarkStart w:id="36" w:name="_Toc9744"/>
            <w:bookmarkStart w:id="37" w:name="_Toc32260"/>
            <w:r>
              <w:rPr>
                <w:rFonts w:hint="eastAsia" w:ascii="Times New Roman" w:hAnsi="Times New Roman" w:eastAsia="宋体" w:cs="Times New Roman"/>
                <w:color w:val="auto"/>
                <w:highlight w:val="none"/>
                <w:lang w:val="en-US" w:eastAsia="zh-CN"/>
              </w:rPr>
              <w:t>污染物总量控制指标</w:t>
            </w:r>
            <w:bookmarkEnd w:id="34"/>
            <w:bookmarkEnd w:id="35"/>
            <w:bookmarkEnd w:id="36"/>
            <w:bookmarkEnd w:id="37"/>
          </w:p>
          <w:p w14:paraId="5A13EC77">
            <w:pPr>
              <w:pStyle w:val="5"/>
              <w:numPr>
                <w:ilvl w:val="3"/>
                <w:numId w:val="12"/>
              </w:numPr>
              <w:tabs>
                <w:tab w:val="left" w:pos="0"/>
              </w:tabs>
              <w:bidi w:val="0"/>
              <w:ind w:left="864" w:leftChars="0" w:hanging="864" w:firstLineChars="0"/>
              <w:rPr>
                <w:rFonts w:hint="eastAsia" w:ascii="Times New Roman" w:hAnsi="Times New Roman" w:eastAsia="宋体" w:cs="Times New Roman"/>
                <w:color w:val="auto"/>
                <w:highlight w:val="none"/>
                <w:vertAlign w:val="baseline"/>
                <w:lang w:val="en-US" w:eastAsia="zh-CN"/>
              </w:rPr>
            </w:pPr>
            <w:r>
              <w:rPr>
                <w:rFonts w:hint="eastAsia" w:ascii="Times New Roman" w:hAnsi="Times New Roman" w:eastAsia="宋体" w:cs="Times New Roman"/>
                <w:color w:val="auto"/>
                <w:highlight w:val="none"/>
                <w:vertAlign w:val="baseline"/>
                <w:lang w:val="en-US" w:eastAsia="zh-CN"/>
              </w:rPr>
              <w:t>水污染物排放总量控制</w:t>
            </w:r>
          </w:p>
          <w:p w14:paraId="0BD25F28">
            <w:pPr>
              <w:pStyle w:val="46"/>
              <w:ind w:firstLine="480"/>
              <w:rPr>
                <w:rFonts w:hint="default"/>
                <w:color w:val="auto"/>
                <w:highlight w:val="none"/>
              </w:rPr>
            </w:pPr>
            <w:r>
              <w:rPr>
                <w:rFonts w:hint="eastAsia"/>
                <w:color w:val="auto"/>
                <w:highlight w:val="none"/>
                <w:lang w:eastAsia="zh-CN"/>
              </w:rPr>
              <w:t>罗源城区污水处理厂</w:t>
            </w:r>
            <w:r>
              <w:rPr>
                <w:rFonts w:hint="default"/>
                <w:color w:val="auto"/>
                <w:highlight w:val="none"/>
              </w:rPr>
              <w:t>出水排放执行《城镇污水处理厂污染物排放标准》（GB18918-2002）中一级</w:t>
            </w:r>
            <w:r>
              <w:rPr>
                <w:rFonts w:hint="default"/>
                <w:color w:val="auto"/>
                <w:highlight w:val="none"/>
                <w:lang w:val="en-US" w:eastAsia="zh-CN"/>
              </w:rPr>
              <w:t>A</w:t>
            </w:r>
            <w:r>
              <w:rPr>
                <w:rFonts w:hint="default"/>
                <w:color w:val="auto"/>
                <w:highlight w:val="none"/>
              </w:rPr>
              <w:t>排放标准：COD</w:t>
            </w:r>
            <w:r>
              <w:rPr>
                <w:rFonts w:hint="eastAsia"/>
                <w:color w:val="auto"/>
                <w:highlight w:val="none"/>
                <w:lang w:eastAsia="zh-CN"/>
              </w:rPr>
              <w:t>为</w:t>
            </w:r>
            <w:r>
              <w:rPr>
                <w:rFonts w:hint="default"/>
                <w:color w:val="auto"/>
                <w:highlight w:val="none"/>
                <w:lang w:val="en-US" w:eastAsia="zh-CN"/>
              </w:rPr>
              <w:t>50</w:t>
            </w:r>
            <w:r>
              <w:rPr>
                <w:rFonts w:hint="default"/>
                <w:color w:val="auto"/>
                <w:highlight w:val="none"/>
              </w:rPr>
              <w:t>mg/L、氨氮</w:t>
            </w:r>
            <w:r>
              <w:rPr>
                <w:rFonts w:hint="eastAsia"/>
                <w:color w:val="auto"/>
                <w:highlight w:val="none"/>
                <w:lang w:eastAsia="zh-CN"/>
              </w:rPr>
              <w:t>为</w:t>
            </w:r>
            <w:r>
              <w:rPr>
                <w:rFonts w:hint="default"/>
                <w:color w:val="auto"/>
                <w:highlight w:val="none"/>
                <w:lang w:val="en-US" w:eastAsia="zh-CN"/>
              </w:rPr>
              <w:t>5</w:t>
            </w:r>
            <w:r>
              <w:rPr>
                <w:rFonts w:hint="default"/>
                <w:color w:val="auto"/>
                <w:highlight w:val="none"/>
              </w:rPr>
              <w:t>mg/L，统一处理后项目污染物排放总量详见表</w:t>
            </w:r>
            <w:r>
              <w:rPr>
                <w:rFonts w:hint="default"/>
                <w:color w:val="auto"/>
                <w:highlight w:val="none"/>
                <w:lang w:val="en-US" w:eastAsia="zh-CN"/>
              </w:rPr>
              <w:t>3.</w:t>
            </w:r>
            <w:r>
              <w:rPr>
                <w:rFonts w:hint="eastAsia"/>
                <w:color w:val="auto"/>
                <w:highlight w:val="none"/>
                <w:lang w:val="en-US" w:eastAsia="zh-CN"/>
              </w:rPr>
              <w:t>4</w:t>
            </w:r>
            <w:r>
              <w:rPr>
                <w:rFonts w:hint="default"/>
                <w:color w:val="auto"/>
                <w:highlight w:val="none"/>
              </w:rPr>
              <w:t>-1。</w:t>
            </w:r>
          </w:p>
          <w:p w14:paraId="233E25E9">
            <w:pPr>
              <w:pStyle w:val="44"/>
              <w:keepNext/>
              <w:keepLines/>
              <w:pageBreakBefore w:val="0"/>
              <w:widowControl w:val="0"/>
              <w:numPr>
                <w:ilvl w:val="7"/>
                <w:numId w:val="1"/>
              </w:numPr>
              <w:kinsoku/>
              <w:wordWrap/>
              <w:overflowPunct/>
              <w:topLinePunct w:val="0"/>
              <w:autoSpaceDE/>
              <w:autoSpaceDN/>
              <w:bidi w:val="0"/>
              <w:adjustRightInd/>
              <w:snapToGrid/>
              <w:spacing w:before="0" w:after="0"/>
              <w:ind w:left="630" w:leftChars="0" w:firstLine="0" w:firstLineChars="0"/>
              <w:textAlignment w:val="auto"/>
              <w:rPr>
                <w:rFonts w:hint="default" w:ascii="Times New Roman" w:hAnsi="Times New Roman" w:eastAsia="宋体" w:cs="宋体"/>
                <w:color w:val="auto"/>
                <w:highlight w:val="none"/>
                <w:lang w:val="en-US" w:eastAsia="zh-CN"/>
              </w:rPr>
            </w:pPr>
            <w:r>
              <w:rPr>
                <w:rFonts w:hint="default" w:ascii="Times New Roman" w:hAnsi="Times New Roman" w:eastAsia="宋体" w:cs="宋体"/>
                <w:color w:val="auto"/>
                <w:highlight w:val="none"/>
                <w:lang w:val="en-US" w:eastAsia="zh-CN"/>
              </w:rPr>
              <w:t>本项目水污染物排放总量指标</w:t>
            </w:r>
          </w:p>
          <w:tbl>
            <w:tblPr>
              <w:tblStyle w:val="34"/>
              <w:tblW w:w="4998" w:type="pct"/>
              <w:jc w:val="center"/>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1454"/>
              <w:gridCol w:w="1831"/>
              <w:gridCol w:w="1695"/>
              <w:gridCol w:w="2991"/>
            </w:tblGrid>
            <w:tr w14:paraId="25E6D96A">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912" w:type="pct"/>
                  <w:tcBorders>
                    <w:top w:val="single" w:color="auto" w:sz="12" w:space="0"/>
                    <w:left w:val="nil"/>
                    <w:bottom w:val="single" w:color="auto" w:sz="12" w:space="0"/>
                    <w:right w:val="single" w:color="auto" w:sz="4" w:space="0"/>
                  </w:tcBorders>
                  <w:noWrap w:val="0"/>
                  <w:vAlign w:val="center"/>
                </w:tcPr>
                <w:p w14:paraId="3B6EAB9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项目</w:t>
                  </w:r>
                </w:p>
              </w:tc>
              <w:tc>
                <w:tcPr>
                  <w:tcW w:w="2211" w:type="pct"/>
                  <w:gridSpan w:val="2"/>
                  <w:tcBorders>
                    <w:top w:val="single" w:color="auto" w:sz="12" w:space="0"/>
                    <w:left w:val="single" w:color="auto" w:sz="4" w:space="0"/>
                    <w:bottom w:val="single" w:color="auto" w:sz="12" w:space="0"/>
                    <w:right w:val="single" w:color="auto" w:sz="4" w:space="0"/>
                  </w:tcBorders>
                  <w:noWrap w:val="0"/>
                  <w:vAlign w:val="center"/>
                </w:tcPr>
                <w:p w14:paraId="3219083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建议最终排入环境控制指标</w:t>
                  </w:r>
                </w:p>
              </w:tc>
              <w:tc>
                <w:tcPr>
                  <w:tcW w:w="1876" w:type="pct"/>
                  <w:tcBorders>
                    <w:top w:val="single" w:color="auto" w:sz="12" w:space="0"/>
                    <w:left w:val="single" w:color="auto" w:sz="4" w:space="0"/>
                    <w:bottom w:val="single" w:color="auto" w:sz="12" w:space="0"/>
                    <w:right w:val="nil"/>
                  </w:tcBorders>
                  <w:noWrap w:val="0"/>
                  <w:vAlign w:val="center"/>
                </w:tcPr>
                <w:p w14:paraId="0159A886">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建议申报指标t/a</w:t>
                  </w:r>
                </w:p>
              </w:tc>
            </w:tr>
            <w:tr w14:paraId="26C14D53">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912" w:type="pct"/>
                  <w:tcBorders>
                    <w:top w:val="single" w:color="auto" w:sz="12" w:space="0"/>
                    <w:left w:val="nil"/>
                    <w:bottom w:val="single" w:color="auto" w:sz="4" w:space="0"/>
                    <w:right w:val="single" w:color="auto" w:sz="4" w:space="0"/>
                  </w:tcBorders>
                  <w:noWrap w:val="0"/>
                  <w:vAlign w:val="center"/>
                </w:tcPr>
                <w:p w14:paraId="6E7FCFD1">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污染物名称</w:t>
                  </w:r>
                </w:p>
              </w:tc>
              <w:tc>
                <w:tcPr>
                  <w:tcW w:w="1148" w:type="pct"/>
                  <w:tcBorders>
                    <w:top w:val="single" w:color="auto" w:sz="12" w:space="0"/>
                    <w:left w:val="single" w:color="auto" w:sz="4" w:space="0"/>
                    <w:bottom w:val="single" w:color="auto" w:sz="4" w:space="0"/>
                    <w:right w:val="single" w:color="auto" w:sz="4" w:space="0"/>
                  </w:tcBorders>
                  <w:noWrap w:val="0"/>
                  <w:vAlign w:val="center"/>
                </w:tcPr>
                <w:p w14:paraId="458600C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排放浓度mg/L</w:t>
                  </w:r>
                </w:p>
              </w:tc>
              <w:tc>
                <w:tcPr>
                  <w:tcW w:w="1062" w:type="pct"/>
                  <w:tcBorders>
                    <w:top w:val="single" w:color="auto" w:sz="12" w:space="0"/>
                    <w:left w:val="single" w:color="auto" w:sz="4" w:space="0"/>
                    <w:bottom w:val="single" w:color="auto" w:sz="4" w:space="0"/>
                    <w:right w:val="single" w:color="auto" w:sz="4" w:space="0"/>
                  </w:tcBorders>
                  <w:noWrap w:val="0"/>
                  <w:vAlign w:val="center"/>
                </w:tcPr>
                <w:p w14:paraId="618C20B4">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总排放量t/a</w:t>
                  </w:r>
                </w:p>
              </w:tc>
              <w:tc>
                <w:tcPr>
                  <w:tcW w:w="1876" w:type="pct"/>
                  <w:tcBorders>
                    <w:top w:val="single" w:color="auto" w:sz="12" w:space="0"/>
                    <w:left w:val="single" w:color="auto" w:sz="4" w:space="0"/>
                    <w:bottom w:val="single" w:color="auto" w:sz="4" w:space="0"/>
                    <w:right w:val="nil"/>
                  </w:tcBorders>
                  <w:noWrap w:val="0"/>
                  <w:vAlign w:val="center"/>
                </w:tcPr>
                <w:p w14:paraId="733922C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eastAsia"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由</w:t>
                  </w:r>
                  <w:r>
                    <w:rPr>
                      <w:rFonts w:hint="default" w:ascii="Times New Roman" w:hAnsi="Times New Roman" w:eastAsia="宋体" w:cs="Times New Roman"/>
                      <w:color w:val="auto"/>
                      <w:sz w:val="21"/>
                      <w:szCs w:val="21"/>
                      <w:highlight w:val="none"/>
                      <w:lang w:eastAsia="zh-CN"/>
                    </w:rPr>
                    <w:t>污水</w:t>
                  </w:r>
                  <w:r>
                    <w:rPr>
                      <w:rFonts w:hint="eastAsia" w:cs="Times New Roman"/>
                      <w:color w:val="auto"/>
                      <w:sz w:val="21"/>
                      <w:szCs w:val="21"/>
                      <w:highlight w:val="none"/>
                      <w:lang w:eastAsia="zh-CN"/>
                    </w:rPr>
                    <w:t>处理厂中</w:t>
                  </w:r>
                  <w:r>
                    <w:rPr>
                      <w:rFonts w:hint="default" w:ascii="Times New Roman" w:hAnsi="Times New Roman" w:eastAsia="宋体" w:cs="Times New Roman"/>
                      <w:color w:val="auto"/>
                      <w:sz w:val="21"/>
                      <w:szCs w:val="21"/>
                      <w:highlight w:val="none"/>
                    </w:rPr>
                    <w:t>调配</w:t>
                  </w:r>
                </w:p>
              </w:tc>
            </w:tr>
            <w:tr w14:paraId="1B84825A">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12" w:type="pct"/>
                  <w:tcBorders>
                    <w:top w:val="single" w:color="auto" w:sz="4" w:space="0"/>
                    <w:left w:val="nil"/>
                    <w:bottom w:val="single" w:color="auto" w:sz="4" w:space="0"/>
                    <w:right w:val="single" w:color="auto" w:sz="4" w:space="0"/>
                  </w:tcBorders>
                  <w:noWrap w:val="0"/>
                  <w:vAlign w:val="center"/>
                </w:tcPr>
                <w:p w14:paraId="4F4F847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废水量</w:t>
                  </w:r>
                </w:p>
              </w:tc>
              <w:tc>
                <w:tcPr>
                  <w:tcW w:w="1148" w:type="pct"/>
                  <w:tcBorders>
                    <w:top w:val="single" w:color="auto" w:sz="4" w:space="0"/>
                    <w:left w:val="single" w:color="auto" w:sz="4" w:space="0"/>
                    <w:bottom w:val="single" w:color="auto" w:sz="4" w:space="0"/>
                    <w:right w:val="single" w:color="auto" w:sz="4" w:space="0"/>
                  </w:tcBorders>
                  <w:noWrap w:val="0"/>
                  <w:vAlign w:val="center"/>
                </w:tcPr>
                <w:p w14:paraId="3F641ACA">
                  <w:pPr>
                    <w:pStyle w:val="156"/>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2960E045">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42451.51</w:t>
                  </w:r>
                </w:p>
              </w:tc>
              <w:tc>
                <w:tcPr>
                  <w:tcW w:w="1876" w:type="pct"/>
                  <w:tcBorders>
                    <w:top w:val="single" w:color="auto" w:sz="4" w:space="0"/>
                    <w:left w:val="single" w:color="auto" w:sz="4" w:space="0"/>
                    <w:bottom w:val="single" w:color="auto" w:sz="4" w:space="0"/>
                    <w:right w:val="nil"/>
                  </w:tcBorders>
                  <w:noWrap w:val="0"/>
                  <w:vAlign w:val="center"/>
                </w:tcPr>
                <w:p w14:paraId="0D452B7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42451.51</w:t>
                  </w:r>
                </w:p>
              </w:tc>
            </w:tr>
            <w:tr w14:paraId="1A564E2D">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912" w:type="pct"/>
                  <w:tcBorders>
                    <w:top w:val="single" w:color="auto" w:sz="4" w:space="0"/>
                    <w:left w:val="nil"/>
                    <w:bottom w:val="single" w:color="auto" w:sz="4" w:space="0"/>
                    <w:right w:val="single" w:color="auto" w:sz="4" w:space="0"/>
                  </w:tcBorders>
                  <w:noWrap w:val="0"/>
                  <w:vAlign w:val="center"/>
                </w:tcPr>
                <w:p w14:paraId="4A1262F8">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COD</w:t>
                  </w:r>
                </w:p>
              </w:tc>
              <w:tc>
                <w:tcPr>
                  <w:tcW w:w="1148" w:type="pct"/>
                  <w:tcBorders>
                    <w:top w:val="single" w:color="auto" w:sz="4" w:space="0"/>
                    <w:left w:val="single" w:color="auto" w:sz="4" w:space="0"/>
                    <w:bottom w:val="single" w:color="auto" w:sz="4" w:space="0"/>
                    <w:right w:val="single" w:color="auto" w:sz="4" w:space="0"/>
                  </w:tcBorders>
                  <w:noWrap w:val="0"/>
                  <w:vAlign w:val="center"/>
                </w:tcPr>
                <w:p w14:paraId="04C72F0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50</w:t>
                  </w:r>
                </w:p>
              </w:tc>
              <w:tc>
                <w:tcPr>
                  <w:tcW w:w="1062" w:type="pct"/>
                  <w:tcBorders>
                    <w:top w:val="single" w:color="auto" w:sz="4" w:space="0"/>
                    <w:left w:val="single" w:color="auto" w:sz="4" w:space="0"/>
                    <w:bottom w:val="single" w:color="auto" w:sz="4" w:space="0"/>
                    <w:right w:val="single" w:color="auto" w:sz="4" w:space="0"/>
                  </w:tcBorders>
                  <w:noWrap w:val="0"/>
                  <w:vAlign w:val="center"/>
                </w:tcPr>
                <w:p w14:paraId="3038A04E">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i w:val="0"/>
                      <w:iCs w:val="0"/>
                      <w:color w:val="auto"/>
                      <w:kern w:val="0"/>
                      <w:sz w:val="21"/>
                      <w:szCs w:val="21"/>
                      <w:u w:val="none"/>
                      <w:lang w:val="en-US" w:eastAsia="zh-CN" w:bidi="ar"/>
                    </w:rPr>
                    <w:t>2.1226</w:t>
                  </w:r>
                </w:p>
              </w:tc>
              <w:tc>
                <w:tcPr>
                  <w:tcW w:w="2991" w:type="dxa"/>
                  <w:tcBorders>
                    <w:top w:val="single" w:color="auto" w:sz="4" w:space="0"/>
                    <w:left w:val="single" w:color="auto" w:sz="4" w:space="0"/>
                    <w:bottom w:val="single" w:color="auto" w:sz="4" w:space="0"/>
                    <w:right w:val="nil"/>
                  </w:tcBorders>
                  <w:noWrap w:val="0"/>
                  <w:vAlign w:val="center"/>
                </w:tcPr>
                <w:p w14:paraId="75D366C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i w:val="0"/>
                      <w:iCs w:val="0"/>
                      <w:color w:val="auto"/>
                      <w:kern w:val="0"/>
                      <w:sz w:val="21"/>
                      <w:szCs w:val="21"/>
                      <w:u w:val="none"/>
                      <w:lang w:val="en-US" w:eastAsia="zh-CN" w:bidi="ar"/>
                    </w:rPr>
                    <w:t>2.1226</w:t>
                  </w:r>
                </w:p>
              </w:tc>
            </w:tr>
            <w:tr w14:paraId="56308D3C">
              <w:tblPrEx>
                <w:tblBorders>
                  <w:top w:val="single" w:color="auto" w:sz="12" w:space="0"/>
                  <w:left w:val="none" w:color="auto" w:sz="6" w:space="0"/>
                  <w:bottom w:val="single" w:color="auto" w:sz="12" w:space="0"/>
                  <w:right w:val="none" w:color="auto" w:sz="6"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912" w:type="pct"/>
                  <w:tcBorders>
                    <w:top w:val="single" w:color="auto" w:sz="4" w:space="0"/>
                    <w:left w:val="nil"/>
                    <w:bottom w:val="single" w:color="auto" w:sz="12" w:space="0"/>
                    <w:right w:val="single" w:color="auto" w:sz="4" w:space="0"/>
                  </w:tcBorders>
                  <w:noWrap w:val="0"/>
                  <w:vAlign w:val="center"/>
                </w:tcPr>
                <w:p w14:paraId="0DBA711D">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NH</w:t>
                  </w:r>
                  <w:r>
                    <w:rPr>
                      <w:rFonts w:hint="default" w:ascii="Times New Roman" w:hAnsi="Times New Roman" w:eastAsia="宋体" w:cs="Times New Roman"/>
                      <w:color w:val="auto"/>
                      <w:sz w:val="21"/>
                      <w:szCs w:val="21"/>
                      <w:highlight w:val="none"/>
                      <w:vertAlign w:val="subscript"/>
                    </w:rPr>
                    <w:t>3</w:t>
                  </w:r>
                  <w:r>
                    <w:rPr>
                      <w:rFonts w:hint="default" w:ascii="Times New Roman" w:hAnsi="Times New Roman" w:eastAsia="宋体" w:cs="Times New Roman"/>
                      <w:color w:val="auto"/>
                      <w:sz w:val="21"/>
                      <w:szCs w:val="21"/>
                      <w:highlight w:val="none"/>
                    </w:rPr>
                    <w:t>-N</w:t>
                  </w:r>
                </w:p>
              </w:tc>
              <w:tc>
                <w:tcPr>
                  <w:tcW w:w="1148" w:type="pct"/>
                  <w:tcBorders>
                    <w:top w:val="single" w:color="auto" w:sz="4" w:space="0"/>
                    <w:left w:val="single" w:color="auto" w:sz="4" w:space="0"/>
                    <w:bottom w:val="single" w:color="auto" w:sz="12" w:space="0"/>
                    <w:right w:val="single" w:color="auto" w:sz="4" w:space="0"/>
                  </w:tcBorders>
                  <w:noWrap w:val="0"/>
                  <w:vAlign w:val="center"/>
                </w:tcPr>
                <w:p w14:paraId="56C0B670">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5</w:t>
                  </w:r>
                </w:p>
              </w:tc>
              <w:tc>
                <w:tcPr>
                  <w:tcW w:w="1062" w:type="pct"/>
                  <w:tcBorders>
                    <w:top w:val="single" w:color="auto" w:sz="4" w:space="0"/>
                    <w:left w:val="single" w:color="auto" w:sz="4" w:space="0"/>
                    <w:bottom w:val="single" w:color="auto" w:sz="12" w:space="0"/>
                    <w:right w:val="single" w:color="auto" w:sz="4" w:space="0"/>
                  </w:tcBorders>
                  <w:noWrap w:val="0"/>
                  <w:vAlign w:val="center"/>
                </w:tcPr>
                <w:p w14:paraId="434444B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i w:val="0"/>
                      <w:iCs w:val="0"/>
                      <w:color w:val="auto"/>
                      <w:kern w:val="0"/>
                      <w:sz w:val="21"/>
                      <w:szCs w:val="21"/>
                      <w:u w:val="none"/>
                      <w:lang w:val="en-US" w:eastAsia="zh-CN" w:bidi="ar"/>
                    </w:rPr>
                    <w:t>0.2122</w:t>
                  </w:r>
                </w:p>
              </w:tc>
              <w:tc>
                <w:tcPr>
                  <w:tcW w:w="2991" w:type="dxa"/>
                  <w:tcBorders>
                    <w:top w:val="single" w:color="auto" w:sz="4" w:space="0"/>
                    <w:left w:val="single" w:color="auto" w:sz="4" w:space="0"/>
                    <w:bottom w:val="single" w:color="auto" w:sz="12" w:space="0"/>
                    <w:right w:val="nil"/>
                  </w:tcBorders>
                  <w:noWrap w:val="0"/>
                  <w:vAlign w:val="center"/>
                </w:tcPr>
                <w:p w14:paraId="682A243F">
                  <w:pPr>
                    <w:keepNext w:val="0"/>
                    <w:keepLines w:val="0"/>
                    <w:pageBreakBefore w:val="0"/>
                    <w:widowControl w:val="0"/>
                    <w:suppressLineNumbers w:val="0"/>
                    <w:kinsoku/>
                    <w:wordWrap/>
                    <w:overflowPunct/>
                    <w:topLinePunct w:val="0"/>
                    <w:autoSpaceDE/>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i w:val="0"/>
                      <w:iCs w:val="0"/>
                      <w:color w:val="auto"/>
                      <w:kern w:val="0"/>
                      <w:sz w:val="21"/>
                      <w:szCs w:val="21"/>
                      <w:u w:val="none"/>
                      <w:lang w:val="en-US" w:eastAsia="zh-CN" w:bidi="ar"/>
                    </w:rPr>
                    <w:t>0.2122</w:t>
                  </w:r>
                </w:p>
              </w:tc>
            </w:tr>
          </w:tbl>
          <w:p w14:paraId="6ED851BA">
            <w:pPr>
              <w:pStyle w:val="5"/>
              <w:numPr>
                <w:ilvl w:val="3"/>
                <w:numId w:val="12"/>
              </w:numPr>
              <w:tabs>
                <w:tab w:val="left" w:pos="0"/>
              </w:tabs>
              <w:bidi w:val="0"/>
              <w:ind w:left="864" w:leftChars="0" w:hanging="864" w:firstLineChars="0"/>
              <w:rPr>
                <w:rFonts w:hint="eastAsia" w:ascii="Times New Roman" w:hAnsi="Times New Roman" w:eastAsia="宋体" w:cs="Times New Roman"/>
                <w:color w:val="auto"/>
                <w:highlight w:val="none"/>
                <w:vertAlign w:val="baseline"/>
                <w:lang w:val="en-US" w:eastAsia="zh-CN"/>
              </w:rPr>
            </w:pPr>
            <w:r>
              <w:rPr>
                <w:rFonts w:hint="eastAsia" w:ascii="Times New Roman" w:hAnsi="Times New Roman" w:eastAsia="宋体" w:cs="Times New Roman"/>
                <w:color w:val="auto"/>
                <w:highlight w:val="none"/>
                <w:vertAlign w:val="baseline"/>
                <w:lang w:val="en-US" w:eastAsia="zh-CN"/>
              </w:rPr>
              <w:t>污染物总量控制</w:t>
            </w:r>
            <w:r>
              <w:rPr>
                <w:rFonts w:hint="eastAsia" w:cs="Times New Roman"/>
                <w:color w:val="auto"/>
                <w:highlight w:val="none"/>
                <w:vertAlign w:val="baseline"/>
                <w:lang w:val="en-US" w:eastAsia="zh-CN"/>
              </w:rPr>
              <w:t>指标</w:t>
            </w:r>
          </w:p>
          <w:p w14:paraId="79C20BF8">
            <w:pPr>
              <w:pStyle w:val="46"/>
              <w:ind w:firstLine="480"/>
              <w:rPr>
                <w:rFonts w:hint="default"/>
                <w:color w:val="auto"/>
                <w:highlight w:val="none"/>
                <w:lang w:val="en-US" w:eastAsia="zh-CN"/>
              </w:rPr>
            </w:pPr>
            <w:r>
              <w:rPr>
                <w:rFonts w:hint="default"/>
                <w:color w:val="auto"/>
                <w:highlight w:val="none"/>
                <w:lang w:val="en-US" w:eastAsia="zh-CN"/>
              </w:rPr>
              <w:t>根据《福建省人民政府关于推进排污权有偿使用和交易工作的意见》</w:t>
            </w:r>
            <w:r>
              <w:rPr>
                <w:rFonts w:hint="eastAsia"/>
                <w:color w:val="auto"/>
                <w:highlight w:val="none"/>
                <w:lang w:val="en-US" w:eastAsia="zh-CN"/>
              </w:rPr>
              <w:t>（</w:t>
            </w:r>
            <w:r>
              <w:rPr>
                <w:rFonts w:hint="default"/>
                <w:color w:val="auto"/>
                <w:highlight w:val="none"/>
                <w:lang w:val="en-US" w:eastAsia="zh-CN"/>
              </w:rPr>
              <w:t>闽政</w:t>
            </w:r>
            <w:r>
              <w:rPr>
                <w:rFonts w:hint="eastAsia"/>
                <w:color w:val="auto"/>
                <w:highlight w:val="none"/>
                <w:lang w:val="en-US" w:eastAsia="zh-CN"/>
              </w:rPr>
              <w:t>〔2016〕54号）</w:t>
            </w:r>
            <w:r>
              <w:rPr>
                <w:rFonts w:hint="default"/>
                <w:color w:val="auto"/>
                <w:highlight w:val="none"/>
                <w:lang w:val="en-US" w:eastAsia="zh-CN"/>
              </w:rPr>
              <w:t>和《福州市建设项目主要污染物排放总量指标管理实施细则</w:t>
            </w:r>
            <w:r>
              <w:rPr>
                <w:rFonts w:hint="eastAsia"/>
                <w:color w:val="auto"/>
                <w:highlight w:val="none"/>
                <w:lang w:val="en-US" w:eastAsia="zh-CN"/>
              </w:rPr>
              <w:t>（</w:t>
            </w:r>
            <w:r>
              <w:rPr>
                <w:rFonts w:hint="default"/>
                <w:color w:val="auto"/>
                <w:highlight w:val="none"/>
                <w:lang w:val="en-US" w:eastAsia="zh-CN"/>
              </w:rPr>
              <w:t>修订</w:t>
            </w:r>
            <w:r>
              <w:rPr>
                <w:rFonts w:hint="eastAsia"/>
                <w:color w:val="auto"/>
                <w:highlight w:val="none"/>
                <w:lang w:val="en-US" w:eastAsia="zh-CN"/>
              </w:rPr>
              <w:t>）</w:t>
            </w:r>
            <w:r>
              <w:rPr>
                <w:rFonts w:hint="default"/>
                <w:color w:val="auto"/>
                <w:highlight w:val="none"/>
                <w:lang w:val="en-US" w:eastAsia="zh-CN"/>
              </w:rPr>
              <w:t>》</w:t>
            </w:r>
            <w:r>
              <w:rPr>
                <w:rFonts w:hint="eastAsia"/>
                <w:color w:val="auto"/>
                <w:highlight w:val="none"/>
                <w:lang w:val="en-US" w:eastAsia="zh-CN"/>
              </w:rPr>
              <w:t>（</w:t>
            </w:r>
            <w:r>
              <w:rPr>
                <w:rFonts w:hint="default"/>
                <w:color w:val="auto"/>
                <w:highlight w:val="none"/>
                <w:lang w:val="en-US" w:eastAsia="zh-CN"/>
              </w:rPr>
              <w:t>榕环保综</w:t>
            </w:r>
            <w:r>
              <w:rPr>
                <w:rFonts w:hint="eastAsia"/>
                <w:color w:val="auto"/>
                <w:highlight w:val="none"/>
                <w:lang w:val="en-US" w:eastAsia="zh-CN"/>
              </w:rPr>
              <w:t>〔2017〕90号）</w:t>
            </w:r>
            <w:r>
              <w:rPr>
                <w:rFonts w:hint="default"/>
                <w:color w:val="auto"/>
                <w:highlight w:val="none"/>
                <w:lang w:val="en-US" w:eastAsia="zh-CN"/>
              </w:rPr>
              <w:t>，将排污权有偿使用和交易的实施对象扩大为全省范围内的工业排污单位、工业集中区集中供热和废气、废水集中治理的污染物为国家对我省实施总量控制的主要污染物，本项目属于服务型项目，非工业项目，不属于工业排污单位，不属于应实施排污权有偿使用和交易的单位，需纳入总量指标管理，故无需申请废水和废气的总量。</w:t>
            </w:r>
          </w:p>
        </w:tc>
      </w:tr>
    </w:tbl>
    <w:p w14:paraId="02B7A30D">
      <w:pPr>
        <w:pStyle w:val="2"/>
        <w:keepNext/>
        <w:keepLines w:val="0"/>
        <w:pageBreakBefore w:val="0"/>
        <w:widowControl w:val="0"/>
        <w:numPr>
          <w:ilvl w:val="0"/>
          <w:numId w:val="0"/>
        </w:numPr>
        <w:tabs>
          <w:tab w:val="left" w:pos="0"/>
        </w:tabs>
        <w:kinsoku/>
        <w:wordWrap/>
        <w:overflowPunct w:val="0"/>
        <w:topLinePunct w:val="0"/>
        <w:autoSpaceDE/>
        <w:autoSpaceDN/>
        <w:bidi w:val="0"/>
        <w:adjustRightInd/>
        <w:snapToGrid w:val="0"/>
        <w:spacing w:before="157" w:beforeLines="50"/>
        <w:ind w:left="431" w:leftChars="0" w:hanging="431" w:firstLineChars="0"/>
        <w:textAlignment w:val="auto"/>
        <w:outlineLvl w:val="9"/>
        <w:rPr>
          <w:rFonts w:ascii="黑体" w:hAnsi="黑体"/>
          <w:snapToGrid w:val="0"/>
          <w:color w:val="auto"/>
          <w:sz w:val="36"/>
          <w:szCs w:val="36"/>
          <w:highlight w:val="none"/>
        </w:rPr>
        <w:sectPr>
          <w:pgSz w:w="11905" w:h="16838"/>
          <w:pgMar w:top="1417" w:right="1417" w:bottom="1417" w:left="1417" w:header="851" w:footer="1077" w:gutter="0"/>
          <w:pgBorders>
            <w:top w:val="none" w:sz="0" w:space="0"/>
            <w:left w:val="none" w:sz="0" w:space="0"/>
            <w:bottom w:val="none" w:sz="0" w:space="0"/>
            <w:right w:val="none" w:sz="0" w:space="0"/>
          </w:pgBorders>
          <w:pgNumType w:fmt="decimal"/>
          <w:cols w:space="0" w:num="1"/>
          <w:docGrid w:linePitch="312" w:charSpace="0"/>
        </w:sectPr>
      </w:pPr>
    </w:p>
    <w:p w14:paraId="0EB20A58">
      <w:pPr>
        <w:pStyle w:val="2"/>
        <w:numPr>
          <w:ilvl w:val="0"/>
          <w:numId w:val="1"/>
        </w:numPr>
        <w:bidi w:val="0"/>
        <w:ind w:left="432" w:leftChars="0" w:hanging="432" w:firstLineChars="0"/>
        <w:rPr>
          <w:rFonts w:hint="eastAsia"/>
          <w:color w:val="auto"/>
          <w:highlight w:val="none"/>
        </w:rPr>
      </w:pPr>
      <w:bookmarkStart w:id="38" w:name="_Toc26442"/>
      <w:bookmarkStart w:id="39" w:name="_Toc4295"/>
      <w:bookmarkStart w:id="40" w:name="_Toc13712"/>
      <w:bookmarkStart w:id="41" w:name="_Toc8710"/>
      <w:bookmarkStart w:id="42" w:name="_Toc31594"/>
      <w:r>
        <w:rPr>
          <w:rFonts w:hint="eastAsia"/>
          <w:color w:val="auto"/>
          <w:highlight w:val="none"/>
        </w:rPr>
        <w:t>主要环境影响和保护措施</w:t>
      </w:r>
      <w:bookmarkEnd w:id="38"/>
      <w:bookmarkEnd w:id="39"/>
      <w:bookmarkEnd w:id="40"/>
      <w:bookmarkEnd w:id="41"/>
      <w:bookmarkEnd w:id="42"/>
    </w:p>
    <w:tbl>
      <w:tblPr>
        <w:tblStyle w:val="34"/>
        <w:tblW w:w="920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66"/>
        <w:gridCol w:w="8941"/>
      </w:tblGrid>
      <w:tr w14:paraId="366D11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726" w:hRule="atLeast"/>
          <w:jc w:val="center"/>
        </w:trPr>
        <w:tc>
          <w:tcPr>
            <w:tcW w:w="240" w:type="dxa"/>
            <w:tcMar>
              <w:left w:w="28" w:type="dxa"/>
              <w:right w:w="28" w:type="dxa"/>
            </w:tcMar>
            <w:vAlign w:val="center"/>
          </w:tcPr>
          <w:p w14:paraId="47E25383">
            <w:pPr>
              <w:pStyle w:val="30"/>
              <w:adjustRightInd w:val="0"/>
              <w:snapToGrid w:val="0"/>
              <w:spacing w:before="0" w:beforeAutospacing="0" w:after="0" w:afterAutospacing="0"/>
              <w:jc w:val="center"/>
              <w:rPr>
                <w:rFonts w:cs="宋体"/>
                <w:color w:val="auto"/>
                <w:kern w:val="2"/>
                <w:sz w:val="21"/>
                <w:szCs w:val="21"/>
                <w:highlight w:val="none"/>
              </w:rPr>
            </w:pPr>
            <w:r>
              <w:rPr>
                <w:rFonts w:hint="eastAsia" w:cs="宋体"/>
                <w:color w:val="auto"/>
                <w:kern w:val="2"/>
                <w:sz w:val="21"/>
                <w:szCs w:val="21"/>
                <w:highlight w:val="none"/>
              </w:rPr>
              <w:t>施工</w:t>
            </w:r>
          </w:p>
          <w:p w14:paraId="47720D68">
            <w:pPr>
              <w:pStyle w:val="30"/>
              <w:adjustRightInd w:val="0"/>
              <w:snapToGrid w:val="0"/>
              <w:spacing w:before="0" w:beforeAutospacing="0" w:after="0" w:afterAutospacing="0"/>
              <w:jc w:val="center"/>
              <w:rPr>
                <w:rFonts w:cs="宋体"/>
                <w:color w:val="auto"/>
                <w:kern w:val="2"/>
                <w:sz w:val="21"/>
                <w:szCs w:val="21"/>
                <w:highlight w:val="none"/>
              </w:rPr>
            </w:pPr>
            <w:r>
              <w:rPr>
                <w:rFonts w:hint="eastAsia" w:cs="宋体"/>
                <w:color w:val="auto"/>
                <w:kern w:val="2"/>
                <w:sz w:val="21"/>
                <w:szCs w:val="21"/>
                <w:highlight w:val="none"/>
              </w:rPr>
              <w:t>期环</w:t>
            </w:r>
          </w:p>
          <w:p w14:paraId="58A8B71B">
            <w:pPr>
              <w:pStyle w:val="30"/>
              <w:adjustRightInd w:val="0"/>
              <w:snapToGrid w:val="0"/>
              <w:spacing w:before="0" w:beforeAutospacing="0" w:after="0" w:afterAutospacing="0"/>
              <w:jc w:val="center"/>
              <w:rPr>
                <w:rFonts w:cs="宋体"/>
                <w:color w:val="auto"/>
                <w:kern w:val="2"/>
                <w:sz w:val="21"/>
                <w:szCs w:val="21"/>
                <w:highlight w:val="none"/>
              </w:rPr>
            </w:pPr>
            <w:r>
              <w:rPr>
                <w:rFonts w:hint="eastAsia" w:cs="宋体"/>
                <w:color w:val="auto"/>
                <w:kern w:val="2"/>
                <w:sz w:val="21"/>
                <w:szCs w:val="21"/>
                <w:highlight w:val="none"/>
              </w:rPr>
              <w:t>境保</w:t>
            </w:r>
          </w:p>
          <w:p w14:paraId="0B6C620E">
            <w:pPr>
              <w:pStyle w:val="30"/>
              <w:adjustRightInd w:val="0"/>
              <w:snapToGrid w:val="0"/>
              <w:spacing w:before="0" w:beforeAutospacing="0" w:after="0" w:afterAutospacing="0"/>
              <w:jc w:val="center"/>
              <w:rPr>
                <w:rFonts w:hint="eastAsia" w:ascii="宋体" w:hAnsi="宋体" w:eastAsia="宋体" w:cs="宋体"/>
                <w:bCs/>
                <w:color w:val="auto"/>
                <w:szCs w:val="21"/>
                <w:highlight w:val="none"/>
                <w:lang w:val="en-US" w:eastAsia="zh-CN"/>
              </w:rPr>
            </w:pPr>
            <w:r>
              <w:rPr>
                <w:rFonts w:hint="eastAsia" w:cs="宋体"/>
                <w:color w:val="auto"/>
                <w:kern w:val="2"/>
                <w:sz w:val="21"/>
                <w:szCs w:val="21"/>
                <w:highlight w:val="none"/>
              </w:rPr>
              <w:t>护</w:t>
            </w:r>
            <w:r>
              <w:rPr>
                <w:rFonts w:hint="eastAsia" w:cs="宋体"/>
                <w:color w:val="auto"/>
                <w:kern w:val="2"/>
                <w:sz w:val="21"/>
                <w:szCs w:val="21"/>
                <w:highlight w:val="none"/>
                <w:lang w:val="en-US" w:eastAsia="zh-CN"/>
              </w:rPr>
              <w:t>措施</w:t>
            </w:r>
          </w:p>
        </w:tc>
        <w:tc>
          <w:tcPr>
            <w:tcW w:w="8967" w:type="dxa"/>
            <w:vAlign w:val="center"/>
          </w:tcPr>
          <w:p w14:paraId="786728FC">
            <w:pPr>
              <w:pStyle w:val="3"/>
              <w:numPr>
                <w:ilvl w:val="1"/>
                <w:numId w:val="1"/>
              </w:numPr>
              <w:bidi w:val="0"/>
              <w:ind w:left="0" w:leftChars="0" w:firstLine="0" w:firstLineChars="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施工期环境保护措施</w:t>
            </w:r>
          </w:p>
          <w:p w14:paraId="3820DD40">
            <w:pPr>
              <w:pStyle w:val="97"/>
              <w:keepNext w:val="0"/>
              <w:keepLines w:val="0"/>
              <w:pageBreakBefore w:val="0"/>
              <w:widowControl w:val="0"/>
              <w:kinsoku/>
              <w:wordWrap/>
              <w:overflowPunct/>
              <w:topLinePunct w:val="0"/>
              <w:autoSpaceDE/>
              <w:autoSpaceDN/>
              <w:bidi w:val="0"/>
              <w:adjustRightInd/>
              <w:snapToGrid/>
              <w:spacing w:line="360" w:lineRule="auto"/>
              <w:ind w:left="0" w:right="0" w:firstLine="472" w:firstLineChars="200"/>
              <w:jc w:val="both"/>
              <w:textAlignment w:val="auto"/>
              <w:rPr>
                <w:rFonts w:hint="default" w:ascii="Times New Roman" w:hAnsi="Times New Roman" w:cs="Times New Roman"/>
                <w:color w:val="auto"/>
                <w:highlight w:val="none"/>
                <w:lang w:val="en-US" w:eastAsia="zh-CN"/>
              </w:rPr>
            </w:pPr>
            <w:r>
              <w:rPr>
                <w:rFonts w:ascii="Times New Roman" w:hAnsi="Times New Roman"/>
                <w:color w:val="auto"/>
                <w:spacing w:val="-2"/>
                <w:sz w:val="24"/>
              </w:rPr>
              <w:t>本项目厂址位于</w:t>
            </w:r>
            <w:r>
              <w:rPr>
                <w:rFonts w:hint="eastAsia" w:ascii="Times New Roman" w:hAnsi="Times New Roman"/>
                <w:color w:val="auto"/>
                <w:spacing w:val="-2"/>
                <w:sz w:val="24"/>
                <w:lang w:val="en-US" w:eastAsia="zh-CN"/>
              </w:rPr>
              <w:t>福建省福州市罗源县凤山镇东大新村3号（2#楼、负压病房大楼以及1#楼1-3层）</w:t>
            </w:r>
            <w:r>
              <w:rPr>
                <w:rFonts w:ascii="Times New Roman" w:hAnsi="Times New Roman"/>
                <w:color w:val="auto"/>
                <w:spacing w:val="-2"/>
                <w:sz w:val="24"/>
              </w:rPr>
              <w:t>，根据现</w:t>
            </w:r>
            <w:r>
              <w:rPr>
                <w:color w:val="auto"/>
                <w:spacing w:val="-2"/>
                <w:sz w:val="24"/>
              </w:rPr>
              <w:t>场勘查，</w:t>
            </w:r>
            <w:r>
              <w:rPr>
                <w:rFonts w:hint="eastAsia"/>
                <w:color w:val="auto"/>
                <w:spacing w:val="-2"/>
                <w:sz w:val="24"/>
                <w:lang w:val="en-US" w:eastAsia="zh-CN"/>
              </w:rPr>
              <w:t>项目涉及的大楼</w:t>
            </w:r>
            <w:r>
              <w:rPr>
                <w:color w:val="auto"/>
                <w:spacing w:val="-2"/>
                <w:sz w:val="24"/>
              </w:rPr>
              <w:t>主体结构已经建成，因此不存在</w:t>
            </w:r>
            <w:r>
              <w:rPr>
                <w:rFonts w:hint="eastAsia"/>
                <w:color w:val="auto"/>
                <w:spacing w:val="-2"/>
                <w:sz w:val="24"/>
                <w:lang w:val="en-US" w:eastAsia="zh-CN"/>
              </w:rPr>
              <w:t>大楼</w:t>
            </w:r>
            <w:r>
              <w:rPr>
                <w:color w:val="auto"/>
                <w:spacing w:val="-2"/>
                <w:sz w:val="24"/>
              </w:rPr>
              <w:t>等主体工程施工期环境影响。项目施工期主要为设备安装、调试阶段产生的环境问题，本项目设备安装、调试简单，且时间较</w:t>
            </w:r>
            <w:r>
              <w:rPr>
                <w:color w:val="auto"/>
                <w:spacing w:val="-1"/>
                <w:sz w:val="24"/>
              </w:rPr>
              <w:t>短，因此，随着设备安装、调试完毕后，项目施工期也将结束，施工期环境影响也</w:t>
            </w:r>
            <w:r>
              <w:rPr>
                <w:rFonts w:hint="eastAsia"/>
                <w:color w:val="auto"/>
                <w:spacing w:val="-1"/>
                <w:sz w:val="24"/>
                <w:lang w:eastAsia="zh-CN"/>
              </w:rPr>
              <w:t>随之</w:t>
            </w:r>
            <w:r>
              <w:rPr>
                <w:color w:val="auto"/>
                <w:spacing w:val="-1"/>
                <w:sz w:val="24"/>
              </w:rPr>
              <w:t>消失，不会对周边环境噪声影响。</w:t>
            </w:r>
            <w:r>
              <w:rPr>
                <w:rFonts w:hint="eastAsia" w:ascii="Times New Roman" w:hAnsi="Times New Roman"/>
                <w:color w:val="auto"/>
                <w:sz w:val="24"/>
                <w:szCs w:val="24"/>
                <w:highlight w:val="none"/>
              </w:rPr>
              <w:t>本项目的施工活动主要为设备安装及调试等，施工期影响较小，因此本评价不再对施工期环境影响进行评价。</w:t>
            </w:r>
          </w:p>
        </w:tc>
      </w:tr>
      <w:tr w14:paraId="693CCE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56" w:hRule="atLeast"/>
          <w:jc w:val="center"/>
        </w:trPr>
        <w:tc>
          <w:tcPr>
            <w:tcW w:w="240" w:type="dxa"/>
            <w:tcMar>
              <w:left w:w="28" w:type="dxa"/>
              <w:right w:w="28" w:type="dxa"/>
            </w:tcMar>
            <w:vAlign w:val="center"/>
          </w:tcPr>
          <w:p w14:paraId="47BFB20F">
            <w:pPr>
              <w:adjustRightInd w:val="0"/>
              <w:snapToGrid w:val="0"/>
              <w:jc w:val="center"/>
              <w:rPr>
                <w:rFonts w:ascii="宋体" w:hAnsi="宋体" w:cs="宋体"/>
                <w:bCs/>
                <w:color w:val="auto"/>
                <w:szCs w:val="21"/>
                <w:highlight w:val="none"/>
              </w:rPr>
            </w:pPr>
            <w:r>
              <w:rPr>
                <w:rFonts w:hint="eastAsia" w:ascii="宋体" w:hAnsi="宋体" w:cs="宋体"/>
                <w:bCs/>
                <w:color w:val="auto"/>
                <w:szCs w:val="21"/>
                <w:highlight w:val="none"/>
              </w:rPr>
              <w:t>运营</w:t>
            </w:r>
          </w:p>
          <w:p w14:paraId="371B7271">
            <w:pPr>
              <w:adjustRightInd w:val="0"/>
              <w:snapToGrid w:val="0"/>
              <w:jc w:val="center"/>
              <w:rPr>
                <w:rFonts w:ascii="宋体" w:hAnsi="宋体" w:cs="宋体"/>
                <w:bCs/>
                <w:color w:val="auto"/>
                <w:szCs w:val="21"/>
                <w:highlight w:val="none"/>
              </w:rPr>
            </w:pPr>
            <w:r>
              <w:rPr>
                <w:rFonts w:hint="eastAsia" w:ascii="宋体" w:hAnsi="宋体" w:cs="宋体"/>
                <w:bCs/>
                <w:color w:val="auto"/>
                <w:szCs w:val="21"/>
                <w:highlight w:val="none"/>
              </w:rPr>
              <w:t>期环</w:t>
            </w:r>
          </w:p>
          <w:p w14:paraId="1532AACB">
            <w:pPr>
              <w:adjustRightInd w:val="0"/>
              <w:snapToGrid w:val="0"/>
              <w:jc w:val="center"/>
              <w:rPr>
                <w:rFonts w:ascii="宋体" w:hAnsi="宋体" w:cs="宋体"/>
                <w:bCs/>
                <w:color w:val="auto"/>
                <w:szCs w:val="21"/>
                <w:highlight w:val="none"/>
              </w:rPr>
            </w:pPr>
            <w:r>
              <w:rPr>
                <w:rFonts w:hint="eastAsia" w:ascii="宋体" w:hAnsi="宋体" w:cs="宋体"/>
                <w:bCs/>
                <w:color w:val="auto"/>
                <w:szCs w:val="21"/>
                <w:highlight w:val="none"/>
              </w:rPr>
              <w:t>境影</w:t>
            </w:r>
          </w:p>
          <w:p w14:paraId="0302C6DE">
            <w:pPr>
              <w:adjustRightInd w:val="0"/>
              <w:snapToGrid w:val="0"/>
              <w:jc w:val="center"/>
              <w:rPr>
                <w:rFonts w:ascii="宋体" w:hAnsi="宋体" w:cs="宋体"/>
                <w:bCs/>
                <w:color w:val="auto"/>
                <w:szCs w:val="21"/>
                <w:highlight w:val="none"/>
              </w:rPr>
            </w:pPr>
            <w:r>
              <w:rPr>
                <w:rFonts w:hint="eastAsia" w:ascii="宋体" w:hAnsi="宋体" w:cs="宋体"/>
                <w:bCs/>
                <w:color w:val="auto"/>
                <w:szCs w:val="21"/>
                <w:highlight w:val="none"/>
              </w:rPr>
              <w:t>响和</w:t>
            </w:r>
          </w:p>
          <w:p w14:paraId="57C45AEB">
            <w:pPr>
              <w:adjustRightInd w:val="0"/>
              <w:snapToGrid w:val="0"/>
              <w:jc w:val="center"/>
              <w:rPr>
                <w:rFonts w:ascii="宋体" w:hAnsi="宋体" w:cs="宋体"/>
                <w:bCs/>
                <w:color w:val="auto"/>
                <w:szCs w:val="21"/>
                <w:highlight w:val="none"/>
              </w:rPr>
            </w:pPr>
            <w:r>
              <w:rPr>
                <w:rFonts w:hint="eastAsia" w:ascii="宋体" w:hAnsi="宋体" w:cs="宋体"/>
                <w:bCs/>
                <w:color w:val="auto"/>
                <w:szCs w:val="21"/>
                <w:highlight w:val="none"/>
              </w:rPr>
              <w:t>保护</w:t>
            </w:r>
          </w:p>
          <w:p w14:paraId="2C3E9B32">
            <w:pPr>
              <w:adjustRightInd w:val="0"/>
              <w:snapToGrid w:val="0"/>
              <w:jc w:val="center"/>
              <w:rPr>
                <w:rFonts w:ascii="宋体" w:hAnsi="宋体" w:cs="宋体"/>
                <w:bCs/>
                <w:color w:val="auto"/>
                <w:szCs w:val="21"/>
                <w:highlight w:val="none"/>
              </w:rPr>
            </w:pPr>
            <w:r>
              <w:rPr>
                <w:rFonts w:hint="eastAsia" w:ascii="宋体" w:hAnsi="宋体" w:cs="宋体"/>
                <w:bCs/>
                <w:color w:val="auto"/>
                <w:szCs w:val="21"/>
                <w:highlight w:val="none"/>
              </w:rPr>
              <w:t>措施</w:t>
            </w:r>
          </w:p>
        </w:tc>
        <w:tc>
          <w:tcPr>
            <w:tcW w:w="8967" w:type="dxa"/>
            <w:vAlign w:val="center"/>
          </w:tcPr>
          <w:p w14:paraId="137B6345">
            <w:pPr>
              <w:pStyle w:val="3"/>
              <w:numPr>
                <w:ilvl w:val="1"/>
                <w:numId w:val="1"/>
              </w:numPr>
              <w:bidi w:val="0"/>
              <w:ind w:left="0" w:leftChars="0" w:firstLine="0" w:firstLineChars="0"/>
              <w:rPr>
                <w:rFonts w:hint="eastAsia"/>
                <w:color w:val="auto"/>
                <w:highlight w:val="none"/>
              </w:rPr>
            </w:pPr>
            <w:bookmarkStart w:id="43" w:name="_Toc17051"/>
            <w:r>
              <w:rPr>
                <w:rFonts w:hint="eastAsia"/>
                <w:color w:val="auto"/>
                <w:highlight w:val="none"/>
                <w:lang w:val="en-US" w:eastAsia="zh-CN"/>
              </w:rPr>
              <w:t>运营期</w:t>
            </w:r>
            <w:r>
              <w:rPr>
                <w:rFonts w:hint="eastAsia"/>
                <w:color w:val="auto"/>
                <w:highlight w:val="none"/>
              </w:rPr>
              <w:t>大气环境</w:t>
            </w:r>
            <w:r>
              <w:rPr>
                <w:rFonts w:hint="eastAsia"/>
                <w:color w:val="auto"/>
                <w:highlight w:val="none"/>
                <w:lang w:val="en-US" w:eastAsia="zh-CN"/>
              </w:rPr>
              <w:t>影响</w:t>
            </w:r>
            <w:bookmarkEnd w:id="43"/>
          </w:p>
          <w:p w14:paraId="7948F207">
            <w:pPr>
              <w:pStyle w:val="4"/>
              <w:numPr>
                <w:ilvl w:val="2"/>
                <w:numId w:val="13"/>
              </w:numPr>
              <w:tabs>
                <w:tab w:val="left" w:pos="0"/>
              </w:tabs>
              <w:bidi w:val="0"/>
              <w:ind w:left="720" w:leftChars="0" w:hanging="720" w:firstLineChars="0"/>
              <w:rPr>
                <w:rFonts w:hint="default" w:ascii="Times New Roman" w:hAnsi="Times New Roman" w:eastAsia="宋体" w:cs="宋体"/>
                <w:color w:val="auto"/>
                <w:highlight w:val="none"/>
                <w:lang w:val="en-US" w:eastAsia="zh-CN"/>
              </w:rPr>
            </w:pPr>
            <w:r>
              <w:rPr>
                <w:rFonts w:hint="eastAsia"/>
                <w:color w:val="auto"/>
                <w:highlight w:val="none"/>
                <w:lang w:val="en-US" w:eastAsia="zh-CN"/>
              </w:rPr>
              <w:t>废气源强分析</w:t>
            </w:r>
          </w:p>
          <w:p w14:paraId="19DD7C20">
            <w:pPr>
              <w:pStyle w:val="53"/>
              <w:spacing w:line="360" w:lineRule="auto"/>
              <w:ind w:firstLine="480" w:firstLineChars="200"/>
              <w:jc w:val="both"/>
              <w:rPr>
                <w:rFonts w:hint="default" w:ascii="Times New Roman" w:hAnsi="Times New Roman"/>
                <w:color w:val="auto"/>
                <w:highlight w:val="none"/>
                <w:lang w:val="en-US" w:eastAsia="zh-CN"/>
              </w:rPr>
            </w:pPr>
            <w:r>
              <w:rPr>
                <w:rFonts w:hint="eastAsia" w:ascii="Times New Roman" w:hAnsi="Times New Roman"/>
                <w:color w:val="auto"/>
                <w:highlight w:val="none"/>
                <w:lang w:val="en-US" w:eastAsia="zh-CN"/>
              </w:rPr>
              <w:t>本项目营运期产生的废气包括医疗区废气、</w:t>
            </w:r>
            <w:r>
              <w:rPr>
                <w:rFonts w:hint="eastAsia" w:ascii="Times New Roman" w:cs="Times New Roman"/>
                <w:color w:val="auto"/>
                <w:kern w:val="2"/>
                <w:sz w:val="24"/>
                <w:szCs w:val="24"/>
                <w:highlight w:val="none"/>
                <w:lang w:val="en-US" w:eastAsia="zh-CN" w:bidi="ar-SA"/>
              </w:rPr>
              <w:t>污水处理设施废气、化验室废气</w:t>
            </w:r>
            <w:r>
              <w:rPr>
                <w:rFonts w:hint="eastAsia" w:ascii="Times New Roman" w:hAnsi="Times New Roman"/>
                <w:color w:val="auto"/>
                <w:highlight w:val="none"/>
                <w:lang w:val="en-US" w:eastAsia="zh-CN"/>
              </w:rPr>
              <w:t>。本项目不设置停车场，医疗急救车辆、医疗废物转运车辆及行政用车均采取即停即走方式，不在院区长时间停留，汽车尾气产生量极少。项目周边市政道路交通量较小，汽车尾气经大气扩散后对院区环境影响较小。本环评仅做定性分析。</w:t>
            </w:r>
          </w:p>
          <w:p w14:paraId="1E5B3486">
            <w:pPr>
              <w:pStyle w:val="53"/>
              <w:spacing w:line="360" w:lineRule="auto"/>
              <w:ind w:firstLine="480" w:firstLineChars="200"/>
              <w:jc w:val="both"/>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（1）污染物源强分析</w:t>
            </w:r>
          </w:p>
          <w:p w14:paraId="4FAB304A">
            <w:pPr>
              <w:pStyle w:val="53"/>
              <w:spacing w:line="360" w:lineRule="auto"/>
              <w:ind w:firstLine="480" w:firstLineChars="200"/>
              <w:jc w:val="both"/>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（1）医疗区废气</w:t>
            </w:r>
          </w:p>
          <w:p w14:paraId="0A0AFB61">
            <w:pPr>
              <w:pStyle w:val="53"/>
              <w:spacing w:line="360" w:lineRule="auto"/>
              <w:ind w:firstLine="480" w:firstLineChars="200"/>
              <w:jc w:val="both"/>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医疗区废气来源于病人和医疗活动，含有白喉杆菌、金黄色葡萄球菌、流感病毒等空气传播疾病的病原菌、以气溶胶形式存在于医院空气中的大气污染物。</w:t>
            </w:r>
          </w:p>
          <w:p w14:paraId="47FAC063">
            <w:pPr>
              <w:pStyle w:val="53"/>
              <w:spacing w:line="360" w:lineRule="auto"/>
              <w:ind w:firstLine="480" w:firstLineChars="200"/>
              <w:jc w:val="both"/>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根据《医院消毒卫生标准》及《医院消毒技术规范》的要求，选用臭氧紫外线消毒工艺装置对楼内各类用房、手术室进行室内空气消毒、灭菌处理，采用5000mgL含氯消毒液进行地面、室内消毒，采用酒精等进行医疗器械消毒。严格执行消毒和通风制度，确保医院经消毒后的环境空气细菌总数达到《室内空气质量标准》（GB/T 18883-2022）的要求。降低院内交叉感染的可能。</w:t>
            </w:r>
          </w:p>
          <w:p w14:paraId="0B275BE1">
            <w:pPr>
              <w:pStyle w:val="55"/>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医院运营期诊室、手术室、病房等会无组织逸散少量医药、消毒气体，须做好通风换气工作，当自然通风无法满足卫生要求时，采用机械通风</w:t>
            </w:r>
            <w:r>
              <w:rPr>
                <w:rFonts w:hint="eastAsia" w:ascii="Times New Roman" w:cs="Times New Roman"/>
                <w:color w:val="auto"/>
                <w:kern w:val="2"/>
                <w:sz w:val="24"/>
                <w:szCs w:val="24"/>
                <w:highlight w:val="none"/>
                <w:lang w:val="en-US" w:eastAsia="zh-CN" w:bidi="ar-SA"/>
              </w:rPr>
              <w:t>。</w:t>
            </w:r>
          </w:p>
          <w:p w14:paraId="54F4020A">
            <w:pPr>
              <w:pStyle w:val="55"/>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cs="Times New Roman"/>
                <w:color w:val="auto"/>
                <w:kern w:val="2"/>
                <w:sz w:val="24"/>
                <w:szCs w:val="24"/>
                <w:highlight w:val="none"/>
                <w:lang w:val="en-US" w:eastAsia="zh-CN" w:bidi="ar-SA"/>
              </w:rPr>
            </w:pPr>
            <w:r>
              <w:rPr>
                <w:rFonts w:hint="eastAsia" w:ascii="Times New Roman" w:cs="Times New Roman"/>
                <w:color w:val="auto"/>
                <w:kern w:val="2"/>
                <w:sz w:val="24"/>
                <w:szCs w:val="24"/>
                <w:highlight w:val="none"/>
                <w:lang w:val="en-US" w:eastAsia="zh-CN" w:bidi="ar-SA"/>
              </w:rPr>
              <w:t>（2）污水处理设施废气</w:t>
            </w:r>
          </w:p>
          <w:p w14:paraId="37B8C50B">
            <w:pPr>
              <w:pStyle w:val="55"/>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cs="Times New Roman"/>
                <w:color w:val="auto"/>
                <w:kern w:val="2"/>
                <w:sz w:val="24"/>
                <w:szCs w:val="24"/>
                <w:highlight w:val="none"/>
                <w:lang w:val="en-US" w:eastAsia="zh-CN" w:bidi="ar-SA"/>
              </w:rPr>
            </w:pPr>
            <w:r>
              <w:rPr>
                <w:rFonts w:hint="eastAsia" w:ascii="Times New Roman" w:cs="Times New Roman"/>
                <w:color w:val="auto"/>
                <w:kern w:val="2"/>
                <w:sz w:val="24"/>
                <w:szCs w:val="24"/>
                <w:highlight w:val="none"/>
                <w:lang w:val="en-US" w:eastAsia="zh-CN" w:bidi="ar-SA"/>
              </w:rPr>
              <w:t>恶臭污染物是本工程产生的特征大气污染物，也是主要污染物。在污水处理站运营过程中，由于微生物、原生动物、菌股团等的新陈代谢作用，将产生恶臭污染物，可能给周围大气环境带来恶臭影响。</w:t>
            </w:r>
          </w:p>
          <w:p w14:paraId="208D5FF6">
            <w:pPr>
              <w:pStyle w:val="55"/>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cs="Times New Roman"/>
                <w:color w:val="auto"/>
                <w:kern w:val="2"/>
                <w:sz w:val="24"/>
                <w:szCs w:val="24"/>
                <w:highlight w:val="none"/>
                <w:lang w:val="en-US" w:eastAsia="zh-CN" w:bidi="ar-SA"/>
              </w:rPr>
            </w:pPr>
            <w:r>
              <w:rPr>
                <w:rFonts w:hint="eastAsia" w:ascii="Times New Roman" w:cs="Times New Roman"/>
                <w:color w:val="auto"/>
                <w:kern w:val="2"/>
                <w:sz w:val="24"/>
                <w:szCs w:val="24"/>
                <w:highlight w:val="none"/>
                <w:lang w:val="en-US" w:eastAsia="zh-CN" w:bidi="ar-SA"/>
              </w:rPr>
              <w:t>恶臭物质主要由碳、氮和硫元素组成，大多数气味物质是有机物，只有少数的气味物质是无机物。臭气成分包括氨、硫化氢、甲硫醇、二甲基胺、三甲基胺等，臭气各成分中氨的浓度最高，其次是硫化氢。各种臭气成分主要介质是硫化氢和氨等挥发性物质，感官体现为综合性恶臭异味。由于绝大多数臭味物质溶水性较差，易挥发，被人吸入后，将引起不愉快的气味感觉。鉴于目前的环境标准和监测手段，此次评价仅以其中的H</w:t>
            </w:r>
            <w:r>
              <w:rPr>
                <w:rFonts w:hint="eastAsia" w:ascii="Times New Roman" w:cs="Times New Roman"/>
                <w:color w:val="auto"/>
                <w:kern w:val="2"/>
                <w:sz w:val="24"/>
                <w:szCs w:val="24"/>
                <w:highlight w:val="none"/>
                <w:vertAlign w:val="subscript"/>
                <w:lang w:val="en-US" w:eastAsia="zh-CN" w:bidi="ar-SA"/>
              </w:rPr>
              <w:t>2</w:t>
            </w:r>
            <w:r>
              <w:rPr>
                <w:rFonts w:hint="eastAsia" w:ascii="Times New Roman" w:cs="Times New Roman"/>
                <w:color w:val="auto"/>
                <w:kern w:val="2"/>
                <w:sz w:val="24"/>
                <w:szCs w:val="24"/>
                <w:highlight w:val="none"/>
                <w:lang w:val="en-US" w:eastAsia="zh-CN" w:bidi="ar-SA"/>
              </w:rPr>
              <w:t>S和NH</w:t>
            </w:r>
            <w:r>
              <w:rPr>
                <w:rFonts w:hint="eastAsia" w:ascii="Times New Roman" w:cs="Times New Roman"/>
                <w:color w:val="auto"/>
                <w:kern w:val="2"/>
                <w:sz w:val="24"/>
                <w:szCs w:val="24"/>
                <w:highlight w:val="none"/>
                <w:vertAlign w:val="subscript"/>
                <w:lang w:val="en-US" w:eastAsia="zh-CN" w:bidi="ar-SA"/>
              </w:rPr>
              <w:t>3</w:t>
            </w:r>
            <w:r>
              <w:rPr>
                <w:rFonts w:hint="eastAsia" w:ascii="Times New Roman" w:cs="Times New Roman"/>
                <w:color w:val="auto"/>
                <w:kern w:val="2"/>
                <w:sz w:val="24"/>
                <w:szCs w:val="24"/>
                <w:highlight w:val="none"/>
                <w:lang w:val="en-US" w:eastAsia="zh-CN" w:bidi="ar-SA"/>
              </w:rPr>
              <w:t>作为评价因子，进行计算和分析。</w:t>
            </w:r>
          </w:p>
          <w:p w14:paraId="3CAB9F4A">
            <w:pPr>
              <w:pStyle w:val="55"/>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cs="Times New Roman"/>
                <w:color w:val="auto"/>
                <w:kern w:val="2"/>
                <w:sz w:val="24"/>
                <w:szCs w:val="24"/>
                <w:highlight w:val="none"/>
                <w:lang w:val="en-US" w:eastAsia="zh-CN" w:bidi="ar-SA"/>
              </w:rPr>
            </w:pPr>
            <w:r>
              <w:rPr>
                <w:rFonts w:hint="eastAsia" w:ascii="Times New Roman" w:cs="Times New Roman"/>
                <w:color w:val="auto"/>
                <w:kern w:val="2"/>
                <w:sz w:val="24"/>
                <w:szCs w:val="24"/>
                <w:highlight w:val="none"/>
                <w:lang w:val="en-US" w:eastAsia="zh-CN" w:bidi="ar-SA"/>
              </w:rPr>
              <w:t>由于恶臭物质的逸出和扩散机理比较复杂，废气源强难以计算，本次臭气污染源源强采用美国EPA对城市污水处理厂恶臭污染物产生情况的研究，每处理1g的BOD</w:t>
            </w:r>
            <w:r>
              <w:rPr>
                <w:rFonts w:hint="eastAsia" w:ascii="Times New Roman" w:cs="Times New Roman"/>
                <w:color w:val="auto"/>
                <w:kern w:val="2"/>
                <w:sz w:val="24"/>
                <w:szCs w:val="24"/>
                <w:highlight w:val="none"/>
                <w:vertAlign w:val="subscript"/>
                <w:lang w:val="en-US" w:eastAsia="zh-CN" w:bidi="ar-SA"/>
              </w:rPr>
              <w:t>5</w:t>
            </w:r>
            <w:r>
              <w:rPr>
                <w:rFonts w:hint="eastAsia" w:ascii="Times New Roman" w:cs="Times New Roman"/>
                <w:color w:val="auto"/>
                <w:kern w:val="2"/>
                <w:sz w:val="24"/>
                <w:szCs w:val="24"/>
                <w:highlight w:val="none"/>
                <w:lang w:val="en-US" w:eastAsia="zh-CN" w:bidi="ar-SA"/>
              </w:rPr>
              <w:t>，可产生0.0031g的NH</w:t>
            </w:r>
            <w:r>
              <w:rPr>
                <w:rFonts w:hint="eastAsia" w:ascii="Times New Roman" w:cs="Times New Roman"/>
                <w:color w:val="auto"/>
                <w:kern w:val="2"/>
                <w:sz w:val="24"/>
                <w:szCs w:val="24"/>
                <w:highlight w:val="none"/>
                <w:vertAlign w:val="subscript"/>
                <w:lang w:val="en-US" w:eastAsia="zh-CN" w:bidi="ar-SA"/>
              </w:rPr>
              <w:t>3</w:t>
            </w:r>
            <w:r>
              <w:rPr>
                <w:rFonts w:hint="eastAsia" w:ascii="Times New Roman" w:cs="Times New Roman"/>
                <w:color w:val="auto"/>
                <w:kern w:val="2"/>
                <w:sz w:val="24"/>
                <w:szCs w:val="24"/>
                <w:highlight w:val="none"/>
                <w:lang w:val="en-US" w:eastAsia="zh-CN" w:bidi="ar-SA"/>
              </w:rPr>
              <w:t>和0.00012g的H</w:t>
            </w:r>
            <w:r>
              <w:rPr>
                <w:rFonts w:hint="eastAsia" w:ascii="Times New Roman" w:cs="Times New Roman"/>
                <w:color w:val="auto"/>
                <w:kern w:val="2"/>
                <w:sz w:val="24"/>
                <w:szCs w:val="24"/>
                <w:highlight w:val="none"/>
                <w:vertAlign w:val="subscript"/>
                <w:lang w:val="en-US" w:eastAsia="zh-CN" w:bidi="ar-SA"/>
              </w:rPr>
              <w:t>2</w:t>
            </w:r>
            <w:r>
              <w:rPr>
                <w:rFonts w:hint="eastAsia" w:ascii="Times New Roman" w:cs="Times New Roman"/>
                <w:color w:val="auto"/>
                <w:kern w:val="2"/>
                <w:sz w:val="24"/>
                <w:szCs w:val="24"/>
                <w:highlight w:val="none"/>
                <w:lang w:val="en-US" w:eastAsia="zh-CN" w:bidi="ar-SA"/>
              </w:rPr>
              <w:t>S进行估算。本项目BOD</w:t>
            </w:r>
            <w:r>
              <w:rPr>
                <w:rFonts w:hint="eastAsia" w:ascii="Times New Roman" w:cs="Times New Roman"/>
                <w:color w:val="auto"/>
                <w:kern w:val="2"/>
                <w:sz w:val="24"/>
                <w:szCs w:val="24"/>
                <w:highlight w:val="none"/>
                <w:vertAlign w:val="subscript"/>
                <w:lang w:val="en-US" w:eastAsia="zh-CN" w:bidi="ar-SA"/>
              </w:rPr>
              <w:t>5</w:t>
            </w:r>
            <w:r>
              <w:rPr>
                <w:rFonts w:hint="eastAsia" w:ascii="Times New Roman" w:cs="Times New Roman"/>
                <w:color w:val="auto"/>
                <w:kern w:val="2"/>
                <w:sz w:val="24"/>
                <w:szCs w:val="24"/>
                <w:highlight w:val="none"/>
                <w:lang w:val="en-US" w:eastAsia="zh-CN" w:bidi="ar-SA"/>
              </w:rPr>
              <w:t>进水浓度按150mg/L来计，BOD</w:t>
            </w:r>
            <w:r>
              <w:rPr>
                <w:rFonts w:hint="eastAsia" w:ascii="Times New Roman" w:cs="Times New Roman"/>
                <w:color w:val="auto"/>
                <w:kern w:val="2"/>
                <w:sz w:val="24"/>
                <w:szCs w:val="24"/>
                <w:highlight w:val="none"/>
                <w:vertAlign w:val="subscript"/>
                <w:lang w:val="en-US" w:eastAsia="zh-CN" w:bidi="ar-SA"/>
              </w:rPr>
              <w:t>5</w:t>
            </w:r>
            <w:r>
              <w:rPr>
                <w:rFonts w:hint="eastAsia" w:ascii="Times New Roman" w:cs="Times New Roman"/>
                <w:color w:val="auto"/>
                <w:kern w:val="2"/>
                <w:sz w:val="24"/>
                <w:szCs w:val="24"/>
                <w:highlight w:val="none"/>
                <w:lang w:val="en-US" w:eastAsia="zh-CN" w:bidi="ar-SA"/>
              </w:rPr>
              <w:t>出水浓度按100mg/L来计，污水处理站恶臭污染物产排情况见下表。</w:t>
            </w:r>
          </w:p>
          <w:p w14:paraId="7A017F1F">
            <w:pPr>
              <w:pStyle w:val="44"/>
              <w:keepNext/>
              <w:keepLines/>
              <w:pageBreakBefore w:val="0"/>
              <w:widowControl w:val="0"/>
              <w:numPr>
                <w:ilvl w:val="7"/>
                <w:numId w:val="13"/>
              </w:numPr>
              <w:tabs>
                <w:tab w:val="left" w:pos="0"/>
              </w:tabs>
              <w:kinsoku/>
              <w:wordWrap/>
              <w:overflowPunct/>
              <w:topLinePunct w:val="0"/>
              <w:autoSpaceDE/>
              <w:autoSpaceDN/>
              <w:bidi w:val="0"/>
              <w:adjustRightInd/>
              <w:snapToGrid/>
              <w:spacing w:before="120"/>
              <w:ind w:left="630" w:leftChars="0" w:firstLine="0" w:firstLineChars="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本项目的恶臭物质产排情况</w:t>
            </w:r>
          </w:p>
          <w:tbl>
            <w:tblPr>
              <w:tblStyle w:val="35"/>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85"/>
              <w:gridCol w:w="1078"/>
              <w:gridCol w:w="1079"/>
              <w:gridCol w:w="1080"/>
              <w:gridCol w:w="1115"/>
              <w:gridCol w:w="1082"/>
              <w:gridCol w:w="1115"/>
              <w:gridCol w:w="1086"/>
            </w:tblGrid>
            <w:tr w14:paraId="457713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88" w:type="dxa"/>
                  <w:vMerge w:val="restart"/>
                  <w:tcBorders>
                    <w:tl2br w:val="nil"/>
                    <w:tr2bl w:val="nil"/>
                  </w:tcBorders>
                </w:tcPr>
                <w:p w14:paraId="30646ED6">
                  <w:pPr>
                    <w:pStyle w:val="56"/>
                    <w:keepNext w:val="0"/>
                    <w:keepLines w:val="0"/>
                    <w:pageBreakBefore w:val="0"/>
                    <w:widowControl/>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废水量（t/a）</w:t>
                  </w:r>
                </w:p>
              </w:tc>
              <w:tc>
                <w:tcPr>
                  <w:tcW w:w="1088" w:type="dxa"/>
                  <w:vMerge w:val="restart"/>
                  <w:tcBorders>
                    <w:tl2br w:val="nil"/>
                    <w:tr2bl w:val="nil"/>
                  </w:tcBorders>
                </w:tcPr>
                <w:p w14:paraId="46B1F2D0">
                  <w:pPr>
                    <w:pStyle w:val="56"/>
                    <w:keepNext w:val="0"/>
                    <w:keepLines w:val="0"/>
                    <w:pageBreakBefore w:val="0"/>
                    <w:widowControl/>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BOD</w:t>
                  </w:r>
                  <w:r>
                    <w:rPr>
                      <w:rFonts w:hint="eastAsia" w:ascii="Times New Roman" w:hAnsi="Times New Roman" w:eastAsia="宋体"/>
                      <w:color w:val="auto"/>
                      <w:sz w:val="21"/>
                      <w:vertAlign w:val="subscript"/>
                      <w:lang w:val="en-US" w:eastAsia="zh-CN"/>
                    </w:rPr>
                    <w:t>5</w:t>
                  </w:r>
                  <w:r>
                    <w:rPr>
                      <w:rFonts w:hint="eastAsia" w:ascii="Times New Roman" w:hAnsi="Times New Roman" w:eastAsia="宋体"/>
                      <w:color w:val="auto"/>
                      <w:sz w:val="21"/>
                      <w:vertAlign w:val="baseline"/>
                      <w:lang w:val="en-US" w:eastAsia="zh-CN"/>
                    </w:rPr>
                    <w:t>产生量（t/a）</w:t>
                  </w:r>
                </w:p>
              </w:tc>
              <w:tc>
                <w:tcPr>
                  <w:tcW w:w="1089" w:type="dxa"/>
                  <w:vMerge w:val="restart"/>
                  <w:tcBorders>
                    <w:tl2br w:val="nil"/>
                    <w:tr2bl w:val="nil"/>
                  </w:tcBorders>
                </w:tcPr>
                <w:p w14:paraId="0094273A">
                  <w:pPr>
                    <w:pStyle w:val="56"/>
                    <w:keepNext w:val="0"/>
                    <w:keepLines w:val="0"/>
                    <w:pageBreakBefore w:val="0"/>
                    <w:widowControl/>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eastAsia"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BOD</w:t>
                  </w:r>
                  <w:r>
                    <w:rPr>
                      <w:rFonts w:hint="eastAsia" w:ascii="Times New Roman" w:hAnsi="Times New Roman" w:eastAsia="宋体"/>
                      <w:color w:val="auto"/>
                      <w:sz w:val="21"/>
                      <w:vertAlign w:val="subscript"/>
                      <w:lang w:val="en-US" w:eastAsia="zh-CN"/>
                    </w:rPr>
                    <w:t>5</w:t>
                  </w:r>
                  <w:r>
                    <w:rPr>
                      <w:rFonts w:hint="eastAsia" w:ascii="Times New Roman" w:hAnsi="Times New Roman"/>
                      <w:color w:val="auto"/>
                      <w:sz w:val="21"/>
                      <w:vertAlign w:val="baseline"/>
                      <w:lang w:val="en-US" w:eastAsia="zh-CN"/>
                    </w:rPr>
                    <w:t>排放</w:t>
                  </w:r>
                  <w:r>
                    <w:rPr>
                      <w:rFonts w:hint="eastAsia" w:ascii="Times New Roman" w:hAnsi="Times New Roman" w:eastAsia="宋体"/>
                      <w:color w:val="auto"/>
                      <w:sz w:val="21"/>
                      <w:vertAlign w:val="baseline"/>
                      <w:lang w:val="en-US" w:eastAsia="zh-CN"/>
                    </w:rPr>
                    <w:t>量（t/a）</w:t>
                  </w:r>
                </w:p>
              </w:tc>
              <w:tc>
                <w:tcPr>
                  <w:tcW w:w="1090" w:type="dxa"/>
                  <w:vMerge w:val="restart"/>
                  <w:tcBorders>
                    <w:tl2br w:val="nil"/>
                    <w:tr2bl w:val="nil"/>
                  </w:tcBorders>
                </w:tcPr>
                <w:p w14:paraId="5E29647B">
                  <w:pPr>
                    <w:pStyle w:val="56"/>
                    <w:keepNext w:val="0"/>
                    <w:keepLines w:val="0"/>
                    <w:pageBreakBefore w:val="0"/>
                    <w:widowControl/>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eastAsia"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BOD</w:t>
                  </w:r>
                  <w:r>
                    <w:rPr>
                      <w:rFonts w:hint="eastAsia" w:ascii="Times New Roman" w:hAnsi="Times New Roman" w:eastAsia="宋体"/>
                      <w:color w:val="auto"/>
                      <w:sz w:val="21"/>
                      <w:vertAlign w:val="subscript"/>
                      <w:lang w:val="en-US" w:eastAsia="zh-CN"/>
                    </w:rPr>
                    <w:t>5</w:t>
                  </w:r>
                  <w:r>
                    <w:rPr>
                      <w:rFonts w:hint="eastAsia" w:ascii="Times New Roman" w:hAnsi="Times New Roman"/>
                      <w:color w:val="auto"/>
                      <w:sz w:val="21"/>
                      <w:vertAlign w:val="baseline"/>
                      <w:lang w:val="en-US" w:eastAsia="zh-CN"/>
                    </w:rPr>
                    <w:t>削减</w:t>
                  </w:r>
                  <w:r>
                    <w:rPr>
                      <w:rFonts w:hint="eastAsia" w:ascii="Times New Roman" w:hAnsi="Times New Roman" w:eastAsia="宋体"/>
                      <w:color w:val="auto"/>
                      <w:sz w:val="21"/>
                      <w:vertAlign w:val="baseline"/>
                      <w:lang w:val="en-US" w:eastAsia="zh-CN"/>
                    </w:rPr>
                    <w:t>量（t/a）</w:t>
                  </w:r>
                </w:p>
              </w:tc>
              <w:tc>
                <w:tcPr>
                  <w:tcW w:w="2180" w:type="dxa"/>
                  <w:gridSpan w:val="2"/>
                  <w:tcBorders>
                    <w:tl2br w:val="nil"/>
                    <w:tr2bl w:val="nil"/>
                  </w:tcBorders>
                </w:tcPr>
                <w:p w14:paraId="2C2CC7EC">
                  <w:pPr>
                    <w:pStyle w:val="56"/>
                    <w:keepNext w:val="0"/>
                    <w:keepLines w:val="0"/>
                    <w:pageBreakBefore w:val="0"/>
                    <w:widowControl/>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eastAsia"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NH</w:t>
                  </w:r>
                  <w:r>
                    <w:rPr>
                      <w:rFonts w:hint="eastAsia" w:ascii="Times New Roman" w:hAnsi="Times New Roman" w:eastAsia="宋体"/>
                      <w:color w:val="auto"/>
                      <w:sz w:val="21"/>
                      <w:vertAlign w:val="subscript"/>
                      <w:lang w:val="en-US" w:eastAsia="zh-CN"/>
                    </w:rPr>
                    <w:t>3</w:t>
                  </w:r>
                </w:p>
              </w:tc>
              <w:tc>
                <w:tcPr>
                  <w:tcW w:w="2180" w:type="dxa"/>
                  <w:gridSpan w:val="2"/>
                  <w:tcBorders>
                    <w:tl2br w:val="nil"/>
                    <w:tr2bl w:val="nil"/>
                  </w:tcBorders>
                </w:tcPr>
                <w:p w14:paraId="0F8139FC">
                  <w:pPr>
                    <w:pStyle w:val="56"/>
                    <w:keepNext w:val="0"/>
                    <w:keepLines w:val="0"/>
                    <w:pageBreakBefore w:val="0"/>
                    <w:widowControl/>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eastAsia" w:ascii="Times New Roman" w:hAnsi="Times New Roman" w:eastAsia="宋体"/>
                      <w:color w:val="auto"/>
                      <w:sz w:val="21"/>
                      <w:vertAlign w:val="baseline"/>
                      <w:lang w:val="en-US" w:eastAsia="zh-CN"/>
                    </w:rPr>
                  </w:pPr>
                  <w:r>
                    <w:rPr>
                      <w:rFonts w:hint="eastAsia" w:ascii="Times New Roman" w:hAnsi="Times New Roman" w:eastAsia="宋体" w:cs="Times New Roman"/>
                      <w:color w:val="auto"/>
                      <w:kern w:val="2"/>
                      <w:sz w:val="21"/>
                      <w:szCs w:val="24"/>
                      <w:highlight w:val="none"/>
                      <w:lang w:val="en-US" w:eastAsia="zh-CN" w:bidi="ar-SA"/>
                    </w:rPr>
                    <w:t>H</w:t>
                  </w:r>
                  <w:r>
                    <w:rPr>
                      <w:rFonts w:hint="eastAsia" w:ascii="Times New Roman" w:hAnsi="Times New Roman" w:eastAsia="宋体" w:cs="Times New Roman"/>
                      <w:color w:val="auto"/>
                      <w:kern w:val="2"/>
                      <w:sz w:val="21"/>
                      <w:szCs w:val="24"/>
                      <w:highlight w:val="none"/>
                      <w:vertAlign w:val="subscript"/>
                      <w:lang w:val="en-US" w:eastAsia="zh-CN" w:bidi="ar-SA"/>
                    </w:rPr>
                    <w:t>2</w:t>
                  </w:r>
                  <w:r>
                    <w:rPr>
                      <w:rFonts w:hint="eastAsia" w:ascii="Times New Roman" w:hAnsi="Times New Roman" w:eastAsia="宋体" w:cs="Times New Roman"/>
                      <w:color w:val="auto"/>
                      <w:kern w:val="2"/>
                      <w:sz w:val="21"/>
                      <w:szCs w:val="24"/>
                      <w:highlight w:val="none"/>
                      <w:lang w:val="en-US" w:eastAsia="zh-CN" w:bidi="ar-SA"/>
                    </w:rPr>
                    <w:t>S</w:t>
                  </w:r>
                </w:p>
              </w:tc>
            </w:tr>
            <w:tr w14:paraId="49AECE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88" w:type="dxa"/>
                  <w:vMerge w:val="continue"/>
                  <w:tcBorders>
                    <w:tl2br w:val="nil"/>
                    <w:tr2bl w:val="nil"/>
                  </w:tcBorders>
                </w:tcPr>
                <w:p w14:paraId="091B5281">
                  <w:pPr>
                    <w:pStyle w:val="56"/>
                    <w:keepNext w:val="0"/>
                    <w:keepLines w:val="0"/>
                    <w:pageBreakBefore w:val="0"/>
                    <w:widowControl/>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eastAsia" w:ascii="Times New Roman" w:hAnsi="Times New Roman" w:eastAsia="宋体"/>
                      <w:color w:val="auto"/>
                      <w:sz w:val="21"/>
                      <w:vertAlign w:val="baseline"/>
                      <w:lang w:val="en-US" w:eastAsia="zh-CN"/>
                    </w:rPr>
                  </w:pPr>
                </w:p>
              </w:tc>
              <w:tc>
                <w:tcPr>
                  <w:tcW w:w="1088" w:type="dxa"/>
                  <w:vMerge w:val="continue"/>
                  <w:tcBorders>
                    <w:tl2br w:val="nil"/>
                    <w:tr2bl w:val="nil"/>
                  </w:tcBorders>
                </w:tcPr>
                <w:p w14:paraId="5627B5FC">
                  <w:pPr>
                    <w:pStyle w:val="56"/>
                    <w:keepNext w:val="0"/>
                    <w:keepLines w:val="0"/>
                    <w:pageBreakBefore w:val="0"/>
                    <w:widowControl/>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eastAsia" w:ascii="Times New Roman" w:hAnsi="Times New Roman" w:eastAsia="宋体"/>
                      <w:color w:val="auto"/>
                      <w:sz w:val="21"/>
                      <w:vertAlign w:val="baseline"/>
                      <w:lang w:val="en-US" w:eastAsia="zh-CN"/>
                    </w:rPr>
                  </w:pPr>
                </w:p>
              </w:tc>
              <w:tc>
                <w:tcPr>
                  <w:tcW w:w="1089" w:type="dxa"/>
                  <w:vMerge w:val="continue"/>
                  <w:tcBorders>
                    <w:tl2br w:val="nil"/>
                    <w:tr2bl w:val="nil"/>
                  </w:tcBorders>
                </w:tcPr>
                <w:p w14:paraId="14B8BB09">
                  <w:pPr>
                    <w:pStyle w:val="56"/>
                    <w:keepNext w:val="0"/>
                    <w:keepLines w:val="0"/>
                    <w:pageBreakBefore w:val="0"/>
                    <w:widowControl/>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eastAsia" w:ascii="Times New Roman" w:hAnsi="Times New Roman" w:eastAsia="宋体"/>
                      <w:color w:val="auto"/>
                      <w:sz w:val="21"/>
                      <w:vertAlign w:val="baseline"/>
                      <w:lang w:val="en-US" w:eastAsia="zh-CN"/>
                    </w:rPr>
                  </w:pPr>
                </w:p>
              </w:tc>
              <w:tc>
                <w:tcPr>
                  <w:tcW w:w="1090" w:type="dxa"/>
                  <w:vMerge w:val="continue"/>
                  <w:tcBorders>
                    <w:tl2br w:val="nil"/>
                    <w:tr2bl w:val="nil"/>
                  </w:tcBorders>
                </w:tcPr>
                <w:p w14:paraId="314E910E">
                  <w:pPr>
                    <w:pStyle w:val="56"/>
                    <w:keepNext w:val="0"/>
                    <w:keepLines w:val="0"/>
                    <w:pageBreakBefore w:val="0"/>
                    <w:widowControl/>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eastAsia" w:ascii="Times New Roman" w:hAnsi="Times New Roman" w:eastAsia="宋体"/>
                      <w:color w:val="auto"/>
                      <w:sz w:val="21"/>
                      <w:vertAlign w:val="baseline"/>
                      <w:lang w:val="en-US" w:eastAsia="zh-CN"/>
                    </w:rPr>
                  </w:pPr>
                </w:p>
              </w:tc>
              <w:tc>
                <w:tcPr>
                  <w:tcW w:w="1090" w:type="dxa"/>
                  <w:tcBorders>
                    <w:tl2br w:val="nil"/>
                    <w:tr2bl w:val="nil"/>
                  </w:tcBorders>
                </w:tcPr>
                <w:p w14:paraId="36D63B14">
                  <w:pPr>
                    <w:pStyle w:val="56"/>
                    <w:keepNext w:val="0"/>
                    <w:keepLines w:val="0"/>
                    <w:pageBreakBefore w:val="0"/>
                    <w:widowControl/>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产生系数（</w:t>
                  </w:r>
                  <w:r>
                    <w:rPr>
                      <w:rFonts w:hint="eastAsia" w:ascii="Times New Roman" w:hAnsi="Times New Roman"/>
                      <w:color w:val="auto"/>
                      <w:sz w:val="21"/>
                      <w:vertAlign w:val="baseline"/>
                      <w:lang w:val="en-US" w:eastAsia="zh-CN"/>
                    </w:rPr>
                    <w:t>kg</w:t>
                  </w:r>
                  <w:r>
                    <w:rPr>
                      <w:rFonts w:hint="eastAsia" w:ascii="Times New Roman" w:hAnsi="Times New Roman" w:eastAsia="宋体"/>
                      <w:color w:val="auto"/>
                      <w:sz w:val="21"/>
                      <w:vertAlign w:val="baseline"/>
                      <w:lang w:val="en-US" w:eastAsia="zh-CN"/>
                    </w:rPr>
                    <w:t>/</w:t>
                  </w:r>
                  <w:r>
                    <w:rPr>
                      <w:rFonts w:hint="eastAsia" w:ascii="Times New Roman" w:hAnsi="Times New Roman"/>
                      <w:color w:val="auto"/>
                      <w:sz w:val="21"/>
                      <w:vertAlign w:val="baseline"/>
                      <w:lang w:val="en-US" w:eastAsia="zh-CN"/>
                    </w:rPr>
                    <w:t>kg</w:t>
                  </w:r>
                  <w:r>
                    <w:rPr>
                      <w:rFonts w:hint="eastAsia" w:ascii="Times New Roman" w:hAnsi="Times New Roman" w:eastAsia="宋体"/>
                      <w:color w:val="auto"/>
                      <w:sz w:val="21"/>
                      <w:vertAlign w:val="baseline"/>
                      <w:lang w:val="en-US" w:eastAsia="zh-CN"/>
                    </w:rPr>
                    <w:t>）</w:t>
                  </w:r>
                </w:p>
              </w:tc>
              <w:tc>
                <w:tcPr>
                  <w:tcW w:w="1090" w:type="dxa"/>
                  <w:tcBorders>
                    <w:tl2br w:val="nil"/>
                    <w:tr2bl w:val="nil"/>
                  </w:tcBorders>
                </w:tcPr>
                <w:p w14:paraId="43849F5B">
                  <w:pPr>
                    <w:pStyle w:val="56"/>
                    <w:keepNext w:val="0"/>
                    <w:keepLines w:val="0"/>
                    <w:pageBreakBefore w:val="0"/>
                    <w:widowControl/>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产生量（t/a）</w:t>
                  </w:r>
                </w:p>
              </w:tc>
              <w:tc>
                <w:tcPr>
                  <w:tcW w:w="1090" w:type="dxa"/>
                  <w:tcBorders>
                    <w:tl2br w:val="nil"/>
                    <w:tr2bl w:val="nil"/>
                  </w:tcBorders>
                  <w:vAlign w:val="top"/>
                </w:tcPr>
                <w:p w14:paraId="322D3B31">
                  <w:pPr>
                    <w:pStyle w:val="56"/>
                    <w:keepNext w:val="0"/>
                    <w:keepLines w:val="0"/>
                    <w:pageBreakBefore w:val="0"/>
                    <w:widowControl/>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eastAsia"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产生系数（</w:t>
                  </w:r>
                  <w:r>
                    <w:rPr>
                      <w:rFonts w:hint="eastAsia" w:ascii="Times New Roman" w:hAnsi="Times New Roman"/>
                      <w:color w:val="auto"/>
                      <w:sz w:val="21"/>
                      <w:vertAlign w:val="baseline"/>
                      <w:lang w:val="en-US" w:eastAsia="zh-CN"/>
                    </w:rPr>
                    <w:t>kg</w:t>
                  </w:r>
                  <w:r>
                    <w:rPr>
                      <w:rFonts w:hint="eastAsia" w:ascii="Times New Roman" w:hAnsi="Times New Roman" w:eastAsia="宋体"/>
                      <w:color w:val="auto"/>
                      <w:sz w:val="21"/>
                      <w:vertAlign w:val="baseline"/>
                      <w:lang w:val="en-US" w:eastAsia="zh-CN"/>
                    </w:rPr>
                    <w:t>/</w:t>
                  </w:r>
                  <w:r>
                    <w:rPr>
                      <w:rFonts w:hint="eastAsia" w:ascii="Times New Roman" w:hAnsi="Times New Roman"/>
                      <w:color w:val="auto"/>
                      <w:sz w:val="21"/>
                      <w:vertAlign w:val="baseline"/>
                      <w:lang w:val="en-US" w:eastAsia="zh-CN"/>
                    </w:rPr>
                    <w:t>kg</w:t>
                  </w:r>
                  <w:r>
                    <w:rPr>
                      <w:rFonts w:hint="eastAsia" w:ascii="Times New Roman" w:hAnsi="Times New Roman" w:eastAsia="宋体"/>
                      <w:color w:val="auto"/>
                      <w:sz w:val="21"/>
                      <w:vertAlign w:val="baseline"/>
                      <w:lang w:val="en-US" w:eastAsia="zh-CN"/>
                    </w:rPr>
                    <w:t>）</w:t>
                  </w:r>
                </w:p>
              </w:tc>
              <w:tc>
                <w:tcPr>
                  <w:tcW w:w="1090" w:type="dxa"/>
                  <w:tcBorders>
                    <w:tl2br w:val="nil"/>
                    <w:tr2bl w:val="nil"/>
                  </w:tcBorders>
                  <w:vAlign w:val="top"/>
                </w:tcPr>
                <w:p w14:paraId="41EAA49A">
                  <w:pPr>
                    <w:pStyle w:val="56"/>
                    <w:keepNext w:val="0"/>
                    <w:keepLines w:val="0"/>
                    <w:pageBreakBefore w:val="0"/>
                    <w:widowControl/>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eastAsia"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产生量（t/a）</w:t>
                  </w:r>
                </w:p>
              </w:tc>
            </w:tr>
            <w:tr w14:paraId="1AE580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88" w:type="dxa"/>
                  <w:tcBorders>
                    <w:tl2br w:val="nil"/>
                    <w:tr2bl w:val="nil"/>
                  </w:tcBorders>
                </w:tcPr>
                <w:p w14:paraId="6E3B59FF">
                  <w:pPr>
                    <w:pStyle w:val="56"/>
                    <w:keepNext w:val="0"/>
                    <w:keepLines w:val="0"/>
                    <w:pageBreakBefore w:val="0"/>
                    <w:widowControl/>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eastAsia"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42451.69</w:t>
                  </w:r>
                </w:p>
              </w:tc>
              <w:tc>
                <w:tcPr>
                  <w:tcW w:w="1088" w:type="dxa"/>
                  <w:tcBorders>
                    <w:tl2br w:val="nil"/>
                    <w:tr2bl w:val="nil"/>
                  </w:tcBorders>
                </w:tcPr>
                <w:p w14:paraId="47E793FE">
                  <w:pPr>
                    <w:pStyle w:val="56"/>
                    <w:keepNext w:val="0"/>
                    <w:keepLines w:val="0"/>
                    <w:pageBreakBefore w:val="0"/>
                    <w:widowControl/>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color w:val="auto"/>
                      <w:sz w:val="21"/>
                      <w:vertAlign w:val="baseline"/>
                      <w:lang w:val="en-US" w:eastAsia="zh-CN"/>
                    </w:rPr>
                    <w:t>6.37</w:t>
                  </w:r>
                </w:p>
              </w:tc>
              <w:tc>
                <w:tcPr>
                  <w:tcW w:w="1089" w:type="dxa"/>
                  <w:tcBorders>
                    <w:tl2br w:val="nil"/>
                    <w:tr2bl w:val="nil"/>
                  </w:tcBorders>
                </w:tcPr>
                <w:p w14:paraId="7E4297DA">
                  <w:pPr>
                    <w:pStyle w:val="56"/>
                    <w:keepNext w:val="0"/>
                    <w:keepLines w:val="0"/>
                    <w:pageBreakBefore w:val="0"/>
                    <w:widowControl/>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color w:val="auto"/>
                      <w:sz w:val="21"/>
                      <w:vertAlign w:val="baseline"/>
                      <w:lang w:val="en-US" w:eastAsia="zh-CN"/>
                    </w:rPr>
                    <w:t>4.25</w:t>
                  </w:r>
                </w:p>
              </w:tc>
              <w:tc>
                <w:tcPr>
                  <w:tcW w:w="1090" w:type="dxa"/>
                  <w:tcBorders>
                    <w:tl2br w:val="nil"/>
                    <w:tr2bl w:val="nil"/>
                  </w:tcBorders>
                </w:tcPr>
                <w:p w14:paraId="1ACFB323">
                  <w:pPr>
                    <w:pStyle w:val="56"/>
                    <w:keepNext w:val="0"/>
                    <w:keepLines w:val="0"/>
                    <w:pageBreakBefore w:val="0"/>
                    <w:widowControl/>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color w:val="auto"/>
                      <w:sz w:val="21"/>
                      <w:vertAlign w:val="baseline"/>
                      <w:lang w:val="en-US" w:eastAsia="zh-CN"/>
                    </w:rPr>
                    <w:t>2.12</w:t>
                  </w:r>
                </w:p>
              </w:tc>
              <w:tc>
                <w:tcPr>
                  <w:tcW w:w="1090" w:type="dxa"/>
                  <w:tcBorders>
                    <w:tl2br w:val="nil"/>
                    <w:tr2bl w:val="nil"/>
                  </w:tcBorders>
                </w:tcPr>
                <w:p w14:paraId="7C3DDA09">
                  <w:pPr>
                    <w:pStyle w:val="56"/>
                    <w:keepNext w:val="0"/>
                    <w:keepLines w:val="0"/>
                    <w:pageBreakBefore w:val="0"/>
                    <w:widowControl/>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color w:val="auto"/>
                      <w:sz w:val="21"/>
                      <w:vertAlign w:val="baseline"/>
                      <w:lang w:val="en-US" w:eastAsia="zh-CN"/>
                    </w:rPr>
                    <w:t>0.0031</w:t>
                  </w:r>
                </w:p>
              </w:tc>
              <w:tc>
                <w:tcPr>
                  <w:tcW w:w="1090" w:type="dxa"/>
                  <w:tcBorders>
                    <w:tl2br w:val="nil"/>
                    <w:tr2bl w:val="nil"/>
                  </w:tcBorders>
                </w:tcPr>
                <w:p w14:paraId="39C1F652">
                  <w:pPr>
                    <w:pStyle w:val="56"/>
                    <w:keepNext w:val="0"/>
                    <w:keepLines w:val="0"/>
                    <w:pageBreakBefore w:val="0"/>
                    <w:widowControl/>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color w:val="auto"/>
                      <w:sz w:val="21"/>
                      <w:vertAlign w:val="baseline"/>
                      <w:lang w:val="en-US" w:eastAsia="zh-CN"/>
                    </w:rPr>
                    <w:t>0.00657</w:t>
                  </w:r>
                </w:p>
              </w:tc>
              <w:tc>
                <w:tcPr>
                  <w:tcW w:w="1090" w:type="dxa"/>
                  <w:tcBorders>
                    <w:tl2br w:val="nil"/>
                    <w:tr2bl w:val="nil"/>
                  </w:tcBorders>
                </w:tcPr>
                <w:p w14:paraId="62443B31">
                  <w:pPr>
                    <w:pStyle w:val="56"/>
                    <w:keepNext w:val="0"/>
                    <w:keepLines w:val="0"/>
                    <w:pageBreakBefore w:val="0"/>
                    <w:widowControl/>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color w:val="auto"/>
                      <w:sz w:val="21"/>
                      <w:vertAlign w:val="baseline"/>
                      <w:lang w:val="en-US" w:eastAsia="zh-CN"/>
                    </w:rPr>
                    <w:t>0.00012</w:t>
                  </w:r>
                </w:p>
              </w:tc>
              <w:tc>
                <w:tcPr>
                  <w:tcW w:w="1090" w:type="dxa"/>
                  <w:tcBorders>
                    <w:tl2br w:val="nil"/>
                    <w:tr2bl w:val="nil"/>
                  </w:tcBorders>
                </w:tcPr>
                <w:p w14:paraId="36988207">
                  <w:pPr>
                    <w:pStyle w:val="56"/>
                    <w:keepNext w:val="0"/>
                    <w:keepLines w:val="0"/>
                    <w:pageBreakBefore w:val="0"/>
                    <w:widowControl/>
                    <w:kinsoku/>
                    <w:wordWrap/>
                    <w:overflowPunct/>
                    <w:topLinePunct w:val="0"/>
                    <w:autoSpaceDE/>
                    <w:autoSpaceDN/>
                    <w:bidi w:val="0"/>
                    <w:adjustRightInd/>
                    <w:snapToGrid/>
                    <w:spacing w:beforeAutospacing="0" w:afterAutospacing="0" w:line="240" w:lineRule="auto"/>
                    <w:ind w:firstLine="0" w:firstLineChars="0"/>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color w:val="auto"/>
                      <w:sz w:val="21"/>
                      <w:vertAlign w:val="baseline"/>
                      <w:lang w:val="en-US" w:eastAsia="zh-CN"/>
                    </w:rPr>
                    <w:t>0.000254</w:t>
                  </w:r>
                </w:p>
              </w:tc>
            </w:tr>
          </w:tbl>
          <w:p w14:paraId="300010A0">
            <w:pPr>
              <w:pStyle w:val="53"/>
              <w:spacing w:line="360" w:lineRule="auto"/>
              <w:ind w:firstLine="480" w:firstLineChars="200"/>
              <w:jc w:val="both"/>
              <w:rPr>
                <w:rFonts w:hint="eastAsia" w:ascii="Times New Roman" w:hAnsi="Times New Roman"/>
                <w:color w:val="auto"/>
                <w:highlight w:val="none"/>
                <w:lang w:val="en-US" w:eastAsia="zh-CN"/>
              </w:rPr>
            </w:pPr>
            <w:r>
              <w:rPr>
                <w:rFonts w:hint="eastAsia" w:ascii="Times New Roman" w:hAnsi="Times New Roman"/>
                <w:color w:val="auto"/>
                <w:highlight w:val="none"/>
                <w:lang w:val="en-US" w:eastAsia="zh-CN"/>
              </w:rPr>
              <w:t>根据《医疗机构水污染物排放标准》（GB18466-2005），污水处理站排出的废气应进行除臭除味处理。本项目污水处理站采用地埋式，水处理池加盖板密闭，盖板预留进气、出气口，把污水处理设施废气用抽风装置统一收集（收集效率按95%计）经活性炭吸附除臭工艺处理后，经15m高排气筒排放（DA001）。考虑到污水处理站恶臭HS、NH</w:t>
            </w:r>
            <w:r>
              <w:rPr>
                <w:rFonts w:hint="eastAsia" w:ascii="Times New Roman" w:hAnsi="Times New Roman"/>
                <w:color w:val="auto"/>
                <w:highlight w:val="none"/>
                <w:vertAlign w:val="subscript"/>
                <w:lang w:val="en-US" w:eastAsia="zh-CN"/>
              </w:rPr>
              <w:t>3</w:t>
            </w:r>
            <w:r>
              <w:rPr>
                <w:rFonts w:hint="eastAsia" w:ascii="Times New Roman" w:hAnsi="Times New Roman"/>
                <w:color w:val="auto"/>
                <w:highlight w:val="none"/>
                <w:lang w:val="en-US" w:eastAsia="zh-CN"/>
              </w:rPr>
              <w:t>进口浓度较低，评价按治理设施去除效率60%计算，则项目污水处理站恶臭产生及排放情况详见表4.2-2。</w:t>
            </w:r>
          </w:p>
          <w:p w14:paraId="753671FC">
            <w:pPr>
              <w:pStyle w:val="56"/>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化验室废气</w:t>
            </w:r>
          </w:p>
          <w:p w14:paraId="3E33717F">
            <w:pPr>
              <w:pStyle w:val="56"/>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default" w:ascii="Times New Roman" w:hAnsi="Times New Roman" w:cs="Times New Roman"/>
                <w:color w:val="auto"/>
                <w:highlight w:val="none"/>
                <w:lang w:val="en-US" w:eastAsia="zh-CN"/>
              </w:rPr>
            </w:pPr>
            <w:r>
              <w:rPr>
                <w:rFonts w:hint="eastAsia" w:ascii="Times New Roman" w:hAnsi="Times New Roman" w:eastAsia="宋体" w:cs="Times New Roman"/>
                <w:color w:val="auto"/>
                <w:kern w:val="2"/>
                <w:sz w:val="24"/>
                <w:szCs w:val="24"/>
                <w:highlight w:val="none"/>
                <w:lang w:val="en-US" w:eastAsia="zh-CN" w:bidi="ar-SA"/>
              </w:rPr>
              <w:t>化验室、检验科在运行过程中，会排放很少量的酸性、碱性、挥发性有机废气等污染气体，这些废气通过实验室自身的隔离通风系统，采用局部排除方法即利用通风柜，药品柜、操作实验台上设计排气功能，用机械通风设备将实验室排放的各种废气经过处理后输送到楼顶部排放，使废气能够得到良好</w:t>
            </w:r>
            <w:r>
              <w:rPr>
                <w:rFonts w:hint="eastAsia" w:ascii="Times New Roman" w:hAnsi="Times New Roman" w:cs="Times New Roman"/>
                <w:color w:val="auto"/>
                <w:kern w:val="2"/>
                <w:sz w:val="24"/>
                <w:szCs w:val="24"/>
                <w:highlight w:val="none"/>
                <w:lang w:val="en-US" w:eastAsia="zh-CN" w:bidi="ar-SA"/>
              </w:rPr>
              <w:t>地</w:t>
            </w:r>
            <w:r>
              <w:rPr>
                <w:rFonts w:hint="eastAsia" w:ascii="Times New Roman" w:hAnsi="Times New Roman" w:eastAsia="宋体" w:cs="Times New Roman"/>
                <w:color w:val="auto"/>
                <w:kern w:val="2"/>
                <w:sz w:val="24"/>
                <w:szCs w:val="24"/>
                <w:highlight w:val="none"/>
                <w:lang w:val="en-US" w:eastAsia="zh-CN" w:bidi="ar-SA"/>
              </w:rPr>
              <w:t>扩散。减轻对操作环境和周围环境的影响。</w:t>
            </w:r>
            <w:r>
              <w:rPr>
                <w:rFonts w:hint="eastAsia" w:ascii="Times New Roman" w:cs="Times New Roman"/>
                <w:color w:val="auto"/>
                <w:kern w:val="2"/>
                <w:sz w:val="24"/>
                <w:szCs w:val="24"/>
                <w:highlight w:val="none"/>
                <w:lang w:val="en-US" w:eastAsia="zh-CN" w:bidi="ar-SA"/>
              </w:rPr>
              <w:t>项目废气污染源源强核算结果及相关参数一览表4.2-2。</w:t>
            </w:r>
          </w:p>
        </w:tc>
      </w:tr>
    </w:tbl>
    <w:p w14:paraId="1319D55A">
      <w:pPr>
        <w:adjustRightInd w:val="0"/>
        <w:snapToGrid w:val="0"/>
        <w:spacing w:line="360" w:lineRule="auto"/>
        <w:rPr>
          <w:rFonts w:ascii="宋体" w:cs="宋体"/>
          <w:b/>
          <w:color w:val="auto"/>
          <w:kern w:val="0"/>
          <w:sz w:val="28"/>
          <w:szCs w:val="28"/>
          <w:highlight w:val="none"/>
        </w:rPr>
        <w:sectPr>
          <w:pgSz w:w="11905" w:h="16838"/>
          <w:pgMar w:top="1417" w:right="1417" w:bottom="1417" w:left="1417" w:header="851" w:footer="1077" w:gutter="0"/>
          <w:pgBorders>
            <w:top w:val="none" w:sz="0" w:space="0"/>
            <w:left w:val="none" w:sz="0" w:space="0"/>
            <w:bottom w:val="none" w:sz="0" w:space="0"/>
            <w:right w:val="none" w:sz="0" w:space="0"/>
          </w:pgBorders>
          <w:pgNumType w:fmt="decimal"/>
          <w:cols w:space="0" w:num="1"/>
          <w:docGrid w:linePitch="312" w:charSpace="0"/>
        </w:sectPr>
      </w:pPr>
    </w:p>
    <w:p w14:paraId="724E5080">
      <w:pPr>
        <w:pStyle w:val="44"/>
        <w:keepNext/>
        <w:keepLines/>
        <w:pageBreakBefore w:val="0"/>
        <w:widowControl w:val="0"/>
        <w:numPr>
          <w:ilvl w:val="7"/>
          <w:numId w:val="13"/>
        </w:numPr>
        <w:tabs>
          <w:tab w:val="left" w:pos="0"/>
        </w:tabs>
        <w:kinsoku/>
        <w:wordWrap/>
        <w:overflowPunct/>
        <w:topLinePunct w:val="0"/>
        <w:autoSpaceDE/>
        <w:autoSpaceDN/>
        <w:bidi w:val="0"/>
        <w:adjustRightInd/>
        <w:snapToGrid/>
        <w:spacing w:before="120"/>
        <w:ind w:left="630" w:leftChars="0" w:firstLine="0" w:firstLineChars="0"/>
        <w:textAlignment w:val="auto"/>
        <w:rPr>
          <w:rFonts w:hint="default"/>
          <w:color w:val="auto"/>
          <w:highlight w:val="none"/>
          <w:lang w:val="en-US" w:eastAsia="zh-CN"/>
        </w:rPr>
      </w:pPr>
      <w:r>
        <w:rPr>
          <w:rFonts w:hint="eastAsia"/>
          <w:color w:val="auto"/>
          <w:highlight w:val="none"/>
          <w:lang w:val="en-US" w:eastAsia="zh-CN"/>
        </w:rPr>
        <w:t xml:space="preserve"> 项目废气污染源源强核算结果及相关参数一览表</w:t>
      </w:r>
    </w:p>
    <w:tbl>
      <w:tblPr>
        <w:tblStyle w:val="86"/>
        <w:tblW w:w="14029"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656"/>
        <w:gridCol w:w="349"/>
        <w:gridCol w:w="716"/>
        <w:gridCol w:w="344"/>
        <w:gridCol w:w="718"/>
        <w:gridCol w:w="915"/>
        <w:gridCol w:w="708"/>
        <w:gridCol w:w="657"/>
        <w:gridCol w:w="315"/>
        <w:gridCol w:w="587"/>
        <w:gridCol w:w="395"/>
        <w:gridCol w:w="500"/>
        <w:gridCol w:w="500"/>
        <w:gridCol w:w="612"/>
        <w:gridCol w:w="703"/>
        <w:gridCol w:w="708"/>
        <w:gridCol w:w="657"/>
        <w:gridCol w:w="1167"/>
        <w:gridCol w:w="1011"/>
        <w:gridCol w:w="1266"/>
        <w:gridCol w:w="545"/>
      </w:tblGrid>
      <w:tr w14:paraId="2FD1469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656" w:type="dxa"/>
            <w:vMerge w:val="restart"/>
            <w:tcBorders>
              <w:tl2br w:val="nil"/>
              <w:tr2bl w:val="nil"/>
            </w:tcBorders>
            <w:vAlign w:val="center"/>
          </w:tcPr>
          <w:p w14:paraId="6D587336">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产排污环节</w:t>
            </w:r>
          </w:p>
        </w:tc>
        <w:tc>
          <w:tcPr>
            <w:tcW w:w="349" w:type="dxa"/>
            <w:vMerge w:val="restart"/>
            <w:tcBorders>
              <w:tl2br w:val="nil"/>
              <w:tr2bl w:val="nil"/>
            </w:tcBorders>
            <w:vAlign w:val="center"/>
          </w:tcPr>
          <w:p w14:paraId="245E8ABE">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污染源</w:t>
            </w:r>
          </w:p>
        </w:tc>
        <w:tc>
          <w:tcPr>
            <w:tcW w:w="716" w:type="dxa"/>
            <w:vMerge w:val="restart"/>
            <w:tcBorders>
              <w:tl2br w:val="nil"/>
              <w:tr2bl w:val="nil"/>
            </w:tcBorders>
            <w:vAlign w:val="center"/>
          </w:tcPr>
          <w:p w14:paraId="1333EC08">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污染物种类</w:t>
            </w:r>
          </w:p>
        </w:tc>
        <w:tc>
          <w:tcPr>
            <w:tcW w:w="3342" w:type="dxa"/>
            <w:gridSpan w:val="5"/>
            <w:tcBorders>
              <w:tl2br w:val="nil"/>
              <w:tr2bl w:val="nil"/>
            </w:tcBorders>
            <w:vAlign w:val="center"/>
          </w:tcPr>
          <w:p w14:paraId="77462954">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污染源产生</w:t>
            </w:r>
          </w:p>
        </w:tc>
        <w:tc>
          <w:tcPr>
            <w:tcW w:w="315" w:type="dxa"/>
            <w:vMerge w:val="restart"/>
            <w:tcBorders>
              <w:tl2br w:val="nil"/>
              <w:tr2bl w:val="nil"/>
            </w:tcBorders>
            <w:vAlign w:val="center"/>
          </w:tcPr>
          <w:p w14:paraId="3C405D6B">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排放方式</w:t>
            </w:r>
          </w:p>
        </w:tc>
        <w:tc>
          <w:tcPr>
            <w:tcW w:w="1982" w:type="dxa"/>
            <w:gridSpan w:val="4"/>
            <w:tcBorders>
              <w:tl2br w:val="nil"/>
              <w:tr2bl w:val="nil"/>
            </w:tcBorders>
            <w:vAlign w:val="center"/>
          </w:tcPr>
          <w:p w14:paraId="06B8E0AB">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治理措施</w:t>
            </w:r>
          </w:p>
        </w:tc>
        <w:tc>
          <w:tcPr>
            <w:tcW w:w="2680" w:type="dxa"/>
            <w:gridSpan w:val="4"/>
            <w:tcBorders>
              <w:tl2br w:val="nil"/>
              <w:tr2bl w:val="nil"/>
            </w:tcBorders>
            <w:vAlign w:val="center"/>
          </w:tcPr>
          <w:p w14:paraId="5699D799">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污染物排放</w:t>
            </w:r>
          </w:p>
        </w:tc>
        <w:tc>
          <w:tcPr>
            <w:tcW w:w="3444" w:type="dxa"/>
            <w:gridSpan w:val="3"/>
            <w:tcBorders>
              <w:tl2br w:val="nil"/>
              <w:tr2bl w:val="nil"/>
            </w:tcBorders>
            <w:vAlign w:val="center"/>
          </w:tcPr>
          <w:p w14:paraId="2EB903BE">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排放口基本信息</w:t>
            </w:r>
          </w:p>
        </w:tc>
        <w:tc>
          <w:tcPr>
            <w:tcW w:w="545" w:type="dxa"/>
            <w:vMerge w:val="restart"/>
            <w:tcBorders>
              <w:tl2br w:val="nil"/>
              <w:tr2bl w:val="nil"/>
            </w:tcBorders>
            <w:vAlign w:val="center"/>
          </w:tcPr>
          <w:p w14:paraId="6964E1AB">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排放时间h</w:t>
            </w:r>
          </w:p>
        </w:tc>
      </w:tr>
      <w:tr w14:paraId="7A4ADF8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2" w:hRule="atLeast"/>
        </w:trPr>
        <w:tc>
          <w:tcPr>
            <w:tcW w:w="656" w:type="dxa"/>
            <w:vMerge w:val="continue"/>
            <w:tcBorders>
              <w:tl2br w:val="nil"/>
              <w:tr2bl w:val="nil"/>
            </w:tcBorders>
            <w:vAlign w:val="center"/>
          </w:tcPr>
          <w:p w14:paraId="5286ABA8">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p>
        </w:tc>
        <w:tc>
          <w:tcPr>
            <w:tcW w:w="349" w:type="dxa"/>
            <w:vMerge w:val="continue"/>
            <w:tcBorders>
              <w:tl2br w:val="nil"/>
              <w:tr2bl w:val="nil"/>
            </w:tcBorders>
            <w:vAlign w:val="center"/>
          </w:tcPr>
          <w:p w14:paraId="6246CCCE">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p>
        </w:tc>
        <w:tc>
          <w:tcPr>
            <w:tcW w:w="716" w:type="dxa"/>
            <w:vMerge w:val="continue"/>
            <w:tcBorders>
              <w:tl2br w:val="nil"/>
              <w:tr2bl w:val="nil"/>
            </w:tcBorders>
            <w:vAlign w:val="center"/>
          </w:tcPr>
          <w:p w14:paraId="2A81FC11">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p>
        </w:tc>
        <w:tc>
          <w:tcPr>
            <w:tcW w:w="344" w:type="dxa"/>
            <w:tcBorders>
              <w:tl2br w:val="nil"/>
              <w:tr2bl w:val="nil"/>
            </w:tcBorders>
            <w:vAlign w:val="center"/>
          </w:tcPr>
          <w:p w14:paraId="5F7AC095">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核算方法</w:t>
            </w:r>
          </w:p>
        </w:tc>
        <w:tc>
          <w:tcPr>
            <w:tcW w:w="718" w:type="dxa"/>
            <w:tcBorders>
              <w:tl2br w:val="nil"/>
              <w:tr2bl w:val="nil"/>
            </w:tcBorders>
            <w:vAlign w:val="center"/>
          </w:tcPr>
          <w:p w14:paraId="754582D2">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废气量/(m</w:t>
            </w:r>
            <w:r>
              <w:rPr>
                <w:rFonts w:hint="eastAsia" w:ascii="Times New Roman" w:hAnsi="Times New Roman" w:eastAsia="宋体" w:cs="Times New Roman"/>
                <w:color w:val="auto"/>
                <w:sz w:val="21"/>
                <w:szCs w:val="21"/>
                <w:highlight w:val="none"/>
                <w:vertAlign w:val="superscript"/>
              </w:rPr>
              <w:t>3</w:t>
            </w:r>
            <w:r>
              <w:rPr>
                <w:rFonts w:hint="eastAsia" w:ascii="Times New Roman" w:hAnsi="Times New Roman" w:eastAsia="宋体" w:cs="Times New Roman"/>
                <w:color w:val="auto"/>
                <w:sz w:val="21"/>
                <w:szCs w:val="21"/>
                <w:highlight w:val="none"/>
              </w:rPr>
              <w:t>/h)</w:t>
            </w:r>
          </w:p>
        </w:tc>
        <w:tc>
          <w:tcPr>
            <w:tcW w:w="915" w:type="dxa"/>
            <w:tcBorders>
              <w:tl2br w:val="nil"/>
              <w:tr2bl w:val="nil"/>
            </w:tcBorders>
            <w:vAlign w:val="center"/>
          </w:tcPr>
          <w:p w14:paraId="327A1A2E">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产生浓度/(mg/m</w:t>
            </w:r>
            <w:r>
              <w:rPr>
                <w:rFonts w:hint="eastAsia" w:ascii="Times New Roman" w:hAnsi="Times New Roman" w:eastAsia="宋体" w:cs="Times New Roman"/>
                <w:color w:val="auto"/>
                <w:sz w:val="21"/>
                <w:szCs w:val="21"/>
                <w:highlight w:val="none"/>
                <w:vertAlign w:val="superscript"/>
              </w:rPr>
              <w:t>3</w:t>
            </w:r>
            <w:r>
              <w:rPr>
                <w:rFonts w:hint="eastAsia" w:ascii="Times New Roman" w:hAnsi="Times New Roman" w:eastAsia="宋体" w:cs="Times New Roman"/>
                <w:color w:val="auto"/>
                <w:sz w:val="21"/>
                <w:szCs w:val="21"/>
                <w:highlight w:val="none"/>
              </w:rPr>
              <w:t>)</w:t>
            </w:r>
          </w:p>
        </w:tc>
        <w:tc>
          <w:tcPr>
            <w:tcW w:w="708" w:type="dxa"/>
            <w:tcBorders>
              <w:tl2br w:val="nil"/>
              <w:tr2bl w:val="nil"/>
            </w:tcBorders>
            <w:vAlign w:val="center"/>
          </w:tcPr>
          <w:p w14:paraId="0771648C">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产生速率/kg/h</w:t>
            </w:r>
          </w:p>
        </w:tc>
        <w:tc>
          <w:tcPr>
            <w:tcW w:w="657" w:type="dxa"/>
            <w:tcBorders>
              <w:tl2br w:val="nil"/>
              <w:tr2bl w:val="nil"/>
            </w:tcBorders>
            <w:vAlign w:val="center"/>
          </w:tcPr>
          <w:p w14:paraId="35BBC37D">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产生量/t/a</w:t>
            </w:r>
          </w:p>
        </w:tc>
        <w:tc>
          <w:tcPr>
            <w:tcW w:w="315" w:type="dxa"/>
            <w:vMerge w:val="continue"/>
            <w:tcBorders>
              <w:tl2br w:val="nil"/>
              <w:tr2bl w:val="nil"/>
            </w:tcBorders>
            <w:vAlign w:val="center"/>
          </w:tcPr>
          <w:p w14:paraId="7374D4F9">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p>
        </w:tc>
        <w:tc>
          <w:tcPr>
            <w:tcW w:w="587" w:type="dxa"/>
            <w:tcBorders>
              <w:tl2br w:val="nil"/>
              <w:tr2bl w:val="nil"/>
            </w:tcBorders>
            <w:vAlign w:val="center"/>
          </w:tcPr>
          <w:p w14:paraId="202B605B">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处理能力及工艺</w:t>
            </w:r>
          </w:p>
        </w:tc>
        <w:tc>
          <w:tcPr>
            <w:tcW w:w="395" w:type="dxa"/>
            <w:tcBorders>
              <w:tl2br w:val="nil"/>
              <w:tr2bl w:val="nil"/>
            </w:tcBorders>
            <w:vAlign w:val="center"/>
          </w:tcPr>
          <w:p w14:paraId="2E8FE587">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收集效率</w:t>
            </w:r>
          </w:p>
        </w:tc>
        <w:tc>
          <w:tcPr>
            <w:tcW w:w="500" w:type="dxa"/>
            <w:tcBorders>
              <w:tl2br w:val="nil"/>
              <w:tr2bl w:val="nil"/>
            </w:tcBorders>
            <w:vAlign w:val="center"/>
          </w:tcPr>
          <w:p w14:paraId="17A6CAA6">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工艺去除率</w:t>
            </w:r>
          </w:p>
        </w:tc>
        <w:tc>
          <w:tcPr>
            <w:tcW w:w="500" w:type="dxa"/>
            <w:tcBorders>
              <w:tl2br w:val="nil"/>
              <w:tr2bl w:val="nil"/>
            </w:tcBorders>
            <w:vAlign w:val="center"/>
          </w:tcPr>
          <w:p w14:paraId="18ECCCC7">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是否为可行技术</w:t>
            </w:r>
          </w:p>
        </w:tc>
        <w:tc>
          <w:tcPr>
            <w:tcW w:w="612" w:type="dxa"/>
            <w:tcBorders>
              <w:tl2br w:val="nil"/>
              <w:tr2bl w:val="nil"/>
            </w:tcBorders>
            <w:vAlign w:val="center"/>
          </w:tcPr>
          <w:p w14:paraId="21ADE844">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废气量/(m</w:t>
            </w:r>
            <w:r>
              <w:rPr>
                <w:rFonts w:hint="eastAsia" w:ascii="Times New Roman" w:hAnsi="Times New Roman" w:eastAsia="宋体" w:cs="Times New Roman"/>
                <w:color w:val="auto"/>
                <w:sz w:val="21"/>
                <w:szCs w:val="21"/>
                <w:highlight w:val="none"/>
                <w:vertAlign w:val="superscript"/>
              </w:rPr>
              <w:t>3</w:t>
            </w:r>
            <w:r>
              <w:rPr>
                <w:rFonts w:hint="eastAsia" w:ascii="Times New Roman" w:hAnsi="Times New Roman" w:eastAsia="宋体" w:cs="Times New Roman"/>
                <w:color w:val="auto"/>
                <w:sz w:val="21"/>
                <w:szCs w:val="21"/>
                <w:highlight w:val="none"/>
              </w:rPr>
              <w:t>/h)</w:t>
            </w:r>
          </w:p>
        </w:tc>
        <w:tc>
          <w:tcPr>
            <w:tcW w:w="703" w:type="dxa"/>
            <w:tcBorders>
              <w:tl2br w:val="nil"/>
              <w:tr2bl w:val="nil"/>
            </w:tcBorders>
            <w:vAlign w:val="center"/>
          </w:tcPr>
          <w:p w14:paraId="08218222">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排放浓度/mg/m</w:t>
            </w:r>
            <w:r>
              <w:rPr>
                <w:rFonts w:hint="eastAsia" w:ascii="Times New Roman" w:hAnsi="Times New Roman" w:eastAsia="宋体" w:cs="Times New Roman"/>
                <w:color w:val="auto"/>
                <w:sz w:val="21"/>
                <w:szCs w:val="21"/>
                <w:highlight w:val="none"/>
                <w:vertAlign w:val="superscript"/>
              </w:rPr>
              <w:t>3</w:t>
            </w:r>
          </w:p>
        </w:tc>
        <w:tc>
          <w:tcPr>
            <w:tcW w:w="708" w:type="dxa"/>
            <w:tcBorders>
              <w:tl2br w:val="nil"/>
              <w:tr2bl w:val="nil"/>
            </w:tcBorders>
            <w:vAlign w:val="center"/>
          </w:tcPr>
          <w:p w14:paraId="0FE8E090">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排放速率/kg/h</w:t>
            </w:r>
          </w:p>
        </w:tc>
        <w:tc>
          <w:tcPr>
            <w:tcW w:w="657" w:type="dxa"/>
            <w:tcBorders>
              <w:tl2br w:val="nil"/>
              <w:tr2bl w:val="nil"/>
            </w:tcBorders>
            <w:vAlign w:val="center"/>
          </w:tcPr>
          <w:p w14:paraId="0917D8F9">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排放量/t/a</w:t>
            </w:r>
          </w:p>
        </w:tc>
        <w:tc>
          <w:tcPr>
            <w:tcW w:w="1167" w:type="dxa"/>
            <w:tcBorders>
              <w:tl2br w:val="nil"/>
              <w:tr2bl w:val="nil"/>
            </w:tcBorders>
            <w:vAlign w:val="center"/>
          </w:tcPr>
          <w:p w14:paraId="611C0328">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排气筒内径、高度、温度</w:t>
            </w:r>
          </w:p>
        </w:tc>
        <w:tc>
          <w:tcPr>
            <w:tcW w:w="1011" w:type="dxa"/>
            <w:tcBorders>
              <w:tl2br w:val="nil"/>
              <w:tr2bl w:val="nil"/>
            </w:tcBorders>
            <w:vAlign w:val="center"/>
          </w:tcPr>
          <w:p w14:paraId="734DA56B">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编号及名称、类型</w:t>
            </w:r>
          </w:p>
        </w:tc>
        <w:tc>
          <w:tcPr>
            <w:tcW w:w="1266" w:type="dxa"/>
            <w:tcBorders>
              <w:tl2br w:val="nil"/>
              <w:tr2bl w:val="nil"/>
            </w:tcBorders>
            <w:vAlign w:val="center"/>
          </w:tcPr>
          <w:p w14:paraId="17B82B61">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地理坐标</w:t>
            </w:r>
          </w:p>
        </w:tc>
        <w:tc>
          <w:tcPr>
            <w:tcW w:w="545" w:type="dxa"/>
            <w:vMerge w:val="continue"/>
            <w:tcBorders>
              <w:tl2br w:val="nil"/>
              <w:tr2bl w:val="nil"/>
            </w:tcBorders>
            <w:vAlign w:val="center"/>
          </w:tcPr>
          <w:p w14:paraId="3B48E358">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p>
        </w:tc>
      </w:tr>
      <w:tr w14:paraId="7248559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039" w:hRule="atLeast"/>
        </w:trPr>
        <w:tc>
          <w:tcPr>
            <w:tcW w:w="656" w:type="dxa"/>
            <w:vMerge w:val="restart"/>
            <w:tcBorders>
              <w:tl2br w:val="nil"/>
              <w:tr2bl w:val="nil"/>
            </w:tcBorders>
            <w:shd w:val="clear" w:color="auto" w:fill="auto"/>
            <w:vAlign w:val="center"/>
          </w:tcPr>
          <w:p w14:paraId="4A18DE86">
            <w:pPr>
              <w:pStyle w:val="115"/>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污水处理设施废气</w:t>
            </w:r>
          </w:p>
        </w:tc>
        <w:tc>
          <w:tcPr>
            <w:tcW w:w="349" w:type="dxa"/>
            <w:vMerge w:val="restart"/>
            <w:tcBorders>
              <w:tl2br w:val="nil"/>
              <w:tr2bl w:val="nil"/>
            </w:tcBorders>
            <w:shd w:val="clear" w:color="auto" w:fill="auto"/>
            <w:vAlign w:val="center"/>
          </w:tcPr>
          <w:p w14:paraId="0F0D876E">
            <w:pPr>
              <w:pStyle w:val="98"/>
              <w:keepNext w:val="0"/>
              <w:keepLines w:val="0"/>
              <w:pageBreakBefore w:val="0"/>
              <w:widowControl w:val="0"/>
              <w:kinsoku/>
              <w:wordWrap/>
              <w:overflowPunct/>
              <w:topLinePunct w:val="0"/>
              <w:autoSpaceDE/>
              <w:autoSpaceDN/>
              <w:bidi w:val="0"/>
              <w:spacing w:line="240" w:lineRule="auto"/>
              <w:ind w:lef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污水处理设施</w:t>
            </w:r>
          </w:p>
        </w:tc>
        <w:tc>
          <w:tcPr>
            <w:tcW w:w="716" w:type="dxa"/>
            <w:tcBorders>
              <w:tl2br w:val="nil"/>
              <w:tr2bl w:val="nil"/>
            </w:tcBorders>
            <w:shd w:val="clear" w:color="auto" w:fill="auto"/>
            <w:vAlign w:val="center"/>
          </w:tcPr>
          <w:p w14:paraId="661786AE">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lang w:eastAsia="zh-CN"/>
              </w:rPr>
            </w:pPr>
            <w:r>
              <w:rPr>
                <w:rFonts w:ascii="Times New Roman" w:hAnsi="Times New Roman" w:eastAsia="宋体"/>
                <w:color w:val="auto"/>
                <w:sz w:val="21"/>
                <w:szCs w:val="21"/>
              </w:rPr>
              <w:t>氨</w:t>
            </w:r>
          </w:p>
        </w:tc>
        <w:tc>
          <w:tcPr>
            <w:tcW w:w="344" w:type="dxa"/>
            <w:vMerge w:val="restart"/>
            <w:tcBorders>
              <w:tl2br w:val="nil"/>
              <w:tr2bl w:val="nil"/>
            </w:tcBorders>
            <w:shd w:val="clear" w:color="auto" w:fill="auto"/>
            <w:vAlign w:val="center"/>
          </w:tcPr>
          <w:p w14:paraId="0AF49A6E">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产污系数法</w:t>
            </w:r>
          </w:p>
        </w:tc>
        <w:tc>
          <w:tcPr>
            <w:tcW w:w="718" w:type="dxa"/>
            <w:tcBorders>
              <w:tl2br w:val="nil"/>
              <w:tr2bl w:val="nil"/>
            </w:tcBorders>
            <w:shd w:val="clear" w:color="auto" w:fill="auto"/>
            <w:vAlign w:val="center"/>
          </w:tcPr>
          <w:p w14:paraId="41BB11AF">
            <w:pPr>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2000</w:t>
            </w:r>
          </w:p>
        </w:tc>
        <w:tc>
          <w:tcPr>
            <w:tcW w:w="915" w:type="dxa"/>
            <w:tcBorders>
              <w:tl2br w:val="nil"/>
              <w:tr2bl w:val="nil"/>
            </w:tcBorders>
            <w:shd w:val="clear" w:color="auto" w:fill="auto"/>
            <w:vAlign w:val="center"/>
          </w:tcPr>
          <w:p w14:paraId="3ECCA3D9">
            <w:pPr>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0.35625</w:t>
            </w:r>
          </w:p>
        </w:tc>
        <w:tc>
          <w:tcPr>
            <w:tcW w:w="708" w:type="dxa"/>
            <w:tcBorders>
              <w:tl2br w:val="nil"/>
              <w:tr2bl w:val="nil"/>
            </w:tcBorders>
            <w:shd w:val="clear" w:color="auto" w:fill="auto"/>
            <w:vAlign w:val="center"/>
          </w:tcPr>
          <w:p w14:paraId="4B7C9663">
            <w:pPr>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0.00071</w:t>
            </w:r>
          </w:p>
        </w:tc>
        <w:tc>
          <w:tcPr>
            <w:tcW w:w="657" w:type="dxa"/>
            <w:tcBorders>
              <w:tl2br w:val="nil"/>
              <w:tr2bl w:val="nil"/>
            </w:tcBorders>
            <w:shd w:val="clear" w:color="auto" w:fill="auto"/>
            <w:vAlign w:val="center"/>
          </w:tcPr>
          <w:p w14:paraId="28C0DE01">
            <w:pPr>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0.00624</w:t>
            </w:r>
          </w:p>
        </w:tc>
        <w:tc>
          <w:tcPr>
            <w:tcW w:w="315" w:type="dxa"/>
            <w:vMerge w:val="restart"/>
            <w:tcBorders>
              <w:tl2br w:val="nil"/>
              <w:tr2bl w:val="nil"/>
            </w:tcBorders>
            <w:shd w:val="clear" w:color="auto" w:fill="auto"/>
            <w:vAlign w:val="center"/>
          </w:tcPr>
          <w:p w14:paraId="4429A6FC">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有组织</w:t>
            </w:r>
          </w:p>
        </w:tc>
        <w:tc>
          <w:tcPr>
            <w:tcW w:w="587" w:type="dxa"/>
            <w:vMerge w:val="restart"/>
            <w:tcBorders>
              <w:tl2br w:val="nil"/>
              <w:tr2bl w:val="nil"/>
            </w:tcBorders>
            <w:shd w:val="clear" w:color="auto" w:fill="auto"/>
            <w:vAlign w:val="center"/>
          </w:tcPr>
          <w:p w14:paraId="37462A70">
            <w:pPr>
              <w:pStyle w:val="98"/>
              <w:keepNext w:val="0"/>
              <w:keepLines w:val="0"/>
              <w:pageBreakBefore w:val="0"/>
              <w:widowControl w:val="0"/>
              <w:kinsoku/>
              <w:wordWrap/>
              <w:overflowPunct/>
              <w:topLinePunct w:val="0"/>
              <w:autoSpaceDE/>
              <w:autoSpaceDN/>
              <w:bidi w:val="0"/>
              <w:spacing w:line="240" w:lineRule="auto"/>
              <w:ind w:lef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活性炭吸附+15m排气筒</w:t>
            </w:r>
          </w:p>
        </w:tc>
        <w:tc>
          <w:tcPr>
            <w:tcW w:w="395" w:type="dxa"/>
            <w:tcBorders>
              <w:tl2br w:val="nil"/>
              <w:tr2bl w:val="nil"/>
            </w:tcBorders>
            <w:shd w:val="clear" w:color="auto" w:fill="auto"/>
            <w:vAlign w:val="center"/>
          </w:tcPr>
          <w:p w14:paraId="7DC8B99C">
            <w:pPr>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95%</w:t>
            </w:r>
          </w:p>
        </w:tc>
        <w:tc>
          <w:tcPr>
            <w:tcW w:w="500" w:type="dxa"/>
            <w:tcBorders>
              <w:tl2br w:val="nil"/>
              <w:tr2bl w:val="nil"/>
            </w:tcBorders>
            <w:shd w:val="clear" w:color="auto" w:fill="auto"/>
            <w:vAlign w:val="center"/>
          </w:tcPr>
          <w:p w14:paraId="6367307C">
            <w:pPr>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60%</w:t>
            </w:r>
          </w:p>
        </w:tc>
        <w:tc>
          <w:tcPr>
            <w:tcW w:w="500" w:type="dxa"/>
            <w:tcBorders>
              <w:tl2br w:val="nil"/>
              <w:tr2bl w:val="nil"/>
            </w:tcBorders>
            <w:shd w:val="clear" w:color="auto" w:fill="auto"/>
            <w:vAlign w:val="center"/>
          </w:tcPr>
          <w:p w14:paraId="0C73C209">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w:t>
            </w:r>
          </w:p>
        </w:tc>
        <w:tc>
          <w:tcPr>
            <w:tcW w:w="612" w:type="dxa"/>
            <w:tcBorders>
              <w:tl2br w:val="nil"/>
              <w:tr2bl w:val="nil"/>
            </w:tcBorders>
            <w:shd w:val="clear" w:color="auto" w:fill="auto"/>
            <w:vAlign w:val="center"/>
          </w:tcPr>
          <w:p w14:paraId="18A2B5E8">
            <w:pPr>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2000</w:t>
            </w:r>
          </w:p>
        </w:tc>
        <w:tc>
          <w:tcPr>
            <w:tcW w:w="703" w:type="dxa"/>
            <w:tcBorders>
              <w:tl2br w:val="nil"/>
              <w:tr2bl w:val="nil"/>
            </w:tcBorders>
            <w:shd w:val="clear" w:color="auto" w:fill="auto"/>
            <w:vAlign w:val="center"/>
          </w:tcPr>
          <w:p w14:paraId="7E65EC19">
            <w:pPr>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0.1425000</w:t>
            </w:r>
          </w:p>
        </w:tc>
        <w:tc>
          <w:tcPr>
            <w:tcW w:w="708" w:type="dxa"/>
            <w:tcBorders>
              <w:tl2br w:val="nil"/>
              <w:tr2bl w:val="nil"/>
            </w:tcBorders>
            <w:shd w:val="clear" w:color="auto" w:fill="auto"/>
            <w:vAlign w:val="center"/>
          </w:tcPr>
          <w:p w14:paraId="656B763C">
            <w:pPr>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0.0002850</w:t>
            </w:r>
          </w:p>
        </w:tc>
        <w:tc>
          <w:tcPr>
            <w:tcW w:w="657" w:type="dxa"/>
            <w:tcBorders>
              <w:tl2br w:val="nil"/>
              <w:tr2bl w:val="nil"/>
            </w:tcBorders>
            <w:shd w:val="clear" w:color="auto" w:fill="auto"/>
            <w:vAlign w:val="center"/>
          </w:tcPr>
          <w:p w14:paraId="074307FB">
            <w:pPr>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0.0024966</w:t>
            </w:r>
          </w:p>
        </w:tc>
        <w:tc>
          <w:tcPr>
            <w:tcW w:w="1167" w:type="dxa"/>
            <w:vMerge w:val="restart"/>
            <w:tcBorders>
              <w:tl2br w:val="nil"/>
              <w:tr2bl w:val="nil"/>
            </w:tcBorders>
            <w:shd w:val="clear" w:color="auto" w:fill="auto"/>
            <w:vAlign w:val="center"/>
          </w:tcPr>
          <w:p w14:paraId="44952424">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H=</w:t>
            </w:r>
            <w:r>
              <w:rPr>
                <w:rFonts w:hint="eastAsia" w:ascii="Times New Roman" w:hAnsi="Times New Roman" w:eastAsia="宋体" w:cs="Times New Roman"/>
                <w:color w:val="auto"/>
                <w:sz w:val="21"/>
                <w:szCs w:val="21"/>
                <w:highlight w:val="none"/>
                <w:lang w:eastAsia="zh-CN"/>
              </w:rPr>
              <w:t>15m</w:t>
            </w:r>
            <w:r>
              <w:rPr>
                <w:rFonts w:hint="eastAsia" w:ascii="Times New Roman" w:hAnsi="Times New Roman" w:eastAsia="宋体" w:cs="Times New Roman"/>
                <w:color w:val="auto"/>
                <w:sz w:val="21"/>
                <w:szCs w:val="21"/>
                <w:highlight w:val="none"/>
              </w:rPr>
              <w:t>、内径0.</w:t>
            </w:r>
            <w:r>
              <w:rPr>
                <w:rFonts w:hint="eastAsia" w:ascii="Times New Roman" w:hAnsi="Times New Roman" w:eastAsia="宋体"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rPr>
              <w:t>m、温度</w:t>
            </w:r>
            <w:r>
              <w:rPr>
                <w:rFonts w:hint="eastAsia" w:ascii="Times New Roman" w:hAnsi="Times New Roman" w:eastAsia="宋体" w:cs="Times New Roman"/>
                <w:color w:val="auto"/>
                <w:sz w:val="21"/>
                <w:szCs w:val="21"/>
                <w:highlight w:val="none"/>
                <w:lang w:val="en-US" w:eastAsia="zh-CN"/>
              </w:rPr>
              <w:t>25</w:t>
            </w:r>
            <w:r>
              <w:rPr>
                <w:rFonts w:hint="eastAsia" w:ascii="Times New Roman" w:hAnsi="Times New Roman" w:eastAsia="宋体" w:cs="Times New Roman"/>
                <w:color w:val="auto"/>
                <w:sz w:val="21"/>
                <w:szCs w:val="21"/>
                <w:highlight w:val="none"/>
              </w:rPr>
              <w:t>℃</w:t>
            </w:r>
          </w:p>
        </w:tc>
        <w:tc>
          <w:tcPr>
            <w:tcW w:w="1011" w:type="dxa"/>
            <w:vMerge w:val="restart"/>
            <w:tcBorders>
              <w:tl2br w:val="nil"/>
              <w:tr2bl w:val="nil"/>
            </w:tcBorders>
            <w:shd w:val="clear" w:color="auto" w:fill="auto"/>
            <w:vAlign w:val="center"/>
          </w:tcPr>
          <w:p w14:paraId="593CAA19">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DA001、一般排放口</w:t>
            </w:r>
          </w:p>
        </w:tc>
        <w:tc>
          <w:tcPr>
            <w:tcW w:w="1266" w:type="dxa"/>
            <w:vMerge w:val="restart"/>
            <w:tcBorders>
              <w:tl2br w:val="nil"/>
              <w:tr2bl w:val="nil"/>
            </w:tcBorders>
            <w:shd w:val="clear" w:color="auto" w:fill="auto"/>
            <w:vAlign w:val="center"/>
          </w:tcPr>
          <w:p w14:paraId="6BB6FF10">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shd w:val="clear"/>
              </w:rPr>
            </w:pPr>
            <w:r>
              <w:rPr>
                <w:rFonts w:hint="eastAsia" w:ascii="Times New Roman" w:hAnsi="Times New Roman" w:eastAsia="宋体" w:cs="Times New Roman"/>
                <w:color w:val="auto"/>
                <w:sz w:val="21"/>
                <w:szCs w:val="21"/>
                <w:highlight w:val="none"/>
                <w:shd w:val="clear"/>
              </w:rPr>
              <w:t>经度：</w:t>
            </w:r>
          </w:p>
          <w:p w14:paraId="0DC66A7D">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shd w:val="clear"/>
              </w:rPr>
            </w:pPr>
            <w:r>
              <w:rPr>
                <w:rFonts w:hint="eastAsia" w:ascii="Times New Roman" w:hAnsi="Times New Roman" w:eastAsia="宋体" w:cs="Times New Roman"/>
                <w:color w:val="auto"/>
                <w:sz w:val="21"/>
                <w:szCs w:val="21"/>
                <w:highlight w:val="none"/>
                <w:shd w:val="clear"/>
              </w:rPr>
              <w:t>119.544419°</w:t>
            </w:r>
          </w:p>
          <w:p w14:paraId="555B6BC2">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shd w:val="clear"/>
              </w:rPr>
            </w:pPr>
            <w:r>
              <w:rPr>
                <w:rFonts w:hint="eastAsia" w:ascii="Times New Roman" w:hAnsi="Times New Roman" w:eastAsia="宋体" w:cs="Times New Roman"/>
                <w:color w:val="auto"/>
                <w:sz w:val="21"/>
                <w:szCs w:val="21"/>
                <w:highlight w:val="none"/>
                <w:shd w:val="clear"/>
              </w:rPr>
              <w:t>纬度：</w:t>
            </w:r>
          </w:p>
          <w:p w14:paraId="7322F8BE">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shd w:val="clear"/>
              </w:rPr>
              <w:t>26.4900043°</w:t>
            </w:r>
          </w:p>
        </w:tc>
        <w:tc>
          <w:tcPr>
            <w:tcW w:w="545" w:type="dxa"/>
            <w:vMerge w:val="restart"/>
            <w:tcBorders>
              <w:tl2br w:val="nil"/>
              <w:tr2bl w:val="nil"/>
            </w:tcBorders>
            <w:shd w:val="clear" w:color="auto" w:fill="auto"/>
            <w:vAlign w:val="center"/>
          </w:tcPr>
          <w:p w14:paraId="5137340A">
            <w:pPr>
              <w:pStyle w:val="98"/>
              <w:keepNext w:val="0"/>
              <w:keepLines w:val="0"/>
              <w:pageBreakBefore w:val="0"/>
              <w:widowControl w:val="0"/>
              <w:kinsoku/>
              <w:wordWrap/>
              <w:overflowPunct/>
              <w:topLinePunct w:val="0"/>
              <w:autoSpaceDE/>
              <w:autoSpaceDN/>
              <w:bidi w:val="0"/>
              <w:spacing w:line="240" w:lineRule="auto"/>
              <w:ind w:left="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87</w:t>
            </w:r>
            <w:r>
              <w:rPr>
                <w:rFonts w:hint="eastAsia" w:ascii="Times New Roman" w:hAnsi="Times New Roman" w:cs="Times New Roman"/>
                <w:color w:val="auto"/>
                <w:sz w:val="21"/>
                <w:szCs w:val="21"/>
                <w:highlight w:val="none"/>
                <w:lang w:val="en-US" w:eastAsia="zh-CN"/>
              </w:rPr>
              <w:t>6</w:t>
            </w:r>
            <w:r>
              <w:rPr>
                <w:rFonts w:hint="eastAsia" w:ascii="Times New Roman" w:hAnsi="Times New Roman" w:eastAsia="宋体" w:cs="Times New Roman"/>
                <w:color w:val="auto"/>
                <w:sz w:val="21"/>
                <w:szCs w:val="21"/>
                <w:highlight w:val="none"/>
                <w:lang w:val="en-US" w:eastAsia="zh-CN"/>
              </w:rPr>
              <w:t>0</w:t>
            </w:r>
          </w:p>
        </w:tc>
      </w:tr>
      <w:tr w14:paraId="4D4CD0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656" w:type="dxa"/>
            <w:vMerge w:val="continue"/>
            <w:tcBorders>
              <w:tl2br w:val="nil"/>
              <w:tr2bl w:val="nil"/>
            </w:tcBorders>
            <w:shd w:val="clear" w:color="auto" w:fill="auto"/>
            <w:vAlign w:val="center"/>
          </w:tcPr>
          <w:p w14:paraId="7EE1FB71">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p>
        </w:tc>
        <w:tc>
          <w:tcPr>
            <w:tcW w:w="349" w:type="dxa"/>
            <w:vMerge w:val="continue"/>
            <w:tcBorders>
              <w:tl2br w:val="nil"/>
              <w:tr2bl w:val="nil"/>
            </w:tcBorders>
            <w:shd w:val="clear" w:color="auto" w:fill="auto"/>
            <w:vAlign w:val="center"/>
          </w:tcPr>
          <w:p w14:paraId="12464F98">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p>
        </w:tc>
        <w:tc>
          <w:tcPr>
            <w:tcW w:w="716" w:type="dxa"/>
            <w:tcBorders>
              <w:tl2br w:val="nil"/>
              <w:tr2bl w:val="nil"/>
            </w:tcBorders>
            <w:shd w:val="clear" w:color="auto" w:fill="auto"/>
            <w:vAlign w:val="center"/>
          </w:tcPr>
          <w:p w14:paraId="01F4CE4E">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lang w:eastAsia="zh-CN"/>
              </w:rPr>
            </w:pPr>
            <w:r>
              <w:rPr>
                <w:rFonts w:ascii="Times New Roman" w:hAnsi="Times New Roman" w:eastAsia="宋体"/>
                <w:color w:val="auto"/>
                <w:spacing w:val="7"/>
                <w:sz w:val="21"/>
                <w:szCs w:val="21"/>
              </w:rPr>
              <w:t>硫化氢</w:t>
            </w:r>
          </w:p>
        </w:tc>
        <w:tc>
          <w:tcPr>
            <w:tcW w:w="344" w:type="dxa"/>
            <w:vMerge w:val="continue"/>
            <w:tcBorders>
              <w:tl2br w:val="nil"/>
              <w:tr2bl w:val="nil"/>
            </w:tcBorders>
            <w:shd w:val="clear" w:color="auto" w:fill="auto"/>
            <w:vAlign w:val="center"/>
          </w:tcPr>
          <w:p w14:paraId="63BA2C4E">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p>
        </w:tc>
        <w:tc>
          <w:tcPr>
            <w:tcW w:w="718" w:type="dxa"/>
            <w:tcBorders>
              <w:tl2br w:val="nil"/>
              <w:tr2bl w:val="nil"/>
            </w:tcBorders>
            <w:shd w:val="clear" w:color="auto" w:fill="auto"/>
            <w:vAlign w:val="center"/>
          </w:tcPr>
          <w:p w14:paraId="5F481C7C">
            <w:pPr>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2000</w:t>
            </w:r>
          </w:p>
        </w:tc>
        <w:tc>
          <w:tcPr>
            <w:tcW w:w="915" w:type="dxa"/>
            <w:tcBorders>
              <w:tl2br w:val="nil"/>
              <w:tr2bl w:val="nil"/>
            </w:tcBorders>
            <w:shd w:val="clear" w:color="auto" w:fill="auto"/>
            <w:vAlign w:val="center"/>
          </w:tcPr>
          <w:p w14:paraId="2A5F7434">
            <w:pPr>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0.01356</w:t>
            </w:r>
          </w:p>
        </w:tc>
        <w:tc>
          <w:tcPr>
            <w:tcW w:w="708" w:type="dxa"/>
            <w:tcBorders>
              <w:tl2br w:val="nil"/>
              <w:tr2bl w:val="nil"/>
            </w:tcBorders>
            <w:shd w:val="clear" w:color="auto" w:fill="auto"/>
            <w:vAlign w:val="center"/>
          </w:tcPr>
          <w:p w14:paraId="5C89FADD">
            <w:pPr>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0.00003</w:t>
            </w:r>
          </w:p>
        </w:tc>
        <w:tc>
          <w:tcPr>
            <w:tcW w:w="657" w:type="dxa"/>
            <w:tcBorders>
              <w:tl2br w:val="nil"/>
              <w:tr2bl w:val="nil"/>
            </w:tcBorders>
            <w:shd w:val="clear" w:color="auto" w:fill="auto"/>
            <w:vAlign w:val="center"/>
          </w:tcPr>
          <w:p w14:paraId="3DB2C7D9">
            <w:pPr>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0.00024</w:t>
            </w:r>
          </w:p>
        </w:tc>
        <w:tc>
          <w:tcPr>
            <w:tcW w:w="315" w:type="dxa"/>
            <w:vMerge w:val="continue"/>
            <w:tcBorders>
              <w:tl2br w:val="nil"/>
              <w:tr2bl w:val="nil"/>
            </w:tcBorders>
            <w:shd w:val="clear" w:color="auto" w:fill="auto"/>
            <w:vAlign w:val="center"/>
          </w:tcPr>
          <w:p w14:paraId="48FF0768">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p>
        </w:tc>
        <w:tc>
          <w:tcPr>
            <w:tcW w:w="587" w:type="dxa"/>
            <w:vMerge w:val="continue"/>
            <w:tcBorders>
              <w:tl2br w:val="nil"/>
              <w:tr2bl w:val="nil"/>
            </w:tcBorders>
            <w:shd w:val="clear" w:color="auto" w:fill="auto"/>
            <w:vAlign w:val="center"/>
          </w:tcPr>
          <w:p w14:paraId="76B88681">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p>
        </w:tc>
        <w:tc>
          <w:tcPr>
            <w:tcW w:w="395" w:type="dxa"/>
            <w:tcBorders>
              <w:tl2br w:val="nil"/>
              <w:tr2bl w:val="nil"/>
            </w:tcBorders>
            <w:shd w:val="clear" w:color="auto" w:fill="auto"/>
            <w:vAlign w:val="center"/>
          </w:tcPr>
          <w:p w14:paraId="48C9EAC8">
            <w:pPr>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w:t>
            </w:r>
          </w:p>
        </w:tc>
        <w:tc>
          <w:tcPr>
            <w:tcW w:w="500" w:type="dxa"/>
            <w:tcBorders>
              <w:tl2br w:val="nil"/>
              <w:tr2bl w:val="nil"/>
            </w:tcBorders>
            <w:shd w:val="clear" w:color="auto" w:fill="auto"/>
            <w:vAlign w:val="center"/>
          </w:tcPr>
          <w:p w14:paraId="7476E97E">
            <w:pPr>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w:t>
            </w:r>
          </w:p>
        </w:tc>
        <w:tc>
          <w:tcPr>
            <w:tcW w:w="500" w:type="dxa"/>
            <w:tcBorders>
              <w:tl2br w:val="nil"/>
              <w:tr2bl w:val="nil"/>
            </w:tcBorders>
            <w:shd w:val="clear" w:color="auto" w:fill="auto"/>
            <w:vAlign w:val="center"/>
          </w:tcPr>
          <w:p w14:paraId="45CAFA11">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w:t>
            </w:r>
          </w:p>
        </w:tc>
        <w:tc>
          <w:tcPr>
            <w:tcW w:w="612" w:type="dxa"/>
            <w:tcBorders>
              <w:tl2br w:val="nil"/>
              <w:tr2bl w:val="nil"/>
            </w:tcBorders>
            <w:shd w:val="clear" w:color="auto" w:fill="auto"/>
            <w:vAlign w:val="center"/>
          </w:tcPr>
          <w:p w14:paraId="35C7C531">
            <w:pPr>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2000</w:t>
            </w:r>
          </w:p>
        </w:tc>
        <w:tc>
          <w:tcPr>
            <w:tcW w:w="703" w:type="dxa"/>
            <w:tcBorders>
              <w:tl2br w:val="nil"/>
              <w:tr2bl w:val="nil"/>
            </w:tcBorders>
            <w:shd w:val="clear" w:color="auto" w:fill="auto"/>
            <w:vAlign w:val="center"/>
          </w:tcPr>
          <w:p w14:paraId="307CC07E">
            <w:pPr>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w:t>
            </w:r>
          </w:p>
        </w:tc>
        <w:tc>
          <w:tcPr>
            <w:tcW w:w="708" w:type="dxa"/>
            <w:tcBorders>
              <w:tl2br w:val="nil"/>
              <w:tr2bl w:val="nil"/>
            </w:tcBorders>
            <w:shd w:val="clear" w:color="auto" w:fill="auto"/>
            <w:vAlign w:val="center"/>
          </w:tcPr>
          <w:p w14:paraId="4578B842">
            <w:pPr>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0.0000375</w:t>
            </w:r>
          </w:p>
        </w:tc>
        <w:tc>
          <w:tcPr>
            <w:tcW w:w="657" w:type="dxa"/>
            <w:tcBorders>
              <w:tl2br w:val="nil"/>
              <w:tr2bl w:val="nil"/>
            </w:tcBorders>
            <w:shd w:val="clear" w:color="auto" w:fill="auto"/>
            <w:vAlign w:val="center"/>
          </w:tcPr>
          <w:p w14:paraId="0DC2A6CB">
            <w:pPr>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0.0003285</w:t>
            </w:r>
          </w:p>
        </w:tc>
        <w:tc>
          <w:tcPr>
            <w:tcW w:w="1167" w:type="dxa"/>
            <w:vMerge w:val="continue"/>
            <w:tcBorders>
              <w:tl2br w:val="nil"/>
              <w:tr2bl w:val="nil"/>
            </w:tcBorders>
            <w:shd w:val="clear" w:color="auto" w:fill="auto"/>
            <w:vAlign w:val="center"/>
          </w:tcPr>
          <w:p w14:paraId="4D7F9E7D">
            <w:pPr>
              <w:pStyle w:val="98"/>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z w:val="21"/>
                <w:szCs w:val="21"/>
                <w:highlight w:val="none"/>
              </w:rPr>
            </w:pPr>
          </w:p>
        </w:tc>
        <w:tc>
          <w:tcPr>
            <w:tcW w:w="1011" w:type="dxa"/>
            <w:vMerge w:val="continue"/>
            <w:tcBorders>
              <w:tl2br w:val="nil"/>
              <w:tr2bl w:val="nil"/>
            </w:tcBorders>
            <w:shd w:val="clear" w:color="auto" w:fill="auto"/>
            <w:vAlign w:val="center"/>
          </w:tcPr>
          <w:p w14:paraId="60BD86FC">
            <w:pPr>
              <w:pStyle w:val="98"/>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z w:val="21"/>
                <w:szCs w:val="21"/>
                <w:highlight w:val="none"/>
              </w:rPr>
            </w:pPr>
          </w:p>
        </w:tc>
        <w:tc>
          <w:tcPr>
            <w:tcW w:w="1266" w:type="dxa"/>
            <w:vMerge w:val="continue"/>
            <w:tcBorders>
              <w:tl2br w:val="nil"/>
              <w:tr2bl w:val="nil"/>
            </w:tcBorders>
            <w:shd w:val="clear" w:color="auto" w:fill="auto"/>
            <w:vAlign w:val="center"/>
          </w:tcPr>
          <w:p w14:paraId="0096141C">
            <w:pPr>
              <w:pStyle w:val="98"/>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z w:val="21"/>
                <w:szCs w:val="21"/>
                <w:highlight w:val="none"/>
              </w:rPr>
            </w:pPr>
          </w:p>
        </w:tc>
        <w:tc>
          <w:tcPr>
            <w:tcW w:w="545" w:type="dxa"/>
            <w:vMerge w:val="continue"/>
            <w:tcBorders>
              <w:tl2br w:val="nil"/>
              <w:tr2bl w:val="nil"/>
            </w:tcBorders>
            <w:shd w:val="clear" w:color="auto" w:fill="auto"/>
            <w:vAlign w:val="center"/>
          </w:tcPr>
          <w:p w14:paraId="1ADA2636">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p>
        </w:tc>
      </w:tr>
      <w:tr w14:paraId="3AD50A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656" w:type="dxa"/>
            <w:vMerge w:val="continue"/>
            <w:tcBorders>
              <w:tl2br w:val="nil"/>
              <w:tr2bl w:val="nil"/>
            </w:tcBorders>
            <w:vAlign w:val="center"/>
          </w:tcPr>
          <w:p w14:paraId="57E7840E">
            <w:pPr>
              <w:pStyle w:val="115"/>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p>
        </w:tc>
        <w:tc>
          <w:tcPr>
            <w:tcW w:w="349" w:type="dxa"/>
            <w:vMerge w:val="continue"/>
            <w:tcBorders>
              <w:tl2br w:val="nil"/>
              <w:tr2bl w:val="nil"/>
            </w:tcBorders>
            <w:vAlign w:val="center"/>
          </w:tcPr>
          <w:p w14:paraId="2B58AA06">
            <w:pPr>
              <w:pStyle w:val="115"/>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p>
        </w:tc>
        <w:tc>
          <w:tcPr>
            <w:tcW w:w="716" w:type="dxa"/>
            <w:tcBorders>
              <w:tl2br w:val="nil"/>
              <w:tr2bl w:val="nil"/>
            </w:tcBorders>
            <w:vAlign w:val="center"/>
          </w:tcPr>
          <w:p w14:paraId="6B634B2D">
            <w:pPr>
              <w:pStyle w:val="115"/>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ascii="Times New Roman" w:hAnsi="Times New Roman" w:eastAsia="宋体"/>
                <w:color w:val="auto"/>
                <w:sz w:val="21"/>
                <w:szCs w:val="21"/>
              </w:rPr>
              <w:t>氨</w:t>
            </w:r>
          </w:p>
        </w:tc>
        <w:tc>
          <w:tcPr>
            <w:tcW w:w="344" w:type="dxa"/>
            <w:vMerge w:val="continue"/>
            <w:tcBorders>
              <w:tl2br w:val="nil"/>
              <w:tr2bl w:val="nil"/>
            </w:tcBorders>
            <w:vAlign w:val="center"/>
          </w:tcPr>
          <w:p w14:paraId="118DBBA2">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p>
        </w:tc>
        <w:tc>
          <w:tcPr>
            <w:tcW w:w="718" w:type="dxa"/>
            <w:tcBorders>
              <w:tl2br w:val="nil"/>
              <w:tr2bl w:val="nil"/>
            </w:tcBorders>
            <w:vAlign w:val="center"/>
          </w:tcPr>
          <w:p w14:paraId="15BAB616">
            <w:pPr>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pacing w:val="3"/>
                <w:position w:val="2"/>
                <w:sz w:val="21"/>
                <w:szCs w:val="21"/>
              </w:rPr>
            </w:pPr>
            <w:r>
              <w:rPr>
                <w:rFonts w:hint="eastAsia" w:ascii="Times New Roman" w:hAnsi="Times New Roman" w:eastAsia="宋体" w:cs="Times New Roman"/>
                <w:color w:val="auto"/>
                <w:spacing w:val="3"/>
                <w:position w:val="2"/>
                <w:sz w:val="21"/>
                <w:szCs w:val="21"/>
                <w:lang w:val="en-US" w:eastAsia="zh-CN"/>
              </w:rPr>
              <w:t>/</w:t>
            </w:r>
          </w:p>
        </w:tc>
        <w:tc>
          <w:tcPr>
            <w:tcW w:w="915" w:type="dxa"/>
            <w:tcBorders>
              <w:tl2br w:val="nil"/>
              <w:tr2bl w:val="nil"/>
            </w:tcBorders>
            <w:vAlign w:val="center"/>
          </w:tcPr>
          <w:p w14:paraId="0E903298">
            <w:pPr>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w:t>
            </w:r>
          </w:p>
        </w:tc>
        <w:tc>
          <w:tcPr>
            <w:tcW w:w="708" w:type="dxa"/>
            <w:tcBorders>
              <w:tl2br w:val="nil"/>
              <w:tr2bl w:val="nil"/>
            </w:tcBorders>
            <w:shd w:val="clear" w:color="auto" w:fill="auto"/>
            <w:vAlign w:val="center"/>
          </w:tcPr>
          <w:p w14:paraId="5673F174">
            <w:pPr>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0.00004</w:t>
            </w:r>
          </w:p>
        </w:tc>
        <w:tc>
          <w:tcPr>
            <w:tcW w:w="657" w:type="dxa"/>
            <w:tcBorders>
              <w:tl2br w:val="nil"/>
              <w:tr2bl w:val="nil"/>
            </w:tcBorders>
            <w:shd w:val="clear" w:color="auto" w:fill="auto"/>
            <w:vAlign w:val="center"/>
          </w:tcPr>
          <w:p w14:paraId="3E09092F">
            <w:pPr>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0.00033</w:t>
            </w:r>
          </w:p>
        </w:tc>
        <w:tc>
          <w:tcPr>
            <w:tcW w:w="315" w:type="dxa"/>
            <w:vMerge w:val="restart"/>
            <w:tcBorders>
              <w:tl2br w:val="nil"/>
              <w:tr2bl w:val="nil"/>
            </w:tcBorders>
            <w:vAlign w:val="center"/>
          </w:tcPr>
          <w:p w14:paraId="44FDCFB2">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无组织</w:t>
            </w:r>
          </w:p>
        </w:tc>
        <w:tc>
          <w:tcPr>
            <w:tcW w:w="587" w:type="dxa"/>
            <w:vMerge w:val="restart"/>
            <w:tcBorders>
              <w:tl2br w:val="nil"/>
              <w:tr2bl w:val="nil"/>
            </w:tcBorders>
            <w:vAlign w:val="center"/>
          </w:tcPr>
          <w:p w14:paraId="12DA66C4">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污水处理站采用地埋式</w:t>
            </w:r>
            <w:r>
              <w:rPr>
                <w:rFonts w:hint="eastAsia" w:ascii="Times New Roman" w:hAnsi="Times New Roman" w:cs="Times New Roman"/>
                <w:color w:val="auto"/>
                <w:sz w:val="21"/>
                <w:szCs w:val="21"/>
                <w:highlight w:val="none"/>
                <w:lang w:val="en-US" w:eastAsia="zh-CN"/>
              </w:rPr>
              <w:t>，污</w:t>
            </w:r>
            <w:r>
              <w:rPr>
                <w:rFonts w:hint="default" w:ascii="Times New Roman" w:hAnsi="Times New Roman" w:eastAsia="宋体" w:cs="Times New Roman"/>
                <w:color w:val="auto"/>
                <w:sz w:val="21"/>
                <w:szCs w:val="21"/>
                <w:highlight w:val="none"/>
                <w:lang w:val="en-US" w:eastAsia="zh-CN"/>
              </w:rPr>
              <w:t>水处理池加盖板密闭</w:t>
            </w:r>
          </w:p>
        </w:tc>
        <w:tc>
          <w:tcPr>
            <w:tcW w:w="395" w:type="dxa"/>
            <w:tcBorders>
              <w:tl2br w:val="nil"/>
              <w:tr2bl w:val="nil"/>
            </w:tcBorders>
            <w:vAlign w:val="center"/>
          </w:tcPr>
          <w:p w14:paraId="06FD9485">
            <w:pPr>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w:t>
            </w:r>
          </w:p>
        </w:tc>
        <w:tc>
          <w:tcPr>
            <w:tcW w:w="500" w:type="dxa"/>
            <w:tcBorders>
              <w:tl2br w:val="nil"/>
              <w:tr2bl w:val="nil"/>
            </w:tcBorders>
            <w:vAlign w:val="center"/>
          </w:tcPr>
          <w:p w14:paraId="0556E531">
            <w:pPr>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w:t>
            </w:r>
          </w:p>
        </w:tc>
        <w:tc>
          <w:tcPr>
            <w:tcW w:w="500" w:type="dxa"/>
            <w:tcBorders>
              <w:tl2br w:val="nil"/>
              <w:tr2bl w:val="nil"/>
            </w:tcBorders>
            <w:vAlign w:val="center"/>
          </w:tcPr>
          <w:p w14:paraId="68657092">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w:t>
            </w:r>
          </w:p>
        </w:tc>
        <w:tc>
          <w:tcPr>
            <w:tcW w:w="612" w:type="dxa"/>
            <w:tcBorders>
              <w:tl2br w:val="nil"/>
              <w:tr2bl w:val="nil"/>
            </w:tcBorders>
            <w:vAlign w:val="center"/>
          </w:tcPr>
          <w:p w14:paraId="6A2E0E5B">
            <w:pPr>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w:t>
            </w:r>
          </w:p>
        </w:tc>
        <w:tc>
          <w:tcPr>
            <w:tcW w:w="703" w:type="dxa"/>
            <w:tcBorders>
              <w:tl2br w:val="nil"/>
              <w:tr2bl w:val="nil"/>
            </w:tcBorders>
            <w:vAlign w:val="center"/>
          </w:tcPr>
          <w:p w14:paraId="4C7EB5E5">
            <w:pPr>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0.0000365</w:t>
            </w:r>
          </w:p>
        </w:tc>
        <w:tc>
          <w:tcPr>
            <w:tcW w:w="708" w:type="dxa"/>
            <w:tcBorders>
              <w:tl2br w:val="nil"/>
              <w:tr2bl w:val="nil"/>
            </w:tcBorders>
            <w:shd w:val="clear" w:color="auto" w:fill="auto"/>
            <w:vAlign w:val="center"/>
          </w:tcPr>
          <w:p w14:paraId="2956468D">
            <w:pPr>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0.0003200</w:t>
            </w:r>
          </w:p>
        </w:tc>
        <w:tc>
          <w:tcPr>
            <w:tcW w:w="657" w:type="dxa"/>
            <w:tcBorders>
              <w:tl2br w:val="nil"/>
              <w:tr2bl w:val="nil"/>
            </w:tcBorders>
            <w:shd w:val="clear" w:color="auto" w:fill="auto"/>
            <w:vAlign w:val="center"/>
          </w:tcPr>
          <w:p w14:paraId="42EE4BBD">
            <w:pPr>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0.0000365</w:t>
            </w:r>
          </w:p>
        </w:tc>
        <w:tc>
          <w:tcPr>
            <w:tcW w:w="1167" w:type="dxa"/>
            <w:tcBorders>
              <w:tl2br w:val="nil"/>
              <w:tr2bl w:val="nil"/>
            </w:tcBorders>
            <w:vAlign w:val="center"/>
          </w:tcPr>
          <w:p w14:paraId="71B5ACCA">
            <w:pPr>
              <w:pStyle w:val="98"/>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w:t>
            </w:r>
          </w:p>
        </w:tc>
        <w:tc>
          <w:tcPr>
            <w:tcW w:w="1011" w:type="dxa"/>
            <w:tcBorders>
              <w:tl2br w:val="nil"/>
              <w:tr2bl w:val="nil"/>
            </w:tcBorders>
            <w:vAlign w:val="center"/>
          </w:tcPr>
          <w:p w14:paraId="1E5544F7">
            <w:pPr>
              <w:pStyle w:val="98"/>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w:t>
            </w:r>
          </w:p>
        </w:tc>
        <w:tc>
          <w:tcPr>
            <w:tcW w:w="1266" w:type="dxa"/>
            <w:tcBorders>
              <w:tl2br w:val="nil"/>
              <w:tr2bl w:val="nil"/>
            </w:tcBorders>
            <w:vAlign w:val="center"/>
          </w:tcPr>
          <w:p w14:paraId="6464A459">
            <w:pPr>
              <w:pStyle w:val="98"/>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w:t>
            </w:r>
          </w:p>
        </w:tc>
        <w:tc>
          <w:tcPr>
            <w:tcW w:w="545" w:type="dxa"/>
            <w:vMerge w:val="continue"/>
            <w:tcBorders>
              <w:tl2br w:val="nil"/>
              <w:tr2bl w:val="nil"/>
            </w:tcBorders>
            <w:vAlign w:val="center"/>
          </w:tcPr>
          <w:p w14:paraId="74F81595">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p>
        </w:tc>
      </w:tr>
      <w:tr w14:paraId="464E3F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656" w:type="dxa"/>
            <w:vMerge w:val="continue"/>
            <w:tcBorders>
              <w:tl2br w:val="nil"/>
              <w:tr2bl w:val="nil"/>
            </w:tcBorders>
            <w:vAlign w:val="center"/>
          </w:tcPr>
          <w:p w14:paraId="2FBC3A48">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p>
        </w:tc>
        <w:tc>
          <w:tcPr>
            <w:tcW w:w="349" w:type="dxa"/>
            <w:vMerge w:val="continue"/>
            <w:tcBorders>
              <w:tl2br w:val="nil"/>
              <w:tr2bl w:val="nil"/>
            </w:tcBorders>
            <w:vAlign w:val="center"/>
          </w:tcPr>
          <w:p w14:paraId="0FDB83D5">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p>
        </w:tc>
        <w:tc>
          <w:tcPr>
            <w:tcW w:w="716" w:type="dxa"/>
            <w:tcBorders>
              <w:tl2br w:val="nil"/>
              <w:tr2bl w:val="nil"/>
            </w:tcBorders>
            <w:vAlign w:val="center"/>
          </w:tcPr>
          <w:p w14:paraId="5C33E664">
            <w:pPr>
              <w:pStyle w:val="115"/>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z w:val="21"/>
                <w:szCs w:val="21"/>
                <w:highlight w:val="none"/>
              </w:rPr>
            </w:pPr>
            <w:r>
              <w:rPr>
                <w:rFonts w:ascii="Times New Roman" w:hAnsi="Times New Roman" w:eastAsia="宋体"/>
                <w:color w:val="auto"/>
                <w:spacing w:val="7"/>
                <w:sz w:val="21"/>
                <w:szCs w:val="21"/>
              </w:rPr>
              <w:t>硫化氢</w:t>
            </w:r>
          </w:p>
        </w:tc>
        <w:tc>
          <w:tcPr>
            <w:tcW w:w="344" w:type="dxa"/>
            <w:vMerge w:val="continue"/>
            <w:tcBorders>
              <w:tl2br w:val="nil"/>
              <w:tr2bl w:val="nil"/>
            </w:tcBorders>
            <w:vAlign w:val="center"/>
          </w:tcPr>
          <w:p w14:paraId="040B2D95">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p>
        </w:tc>
        <w:tc>
          <w:tcPr>
            <w:tcW w:w="718" w:type="dxa"/>
            <w:tcBorders>
              <w:tl2br w:val="nil"/>
              <w:tr2bl w:val="nil"/>
            </w:tcBorders>
            <w:vAlign w:val="center"/>
          </w:tcPr>
          <w:p w14:paraId="17FBED39">
            <w:pPr>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pacing w:val="3"/>
                <w:position w:val="2"/>
                <w:sz w:val="21"/>
                <w:szCs w:val="21"/>
              </w:rPr>
            </w:pPr>
            <w:r>
              <w:rPr>
                <w:rFonts w:hint="eastAsia" w:ascii="Times New Roman" w:hAnsi="Times New Roman" w:eastAsia="宋体" w:cs="Times New Roman"/>
                <w:color w:val="auto"/>
                <w:spacing w:val="3"/>
                <w:position w:val="2"/>
                <w:sz w:val="21"/>
                <w:szCs w:val="21"/>
                <w:lang w:val="en-US" w:eastAsia="zh-CN"/>
              </w:rPr>
              <w:t>/</w:t>
            </w:r>
          </w:p>
        </w:tc>
        <w:tc>
          <w:tcPr>
            <w:tcW w:w="915" w:type="dxa"/>
            <w:tcBorders>
              <w:tl2br w:val="nil"/>
              <w:tr2bl w:val="nil"/>
            </w:tcBorders>
            <w:vAlign w:val="center"/>
          </w:tcPr>
          <w:p w14:paraId="13773FE3">
            <w:pPr>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w:t>
            </w:r>
          </w:p>
        </w:tc>
        <w:tc>
          <w:tcPr>
            <w:tcW w:w="708" w:type="dxa"/>
            <w:tcBorders>
              <w:tl2br w:val="nil"/>
              <w:tr2bl w:val="nil"/>
            </w:tcBorders>
            <w:shd w:val="clear" w:color="auto" w:fill="auto"/>
            <w:vAlign w:val="center"/>
          </w:tcPr>
          <w:p w14:paraId="1B0B826F">
            <w:pPr>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0.00000</w:t>
            </w:r>
            <w:r>
              <w:rPr>
                <w:rFonts w:hint="eastAsia" w:cs="Times New Roman"/>
                <w:color w:val="auto"/>
                <w:spacing w:val="3"/>
                <w:position w:val="2"/>
                <w:sz w:val="21"/>
                <w:szCs w:val="21"/>
                <w:lang w:val="en-US" w:eastAsia="zh-CN"/>
              </w:rPr>
              <w:t>1</w:t>
            </w:r>
          </w:p>
        </w:tc>
        <w:tc>
          <w:tcPr>
            <w:tcW w:w="657" w:type="dxa"/>
            <w:tcBorders>
              <w:tl2br w:val="nil"/>
              <w:tr2bl w:val="nil"/>
            </w:tcBorders>
            <w:shd w:val="clear" w:color="auto" w:fill="auto"/>
            <w:vAlign w:val="center"/>
          </w:tcPr>
          <w:p w14:paraId="7CC40015">
            <w:pPr>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0.00001</w:t>
            </w:r>
            <w:r>
              <w:rPr>
                <w:rFonts w:hint="eastAsia" w:cs="Times New Roman"/>
                <w:color w:val="auto"/>
                <w:spacing w:val="3"/>
                <w:position w:val="2"/>
                <w:sz w:val="21"/>
                <w:szCs w:val="21"/>
                <w:lang w:val="en-US" w:eastAsia="zh-CN"/>
              </w:rPr>
              <w:t>3</w:t>
            </w:r>
          </w:p>
        </w:tc>
        <w:tc>
          <w:tcPr>
            <w:tcW w:w="315" w:type="dxa"/>
            <w:vMerge w:val="continue"/>
            <w:tcBorders>
              <w:tl2br w:val="nil"/>
              <w:tr2bl w:val="nil"/>
            </w:tcBorders>
            <w:vAlign w:val="center"/>
          </w:tcPr>
          <w:p w14:paraId="5A4FF3F2">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p>
        </w:tc>
        <w:tc>
          <w:tcPr>
            <w:tcW w:w="587" w:type="dxa"/>
            <w:vMerge w:val="continue"/>
            <w:tcBorders>
              <w:tl2br w:val="nil"/>
              <w:tr2bl w:val="nil"/>
            </w:tcBorders>
            <w:vAlign w:val="center"/>
          </w:tcPr>
          <w:p w14:paraId="23602398">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p>
        </w:tc>
        <w:tc>
          <w:tcPr>
            <w:tcW w:w="395" w:type="dxa"/>
            <w:tcBorders>
              <w:tl2br w:val="nil"/>
              <w:tr2bl w:val="nil"/>
            </w:tcBorders>
            <w:vAlign w:val="center"/>
          </w:tcPr>
          <w:p w14:paraId="34148ACA">
            <w:pPr>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w:t>
            </w:r>
          </w:p>
        </w:tc>
        <w:tc>
          <w:tcPr>
            <w:tcW w:w="500" w:type="dxa"/>
            <w:tcBorders>
              <w:tl2br w:val="nil"/>
              <w:tr2bl w:val="nil"/>
            </w:tcBorders>
            <w:vAlign w:val="center"/>
          </w:tcPr>
          <w:p w14:paraId="25AAFAF7">
            <w:pPr>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w:t>
            </w:r>
          </w:p>
        </w:tc>
        <w:tc>
          <w:tcPr>
            <w:tcW w:w="500" w:type="dxa"/>
            <w:tcBorders>
              <w:tl2br w:val="nil"/>
              <w:tr2bl w:val="nil"/>
            </w:tcBorders>
            <w:vAlign w:val="center"/>
          </w:tcPr>
          <w:p w14:paraId="4A3A2A5B">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w:t>
            </w:r>
          </w:p>
        </w:tc>
        <w:tc>
          <w:tcPr>
            <w:tcW w:w="612" w:type="dxa"/>
            <w:tcBorders>
              <w:tl2br w:val="nil"/>
              <w:tr2bl w:val="nil"/>
            </w:tcBorders>
            <w:vAlign w:val="center"/>
          </w:tcPr>
          <w:p w14:paraId="49100914">
            <w:pPr>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w:t>
            </w:r>
          </w:p>
        </w:tc>
        <w:tc>
          <w:tcPr>
            <w:tcW w:w="703" w:type="dxa"/>
            <w:tcBorders>
              <w:tl2br w:val="nil"/>
              <w:tr2bl w:val="nil"/>
            </w:tcBorders>
            <w:vAlign w:val="center"/>
          </w:tcPr>
          <w:p w14:paraId="3A4D6801">
            <w:pPr>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0.0000014</w:t>
            </w:r>
          </w:p>
        </w:tc>
        <w:tc>
          <w:tcPr>
            <w:tcW w:w="708" w:type="dxa"/>
            <w:tcBorders>
              <w:tl2br w:val="nil"/>
              <w:tr2bl w:val="nil"/>
            </w:tcBorders>
            <w:shd w:val="clear" w:color="auto" w:fill="auto"/>
            <w:vAlign w:val="center"/>
          </w:tcPr>
          <w:p w14:paraId="5FFEDB81">
            <w:pPr>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0.0000125</w:t>
            </w:r>
          </w:p>
        </w:tc>
        <w:tc>
          <w:tcPr>
            <w:tcW w:w="657" w:type="dxa"/>
            <w:tcBorders>
              <w:tl2br w:val="nil"/>
              <w:tr2bl w:val="nil"/>
            </w:tcBorders>
            <w:shd w:val="clear" w:color="auto" w:fill="auto"/>
            <w:vAlign w:val="center"/>
          </w:tcPr>
          <w:p w14:paraId="7BC75026">
            <w:pPr>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pacing w:val="3"/>
                <w:position w:val="2"/>
                <w:sz w:val="21"/>
                <w:szCs w:val="21"/>
                <w:lang w:val="en-US" w:eastAsia="zh-CN"/>
              </w:rPr>
            </w:pPr>
            <w:r>
              <w:rPr>
                <w:rFonts w:hint="eastAsia" w:ascii="Times New Roman" w:hAnsi="Times New Roman" w:eastAsia="宋体" w:cs="Times New Roman"/>
                <w:color w:val="auto"/>
                <w:spacing w:val="3"/>
                <w:position w:val="2"/>
                <w:sz w:val="21"/>
                <w:szCs w:val="21"/>
                <w:lang w:val="en-US" w:eastAsia="zh-CN"/>
              </w:rPr>
              <w:t>0.0000014</w:t>
            </w:r>
          </w:p>
        </w:tc>
        <w:tc>
          <w:tcPr>
            <w:tcW w:w="1167" w:type="dxa"/>
            <w:tcBorders>
              <w:tl2br w:val="nil"/>
              <w:tr2bl w:val="nil"/>
            </w:tcBorders>
            <w:vAlign w:val="center"/>
          </w:tcPr>
          <w:p w14:paraId="2D45BBD7">
            <w:pPr>
              <w:pStyle w:val="98"/>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w:t>
            </w:r>
          </w:p>
        </w:tc>
        <w:tc>
          <w:tcPr>
            <w:tcW w:w="1011" w:type="dxa"/>
            <w:tcBorders>
              <w:tl2br w:val="nil"/>
              <w:tr2bl w:val="nil"/>
            </w:tcBorders>
            <w:vAlign w:val="center"/>
          </w:tcPr>
          <w:p w14:paraId="02C3AD6E">
            <w:pPr>
              <w:pStyle w:val="98"/>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w:t>
            </w:r>
          </w:p>
        </w:tc>
        <w:tc>
          <w:tcPr>
            <w:tcW w:w="1266" w:type="dxa"/>
            <w:tcBorders>
              <w:tl2br w:val="nil"/>
              <w:tr2bl w:val="nil"/>
            </w:tcBorders>
            <w:vAlign w:val="center"/>
          </w:tcPr>
          <w:p w14:paraId="78412022">
            <w:pPr>
              <w:pStyle w:val="98"/>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rPr>
              <w:t>/</w:t>
            </w:r>
          </w:p>
        </w:tc>
        <w:tc>
          <w:tcPr>
            <w:tcW w:w="545" w:type="dxa"/>
            <w:vMerge w:val="continue"/>
            <w:tcBorders>
              <w:tl2br w:val="nil"/>
              <w:tr2bl w:val="nil"/>
            </w:tcBorders>
            <w:vAlign w:val="center"/>
          </w:tcPr>
          <w:p w14:paraId="46D0E836">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p>
        </w:tc>
      </w:tr>
      <w:tr w14:paraId="5CD59B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1005" w:type="dxa"/>
            <w:gridSpan w:val="2"/>
            <w:vMerge w:val="restart"/>
            <w:tcBorders>
              <w:tl2br w:val="nil"/>
              <w:tr2bl w:val="nil"/>
            </w:tcBorders>
            <w:vAlign w:val="center"/>
          </w:tcPr>
          <w:p w14:paraId="166A86EA">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合计</w:t>
            </w:r>
          </w:p>
        </w:tc>
        <w:tc>
          <w:tcPr>
            <w:tcW w:w="716" w:type="dxa"/>
            <w:tcBorders>
              <w:tl2br w:val="nil"/>
              <w:tr2bl w:val="nil"/>
            </w:tcBorders>
            <w:vAlign w:val="center"/>
          </w:tcPr>
          <w:p w14:paraId="0C26425C">
            <w:pPr>
              <w:pStyle w:val="115"/>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olor w:val="auto"/>
                <w:spacing w:val="7"/>
                <w:sz w:val="21"/>
                <w:szCs w:val="21"/>
                <w:lang w:val="en-US" w:eastAsia="zh-CN"/>
              </w:rPr>
            </w:pPr>
            <w:r>
              <w:rPr>
                <w:rFonts w:hint="eastAsia" w:ascii="Times New Roman" w:hAnsi="Times New Roman" w:eastAsia="宋体"/>
                <w:color w:val="auto"/>
                <w:spacing w:val="7"/>
                <w:sz w:val="21"/>
                <w:szCs w:val="21"/>
                <w:lang w:val="en-US" w:eastAsia="zh-CN"/>
              </w:rPr>
              <w:t>类别</w:t>
            </w:r>
          </w:p>
        </w:tc>
        <w:tc>
          <w:tcPr>
            <w:tcW w:w="4244" w:type="dxa"/>
            <w:gridSpan w:val="7"/>
            <w:tcBorders>
              <w:tl2br w:val="nil"/>
              <w:tr2bl w:val="nil"/>
            </w:tcBorders>
            <w:vAlign w:val="center"/>
          </w:tcPr>
          <w:p w14:paraId="4389C558">
            <w:pPr>
              <w:pStyle w:val="98"/>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有组织排放量</w:t>
            </w:r>
          </w:p>
        </w:tc>
        <w:tc>
          <w:tcPr>
            <w:tcW w:w="5242" w:type="dxa"/>
            <w:gridSpan w:val="8"/>
            <w:tcBorders>
              <w:tl2br w:val="nil"/>
              <w:tr2bl w:val="nil"/>
            </w:tcBorders>
            <w:shd w:val="clear" w:color="auto" w:fill="auto"/>
            <w:vAlign w:val="center"/>
          </w:tcPr>
          <w:p w14:paraId="24B6C1F8">
            <w:pPr>
              <w:pStyle w:val="98"/>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无组织排放量</w:t>
            </w:r>
          </w:p>
        </w:tc>
        <w:tc>
          <w:tcPr>
            <w:tcW w:w="2822" w:type="dxa"/>
            <w:gridSpan w:val="3"/>
            <w:tcBorders>
              <w:tl2br w:val="nil"/>
              <w:tr2bl w:val="nil"/>
            </w:tcBorders>
            <w:vAlign w:val="center"/>
          </w:tcPr>
          <w:p w14:paraId="6E5C05BE">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总计</w:t>
            </w:r>
          </w:p>
        </w:tc>
      </w:tr>
      <w:tr w14:paraId="36DD37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1005" w:type="dxa"/>
            <w:gridSpan w:val="2"/>
            <w:vMerge w:val="continue"/>
            <w:tcBorders>
              <w:tl2br w:val="nil"/>
              <w:tr2bl w:val="nil"/>
            </w:tcBorders>
            <w:vAlign w:val="center"/>
          </w:tcPr>
          <w:p w14:paraId="52CBD28F">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p>
        </w:tc>
        <w:tc>
          <w:tcPr>
            <w:tcW w:w="716" w:type="dxa"/>
            <w:tcBorders>
              <w:tl2br w:val="nil"/>
              <w:tr2bl w:val="nil"/>
            </w:tcBorders>
            <w:vAlign w:val="center"/>
          </w:tcPr>
          <w:p w14:paraId="4CD55973">
            <w:pPr>
              <w:pStyle w:val="115"/>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olor w:val="auto"/>
                <w:spacing w:val="7"/>
                <w:sz w:val="21"/>
                <w:szCs w:val="21"/>
                <w:lang w:val="en-US" w:eastAsia="zh-CN"/>
              </w:rPr>
            </w:pPr>
            <w:r>
              <w:rPr>
                <w:rFonts w:hint="eastAsia" w:ascii="Times New Roman" w:hAnsi="Times New Roman" w:eastAsia="宋体"/>
                <w:color w:val="auto"/>
                <w:spacing w:val="7"/>
                <w:sz w:val="21"/>
                <w:szCs w:val="21"/>
                <w:lang w:val="en-US" w:eastAsia="zh-CN"/>
              </w:rPr>
              <w:t>氨</w:t>
            </w:r>
          </w:p>
        </w:tc>
        <w:tc>
          <w:tcPr>
            <w:tcW w:w="4244" w:type="dxa"/>
            <w:gridSpan w:val="7"/>
            <w:tcBorders>
              <w:tl2br w:val="nil"/>
              <w:tr2bl w:val="nil"/>
            </w:tcBorders>
            <w:vAlign w:val="center"/>
          </w:tcPr>
          <w:p w14:paraId="0683519F">
            <w:pPr>
              <w:pStyle w:val="98"/>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0.0024966</w:t>
            </w:r>
          </w:p>
        </w:tc>
        <w:tc>
          <w:tcPr>
            <w:tcW w:w="5242" w:type="dxa"/>
            <w:gridSpan w:val="8"/>
            <w:tcBorders>
              <w:tl2br w:val="nil"/>
              <w:tr2bl w:val="nil"/>
            </w:tcBorders>
            <w:shd w:val="clear" w:color="auto" w:fill="auto"/>
            <w:vAlign w:val="center"/>
          </w:tcPr>
          <w:p w14:paraId="392D6CD6">
            <w:pPr>
              <w:pStyle w:val="98"/>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0.0000365</w:t>
            </w:r>
          </w:p>
        </w:tc>
        <w:tc>
          <w:tcPr>
            <w:tcW w:w="2822" w:type="dxa"/>
            <w:gridSpan w:val="3"/>
            <w:tcBorders>
              <w:tl2br w:val="nil"/>
              <w:tr2bl w:val="nil"/>
            </w:tcBorders>
            <w:vAlign w:val="center"/>
          </w:tcPr>
          <w:p w14:paraId="74F6619D">
            <w:pPr>
              <w:pStyle w:val="98"/>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0.002533</w:t>
            </w:r>
          </w:p>
        </w:tc>
      </w:tr>
      <w:tr w14:paraId="6F97E0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1005" w:type="dxa"/>
            <w:gridSpan w:val="2"/>
            <w:vMerge w:val="continue"/>
            <w:tcBorders>
              <w:tl2br w:val="nil"/>
              <w:tr2bl w:val="nil"/>
            </w:tcBorders>
            <w:vAlign w:val="center"/>
          </w:tcPr>
          <w:p w14:paraId="5084009A">
            <w:pPr>
              <w:pStyle w:val="98"/>
              <w:keepNext w:val="0"/>
              <w:keepLines w:val="0"/>
              <w:pageBreakBefore w:val="0"/>
              <w:widowControl w:val="0"/>
              <w:kinsoku/>
              <w:wordWrap/>
              <w:overflowPunct/>
              <w:topLinePunct w:val="0"/>
              <w:autoSpaceDE/>
              <w:autoSpaceDN/>
              <w:bidi w:val="0"/>
              <w:spacing w:line="240" w:lineRule="auto"/>
              <w:ind w:left="0"/>
              <w:jc w:val="center"/>
              <w:rPr>
                <w:rFonts w:hint="eastAsia" w:ascii="Times New Roman" w:hAnsi="Times New Roman" w:eastAsia="宋体" w:cs="Times New Roman"/>
                <w:color w:val="auto"/>
                <w:sz w:val="21"/>
                <w:szCs w:val="21"/>
                <w:highlight w:val="none"/>
              </w:rPr>
            </w:pPr>
          </w:p>
        </w:tc>
        <w:tc>
          <w:tcPr>
            <w:tcW w:w="716" w:type="dxa"/>
            <w:tcBorders>
              <w:tl2br w:val="nil"/>
              <w:tr2bl w:val="nil"/>
            </w:tcBorders>
            <w:vAlign w:val="center"/>
          </w:tcPr>
          <w:p w14:paraId="08B24CE4">
            <w:pPr>
              <w:pStyle w:val="115"/>
              <w:keepNext w:val="0"/>
              <w:keepLines w:val="0"/>
              <w:pageBreakBefore w:val="0"/>
              <w:widowControl w:val="0"/>
              <w:kinsoku/>
              <w:wordWrap/>
              <w:overflowPunct/>
              <w:topLinePunct w:val="0"/>
              <w:autoSpaceDE/>
              <w:autoSpaceDN/>
              <w:bidi w:val="0"/>
              <w:spacing w:line="240" w:lineRule="auto"/>
              <w:ind w:left="0" w:leftChars="0"/>
              <w:jc w:val="center"/>
              <w:rPr>
                <w:rFonts w:hint="eastAsia" w:ascii="Times New Roman" w:hAnsi="Times New Roman" w:eastAsia="宋体"/>
                <w:color w:val="auto"/>
                <w:spacing w:val="7"/>
                <w:sz w:val="21"/>
                <w:szCs w:val="21"/>
                <w:lang w:val="en-US" w:eastAsia="zh-CN"/>
              </w:rPr>
            </w:pPr>
            <w:r>
              <w:rPr>
                <w:rFonts w:ascii="Times New Roman" w:hAnsi="Times New Roman" w:eastAsia="宋体"/>
                <w:color w:val="auto"/>
                <w:spacing w:val="7"/>
                <w:sz w:val="21"/>
                <w:szCs w:val="21"/>
              </w:rPr>
              <w:t>硫化氢</w:t>
            </w:r>
          </w:p>
        </w:tc>
        <w:tc>
          <w:tcPr>
            <w:tcW w:w="4244" w:type="dxa"/>
            <w:gridSpan w:val="7"/>
            <w:tcBorders>
              <w:tl2br w:val="nil"/>
              <w:tr2bl w:val="nil"/>
            </w:tcBorders>
            <w:vAlign w:val="center"/>
          </w:tcPr>
          <w:p w14:paraId="28BAB561">
            <w:pPr>
              <w:pStyle w:val="98"/>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pacing w:val="3"/>
                <w:position w:val="2"/>
                <w:sz w:val="21"/>
                <w:szCs w:val="21"/>
                <w:lang w:val="en-US" w:eastAsia="zh-CN"/>
              </w:rPr>
              <w:t>0.000095</w:t>
            </w:r>
          </w:p>
        </w:tc>
        <w:tc>
          <w:tcPr>
            <w:tcW w:w="5242" w:type="dxa"/>
            <w:gridSpan w:val="8"/>
            <w:tcBorders>
              <w:tl2br w:val="nil"/>
              <w:tr2bl w:val="nil"/>
            </w:tcBorders>
            <w:shd w:val="clear" w:color="auto" w:fill="auto"/>
            <w:vAlign w:val="center"/>
          </w:tcPr>
          <w:p w14:paraId="1BDF7A55">
            <w:pPr>
              <w:pStyle w:val="98"/>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pacing w:val="3"/>
                <w:position w:val="2"/>
                <w:sz w:val="21"/>
                <w:szCs w:val="21"/>
                <w:lang w:val="en-US" w:eastAsia="zh-CN"/>
              </w:rPr>
              <w:t>0.0000014</w:t>
            </w:r>
          </w:p>
        </w:tc>
        <w:tc>
          <w:tcPr>
            <w:tcW w:w="2822" w:type="dxa"/>
            <w:gridSpan w:val="3"/>
            <w:tcBorders>
              <w:tl2br w:val="nil"/>
              <w:tr2bl w:val="nil"/>
            </w:tcBorders>
            <w:vAlign w:val="center"/>
          </w:tcPr>
          <w:p w14:paraId="4AC78711">
            <w:pPr>
              <w:pStyle w:val="98"/>
              <w:keepNext w:val="0"/>
              <w:keepLines w:val="0"/>
              <w:pageBreakBefore w:val="0"/>
              <w:widowControl w:val="0"/>
              <w:kinsoku/>
              <w:wordWrap/>
              <w:overflowPunct/>
              <w:topLinePunct w:val="0"/>
              <w:autoSpaceDE/>
              <w:autoSpaceDN/>
              <w:bidi w:val="0"/>
              <w:spacing w:line="240" w:lineRule="auto"/>
              <w:ind w:left="0" w:left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0.0000964</w:t>
            </w:r>
          </w:p>
        </w:tc>
      </w:tr>
    </w:tbl>
    <w:p w14:paraId="52CD1EA7">
      <w:pPr>
        <w:adjustRightInd w:val="0"/>
        <w:snapToGrid w:val="0"/>
        <w:spacing w:line="360" w:lineRule="auto"/>
        <w:jc w:val="center"/>
        <w:rPr>
          <w:rFonts w:ascii="宋体" w:cs="宋体"/>
          <w:b/>
          <w:color w:val="auto"/>
          <w:kern w:val="0"/>
          <w:sz w:val="28"/>
          <w:szCs w:val="28"/>
          <w:highlight w:val="none"/>
        </w:rPr>
        <w:sectPr>
          <w:pgSz w:w="16838" w:h="11905" w:orient="landscape"/>
          <w:pgMar w:top="1417" w:right="1417" w:bottom="1417" w:left="1417" w:header="851" w:footer="1077" w:gutter="0"/>
          <w:pgBorders>
            <w:top w:val="none" w:sz="0" w:space="0"/>
            <w:left w:val="none" w:sz="0" w:space="0"/>
            <w:bottom w:val="none" w:sz="0" w:space="0"/>
            <w:right w:val="none" w:sz="0" w:space="0"/>
          </w:pgBorders>
          <w:pgNumType w:fmt="decimal"/>
          <w:cols w:space="0" w:num="1"/>
          <w:docGrid w:linePitch="312" w:charSpace="0"/>
        </w:sectPr>
      </w:pPr>
    </w:p>
    <w:tbl>
      <w:tblPr>
        <w:tblStyle w:val="34"/>
        <w:tblW w:w="920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1"/>
        <w:gridCol w:w="9146"/>
      </w:tblGrid>
      <w:tr w14:paraId="1A5B4D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0" w:type="dxa"/>
            <w:shd w:val="clear" w:color="auto" w:fill="auto"/>
            <w:tcMar>
              <w:left w:w="28" w:type="dxa"/>
              <w:right w:w="28" w:type="dxa"/>
            </w:tcMar>
            <w:vAlign w:val="center"/>
          </w:tcPr>
          <w:p w14:paraId="54F06507">
            <w:pPr>
              <w:pStyle w:val="46"/>
              <w:ind w:left="0" w:leftChars="0" w:firstLine="0" w:firstLineChars="0"/>
              <w:rPr>
                <w:rFonts w:hint="eastAsia" w:ascii="宋体" w:hAnsi="宋体" w:cs="宋体"/>
                <w:bCs/>
                <w:color w:val="auto"/>
                <w:szCs w:val="21"/>
                <w:highlight w:val="none"/>
              </w:rPr>
            </w:pPr>
          </w:p>
        </w:tc>
        <w:tc>
          <w:tcPr>
            <w:tcW w:w="8967" w:type="dxa"/>
            <w:shd w:val="clear" w:color="auto" w:fill="auto"/>
            <w:vAlign w:val="center"/>
          </w:tcPr>
          <w:p w14:paraId="4B5AEDDF">
            <w:pPr>
              <w:pStyle w:val="5"/>
              <w:keepNext/>
              <w:keepLines/>
              <w:pageBreakBefore w:val="0"/>
              <w:widowControl w:val="0"/>
              <w:numPr>
                <w:ilvl w:val="3"/>
                <w:numId w:val="13"/>
              </w:numPr>
              <w:tabs>
                <w:tab w:val="left" w:pos="0"/>
              </w:tabs>
              <w:kinsoku/>
              <w:wordWrap/>
              <w:overflowPunct/>
              <w:topLinePunct w:val="0"/>
              <w:autoSpaceDE/>
              <w:autoSpaceDN/>
              <w:bidi w:val="0"/>
              <w:adjustRightInd/>
              <w:snapToGrid/>
              <w:spacing w:before="157" w:beforeLines="50"/>
              <w:ind w:left="862" w:leftChars="0" w:hanging="862" w:firstLineChars="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大气环境影响分析</w:t>
            </w:r>
          </w:p>
          <w:p w14:paraId="14D218B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）污水处理站恶臭气体</w:t>
            </w:r>
          </w:p>
          <w:p w14:paraId="536A07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Times New Roman"/>
                <w:color w:val="auto"/>
                <w:sz w:val="24"/>
                <w:highlight w:val="none"/>
                <w:lang w:val="en-US" w:eastAsia="zh-CN"/>
              </w:rPr>
            </w:pPr>
            <w:r>
              <w:rPr>
                <w:rFonts w:hint="default" w:cs="Times New Roman"/>
                <w:color w:val="auto"/>
                <w:sz w:val="24"/>
                <w:highlight w:val="none"/>
                <w:lang w:val="en-US" w:eastAsia="zh-CN"/>
              </w:rPr>
              <w:t>污水处理站产生的恶臭，主要污染物为氨、硫化氢及臭气</w:t>
            </w:r>
            <w:r>
              <w:rPr>
                <w:rFonts w:hint="eastAsia" w:cs="Times New Roman"/>
                <w:color w:val="auto"/>
                <w:sz w:val="24"/>
                <w:highlight w:val="none"/>
                <w:lang w:val="en-US" w:eastAsia="zh-CN"/>
              </w:rPr>
              <w:t>浓度</w:t>
            </w:r>
            <w:r>
              <w:rPr>
                <w:rFonts w:hint="default" w:cs="Times New Roman"/>
                <w:color w:val="auto"/>
                <w:sz w:val="24"/>
                <w:highlight w:val="none"/>
                <w:lang w:val="en-US" w:eastAsia="zh-CN"/>
              </w:rPr>
              <w:t>。项目污水处理站采用地埋式设计，顶盖采用钢筋混凝土结构</w:t>
            </w:r>
            <w:r>
              <w:rPr>
                <w:rFonts w:hint="eastAsia" w:cs="Times New Roman"/>
                <w:color w:val="auto"/>
                <w:sz w:val="24"/>
                <w:highlight w:val="none"/>
                <w:lang w:val="en-US" w:eastAsia="zh-CN"/>
              </w:rPr>
              <w:t>，污</w:t>
            </w:r>
            <w:r>
              <w:rPr>
                <w:rFonts w:hint="default" w:cs="Times New Roman"/>
                <w:color w:val="auto"/>
                <w:sz w:val="24"/>
                <w:highlight w:val="none"/>
                <w:lang w:val="en-US" w:eastAsia="zh-CN"/>
              </w:rPr>
              <w:t>水处理池加盖板密闭，处理设施周边植树绿化。根据恶臭废气源强核算结果，污水处理设施产生的废气量很少，经收集后采用活性炭吸附除臭处理后通过15m排气筒排放。恶臭污染物排放浓度可符合《恶臭污染物排放标准》（GB14554-93）中表2标准和《</w:t>
            </w:r>
            <w:r>
              <w:rPr>
                <w:rFonts w:hint="eastAsia" w:cs="Times New Roman"/>
                <w:color w:val="auto"/>
                <w:sz w:val="24"/>
                <w:highlight w:val="none"/>
                <w:lang w:val="en-US" w:eastAsia="zh-CN"/>
              </w:rPr>
              <w:t>医疗机构水污染物排放标准</w:t>
            </w:r>
            <w:r>
              <w:rPr>
                <w:rFonts w:hint="default" w:cs="Times New Roman"/>
                <w:color w:val="auto"/>
                <w:sz w:val="24"/>
                <w:highlight w:val="none"/>
                <w:lang w:val="en-US" w:eastAsia="zh-CN"/>
              </w:rPr>
              <w:t>》（GB18466-2005）表3中关于废气排放要求的规定。通过以上措施处理后，项目污水站恶臭废气排放对周围大气环境影响很小。</w:t>
            </w:r>
          </w:p>
          <w:p w14:paraId="7841ABB9">
            <w:pPr>
              <w:pStyle w:val="5"/>
              <w:keepNext/>
              <w:keepLines/>
              <w:pageBreakBefore w:val="0"/>
              <w:widowControl w:val="0"/>
              <w:numPr>
                <w:ilvl w:val="3"/>
                <w:numId w:val="13"/>
              </w:numPr>
              <w:tabs>
                <w:tab w:val="left" w:pos="0"/>
              </w:tabs>
              <w:kinsoku/>
              <w:wordWrap/>
              <w:overflowPunct/>
              <w:topLinePunct w:val="0"/>
              <w:autoSpaceDE/>
              <w:autoSpaceDN/>
              <w:bidi w:val="0"/>
              <w:adjustRightInd/>
              <w:snapToGrid/>
              <w:spacing w:before="157" w:beforeLines="50"/>
              <w:ind w:left="862" w:leftChars="0" w:hanging="862" w:firstLineChars="0"/>
              <w:textAlignment w:val="auto"/>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大气污染防治措施可行性分析</w:t>
            </w:r>
          </w:p>
          <w:p w14:paraId="52691501">
            <w:pPr>
              <w:pStyle w:val="46"/>
              <w:bidi w:val="0"/>
              <w:rPr>
                <w:rFonts w:hint="default" w:eastAsia="宋体"/>
                <w:color w:val="auto"/>
                <w:highlight w:val="none"/>
                <w:lang w:val="en-US" w:eastAsia="zh-CN"/>
              </w:rPr>
            </w:pPr>
            <w:r>
              <w:rPr>
                <w:rFonts w:hint="eastAsia"/>
                <w:color w:val="auto"/>
                <w:highlight w:val="none"/>
              </w:rPr>
              <w:t>根据《排污许可证申请与核发技术规范医疗机构》</w:t>
            </w:r>
            <w:r>
              <w:rPr>
                <w:rFonts w:hint="eastAsia"/>
                <w:color w:val="auto"/>
                <w:highlight w:val="none"/>
                <w:lang w:eastAsia="zh-CN"/>
              </w:rPr>
              <w:t>（</w:t>
            </w:r>
            <w:r>
              <w:rPr>
                <w:rFonts w:hint="eastAsia"/>
                <w:color w:val="auto"/>
                <w:highlight w:val="none"/>
              </w:rPr>
              <w:t>HJ1105-2020</w:t>
            </w:r>
            <w:r>
              <w:rPr>
                <w:rFonts w:hint="eastAsia"/>
                <w:color w:val="auto"/>
                <w:highlight w:val="none"/>
                <w:lang w:eastAsia="zh-CN"/>
              </w:rPr>
              <w:t>）</w:t>
            </w:r>
            <w:r>
              <w:rPr>
                <w:rFonts w:hint="eastAsia"/>
                <w:color w:val="auto"/>
                <w:highlight w:val="none"/>
              </w:rPr>
              <w:t>中废气治理可行技术参考表，项目污水处理站废气治理措施可行，详见表</w:t>
            </w:r>
            <w:r>
              <w:rPr>
                <w:rFonts w:hint="eastAsia"/>
                <w:color w:val="auto"/>
                <w:highlight w:val="none"/>
                <w:lang w:val="en-US" w:eastAsia="zh-CN"/>
              </w:rPr>
              <w:t>4.2-3.</w:t>
            </w:r>
          </w:p>
          <w:p w14:paraId="3A58F762">
            <w:pPr>
              <w:pStyle w:val="44"/>
              <w:keepNext/>
              <w:keepLines/>
              <w:pageBreakBefore w:val="0"/>
              <w:widowControl w:val="0"/>
              <w:numPr>
                <w:ilvl w:val="7"/>
                <w:numId w:val="13"/>
              </w:numPr>
              <w:tabs>
                <w:tab w:val="left" w:pos="0"/>
              </w:tabs>
              <w:kinsoku/>
              <w:wordWrap/>
              <w:overflowPunct/>
              <w:topLinePunct w:val="0"/>
              <w:autoSpaceDE/>
              <w:autoSpaceDN/>
              <w:bidi w:val="0"/>
              <w:adjustRightInd/>
              <w:snapToGrid/>
              <w:spacing w:before="120"/>
              <w:ind w:left="630" w:leftChars="0" w:firstLine="0" w:firstLineChars="0"/>
              <w:textAlignment w:val="auto"/>
              <w:rPr>
                <w:rFonts w:hint="eastAsia"/>
                <w:color w:val="auto"/>
                <w:highlight w:val="none"/>
                <w:lang w:val="en-US" w:eastAsia="zh-CN"/>
              </w:rPr>
            </w:pPr>
            <w:r>
              <w:rPr>
                <w:rFonts w:hint="eastAsia"/>
                <w:color w:val="auto"/>
                <w:highlight w:val="none"/>
                <w:lang w:val="en-US" w:eastAsia="zh-CN"/>
              </w:rPr>
              <w:t>项目污水处理站废气处理工艺可行性分析表</w:t>
            </w:r>
          </w:p>
          <w:tbl>
            <w:tblPr>
              <w:tblStyle w:val="35"/>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56"/>
              <w:gridCol w:w="1456"/>
              <w:gridCol w:w="482"/>
              <w:gridCol w:w="2431"/>
              <w:gridCol w:w="1458"/>
              <w:gridCol w:w="1458"/>
            </w:tblGrid>
            <w:tr w14:paraId="6E9BE3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56" w:type="dxa"/>
                  <w:tcBorders>
                    <w:tl2br w:val="nil"/>
                    <w:tr2bl w:val="nil"/>
                  </w:tcBorders>
                  <w:vAlign w:val="center"/>
                </w:tcPr>
                <w:p w14:paraId="368C259F">
                  <w:pPr>
                    <w:jc w:val="center"/>
                    <w:rPr>
                      <w:rFonts w:hint="default"/>
                      <w:color w:val="auto"/>
                      <w:sz w:val="21"/>
                      <w:vertAlign w:val="baseline"/>
                      <w:lang w:val="en-US" w:eastAsia="zh-CN"/>
                    </w:rPr>
                  </w:pPr>
                  <w:r>
                    <w:rPr>
                      <w:rFonts w:hint="eastAsia"/>
                      <w:color w:val="auto"/>
                      <w:sz w:val="21"/>
                      <w:vertAlign w:val="baseline"/>
                      <w:lang w:val="en-US" w:eastAsia="zh-CN"/>
                    </w:rPr>
                    <w:t>污染物产生设施</w:t>
                  </w:r>
                </w:p>
              </w:tc>
              <w:tc>
                <w:tcPr>
                  <w:tcW w:w="1456" w:type="dxa"/>
                  <w:tcBorders>
                    <w:tl2br w:val="nil"/>
                    <w:tr2bl w:val="nil"/>
                  </w:tcBorders>
                  <w:vAlign w:val="center"/>
                </w:tcPr>
                <w:p w14:paraId="1821F833">
                  <w:pPr>
                    <w:jc w:val="center"/>
                    <w:rPr>
                      <w:rFonts w:hint="default"/>
                      <w:color w:val="auto"/>
                      <w:sz w:val="21"/>
                      <w:vertAlign w:val="baseline"/>
                      <w:lang w:val="en-US" w:eastAsia="zh-CN"/>
                    </w:rPr>
                  </w:pPr>
                  <w:r>
                    <w:rPr>
                      <w:rFonts w:hint="eastAsia"/>
                      <w:color w:val="auto"/>
                      <w:sz w:val="21"/>
                      <w:vertAlign w:val="baseline"/>
                      <w:lang w:val="en-US" w:eastAsia="zh-CN"/>
                    </w:rPr>
                    <w:t>污染物种类</w:t>
                  </w:r>
                </w:p>
              </w:tc>
              <w:tc>
                <w:tcPr>
                  <w:tcW w:w="2913" w:type="dxa"/>
                  <w:gridSpan w:val="2"/>
                  <w:tcBorders>
                    <w:tl2br w:val="nil"/>
                    <w:tr2bl w:val="nil"/>
                  </w:tcBorders>
                  <w:vAlign w:val="center"/>
                </w:tcPr>
                <w:p w14:paraId="30D14EDC">
                  <w:pPr>
                    <w:jc w:val="center"/>
                    <w:rPr>
                      <w:rFonts w:hint="default"/>
                      <w:color w:val="auto"/>
                      <w:sz w:val="21"/>
                      <w:vertAlign w:val="baseline"/>
                      <w:lang w:val="en-US" w:eastAsia="zh-CN"/>
                    </w:rPr>
                  </w:pPr>
                  <w:r>
                    <w:rPr>
                      <w:rFonts w:hint="eastAsia"/>
                      <w:color w:val="auto"/>
                      <w:sz w:val="21"/>
                      <w:vertAlign w:val="baseline"/>
                      <w:lang w:val="en-US" w:eastAsia="zh-CN"/>
                    </w:rPr>
                    <w:t>污染治理设施及工艺</w:t>
                  </w:r>
                </w:p>
              </w:tc>
              <w:tc>
                <w:tcPr>
                  <w:tcW w:w="1458" w:type="dxa"/>
                  <w:tcBorders>
                    <w:tl2br w:val="nil"/>
                    <w:tr2bl w:val="nil"/>
                  </w:tcBorders>
                  <w:vAlign w:val="center"/>
                </w:tcPr>
                <w:p w14:paraId="4FC19B5C">
                  <w:pPr>
                    <w:jc w:val="center"/>
                    <w:rPr>
                      <w:rFonts w:hint="default"/>
                      <w:color w:val="auto"/>
                      <w:sz w:val="21"/>
                      <w:vertAlign w:val="baseline"/>
                      <w:lang w:val="en-US" w:eastAsia="zh-CN"/>
                    </w:rPr>
                  </w:pPr>
                  <w:r>
                    <w:rPr>
                      <w:rFonts w:hint="eastAsia"/>
                      <w:color w:val="auto"/>
                      <w:sz w:val="21"/>
                      <w:vertAlign w:val="baseline"/>
                      <w:lang w:val="en-US" w:eastAsia="zh-CN"/>
                    </w:rPr>
                    <w:t>项目采取的治理技术</w:t>
                  </w:r>
                </w:p>
              </w:tc>
              <w:tc>
                <w:tcPr>
                  <w:tcW w:w="1458" w:type="dxa"/>
                  <w:tcBorders>
                    <w:tl2br w:val="nil"/>
                    <w:tr2bl w:val="nil"/>
                  </w:tcBorders>
                  <w:vAlign w:val="center"/>
                </w:tcPr>
                <w:p w14:paraId="1ACB99FB">
                  <w:pPr>
                    <w:jc w:val="center"/>
                    <w:rPr>
                      <w:rFonts w:hint="default"/>
                      <w:color w:val="auto"/>
                      <w:sz w:val="21"/>
                      <w:vertAlign w:val="baseline"/>
                      <w:lang w:val="en-US" w:eastAsia="zh-CN"/>
                    </w:rPr>
                  </w:pPr>
                  <w:r>
                    <w:rPr>
                      <w:rFonts w:hint="eastAsia"/>
                      <w:color w:val="auto"/>
                      <w:sz w:val="21"/>
                      <w:vertAlign w:val="baseline"/>
                      <w:lang w:val="en-US" w:eastAsia="zh-CN"/>
                    </w:rPr>
                    <w:t>符合性</w:t>
                  </w:r>
                </w:p>
              </w:tc>
            </w:tr>
            <w:tr w14:paraId="67EA45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56" w:type="dxa"/>
                  <w:tcBorders>
                    <w:tl2br w:val="nil"/>
                    <w:tr2bl w:val="nil"/>
                  </w:tcBorders>
                  <w:vAlign w:val="center"/>
                </w:tcPr>
                <w:p w14:paraId="0FA8AE9A">
                  <w:pPr>
                    <w:jc w:val="center"/>
                    <w:rPr>
                      <w:rFonts w:hint="default"/>
                      <w:color w:val="auto"/>
                      <w:sz w:val="21"/>
                      <w:vertAlign w:val="baseline"/>
                      <w:lang w:val="en-US" w:eastAsia="zh-CN"/>
                    </w:rPr>
                  </w:pPr>
                  <w:r>
                    <w:rPr>
                      <w:rFonts w:hint="eastAsia"/>
                      <w:color w:val="auto"/>
                      <w:sz w:val="21"/>
                      <w:vertAlign w:val="baseline"/>
                      <w:lang w:val="en-US" w:eastAsia="zh-CN"/>
                    </w:rPr>
                    <w:t>污水处理设施</w:t>
                  </w:r>
                </w:p>
              </w:tc>
              <w:tc>
                <w:tcPr>
                  <w:tcW w:w="1456" w:type="dxa"/>
                  <w:tcBorders>
                    <w:tl2br w:val="nil"/>
                    <w:tr2bl w:val="nil"/>
                  </w:tcBorders>
                  <w:vAlign w:val="center"/>
                </w:tcPr>
                <w:p w14:paraId="4E8A90BE">
                  <w:pPr>
                    <w:jc w:val="center"/>
                    <w:rPr>
                      <w:rFonts w:hint="default"/>
                      <w:color w:val="auto"/>
                      <w:sz w:val="21"/>
                      <w:vertAlign w:val="baseline"/>
                      <w:lang w:val="en-US" w:eastAsia="zh-CN"/>
                    </w:rPr>
                  </w:pPr>
                  <w:r>
                    <w:rPr>
                      <w:rFonts w:hint="eastAsia"/>
                      <w:color w:val="auto"/>
                      <w:sz w:val="21"/>
                      <w:vertAlign w:val="baseline"/>
                      <w:lang w:val="en-US" w:eastAsia="zh-CN"/>
                    </w:rPr>
                    <w:t>氨、硫化氢、臭气浓度</w:t>
                  </w:r>
                </w:p>
              </w:tc>
              <w:tc>
                <w:tcPr>
                  <w:tcW w:w="482" w:type="dxa"/>
                  <w:tcBorders>
                    <w:tl2br w:val="nil"/>
                    <w:tr2bl w:val="nil"/>
                  </w:tcBorders>
                  <w:vAlign w:val="center"/>
                </w:tcPr>
                <w:p w14:paraId="03BF2031">
                  <w:pPr>
                    <w:jc w:val="center"/>
                    <w:rPr>
                      <w:rFonts w:hint="default"/>
                      <w:color w:val="auto"/>
                      <w:sz w:val="21"/>
                      <w:vertAlign w:val="baseline"/>
                      <w:lang w:val="en-US" w:eastAsia="zh-CN"/>
                    </w:rPr>
                  </w:pPr>
                  <w:r>
                    <w:rPr>
                      <w:rFonts w:hint="eastAsia"/>
                      <w:color w:val="auto"/>
                      <w:sz w:val="21"/>
                      <w:vertAlign w:val="baseline"/>
                      <w:lang w:val="en-US" w:eastAsia="zh-CN"/>
                    </w:rPr>
                    <w:t>有组织</w:t>
                  </w:r>
                </w:p>
              </w:tc>
              <w:tc>
                <w:tcPr>
                  <w:tcW w:w="2431" w:type="dxa"/>
                  <w:tcBorders>
                    <w:tl2br w:val="nil"/>
                    <w:tr2bl w:val="nil"/>
                  </w:tcBorders>
                  <w:vAlign w:val="center"/>
                </w:tcPr>
                <w:p w14:paraId="0CAC3157">
                  <w:pPr>
                    <w:jc w:val="center"/>
                    <w:rPr>
                      <w:rFonts w:hint="default"/>
                      <w:color w:val="auto"/>
                      <w:sz w:val="21"/>
                      <w:vertAlign w:val="baseline"/>
                      <w:lang w:val="en-US" w:eastAsia="zh-CN"/>
                    </w:rPr>
                  </w:pPr>
                  <w:r>
                    <w:rPr>
                      <w:rFonts w:hint="eastAsia"/>
                      <w:color w:val="auto"/>
                      <w:sz w:val="21"/>
                      <w:vertAlign w:val="baseline"/>
                      <w:lang w:val="en-US" w:eastAsia="zh-CN"/>
                    </w:rPr>
                    <w:t>集中收集恶臭气体经处理（喷淋塔除臭、活性炭吸附、生物除臭等）后经排气筒排放。</w:t>
                  </w:r>
                </w:p>
              </w:tc>
              <w:tc>
                <w:tcPr>
                  <w:tcW w:w="1458" w:type="dxa"/>
                  <w:tcBorders>
                    <w:tl2br w:val="nil"/>
                    <w:tr2bl w:val="nil"/>
                  </w:tcBorders>
                  <w:vAlign w:val="center"/>
                </w:tcPr>
                <w:p w14:paraId="5FDD2D8A">
                  <w:pPr>
                    <w:jc w:val="center"/>
                    <w:rPr>
                      <w:rFonts w:hint="default"/>
                      <w:color w:val="auto"/>
                      <w:sz w:val="21"/>
                      <w:vertAlign w:val="baseline"/>
                      <w:lang w:val="en-US" w:eastAsia="zh-CN"/>
                    </w:rPr>
                  </w:pPr>
                  <w:r>
                    <w:rPr>
                      <w:rFonts w:hint="eastAsia"/>
                      <w:color w:val="auto"/>
                      <w:sz w:val="21"/>
                      <w:vertAlign w:val="baseline"/>
                      <w:lang w:val="en-US" w:eastAsia="zh-CN"/>
                    </w:rPr>
                    <w:t>污水处理设施密闭加盖，污水处理设施废气经收集后经过活性炭吸附后引至15m高排气筒排放</w:t>
                  </w:r>
                </w:p>
              </w:tc>
              <w:tc>
                <w:tcPr>
                  <w:tcW w:w="1458" w:type="dxa"/>
                  <w:tcBorders>
                    <w:tl2br w:val="nil"/>
                    <w:tr2bl w:val="nil"/>
                  </w:tcBorders>
                  <w:vAlign w:val="center"/>
                </w:tcPr>
                <w:p w14:paraId="109B52A5">
                  <w:pPr>
                    <w:jc w:val="center"/>
                    <w:rPr>
                      <w:rFonts w:hint="default"/>
                      <w:color w:val="auto"/>
                      <w:sz w:val="21"/>
                      <w:vertAlign w:val="baseline"/>
                      <w:lang w:val="en-US" w:eastAsia="zh-CN"/>
                    </w:rPr>
                  </w:pPr>
                  <w:r>
                    <w:rPr>
                      <w:rFonts w:hint="eastAsia"/>
                      <w:color w:val="auto"/>
                      <w:sz w:val="21"/>
                      <w:vertAlign w:val="baseline"/>
                      <w:lang w:val="en-US" w:eastAsia="zh-CN"/>
                    </w:rPr>
                    <w:t>符合</w:t>
                  </w:r>
                </w:p>
              </w:tc>
            </w:tr>
          </w:tbl>
          <w:p w14:paraId="5569290C">
            <w:pPr>
              <w:pStyle w:val="5"/>
              <w:keepNext/>
              <w:keepLines/>
              <w:pageBreakBefore w:val="0"/>
              <w:widowControl w:val="0"/>
              <w:numPr>
                <w:ilvl w:val="3"/>
                <w:numId w:val="13"/>
              </w:numPr>
              <w:tabs>
                <w:tab w:val="left" w:pos="0"/>
              </w:tabs>
              <w:kinsoku/>
              <w:wordWrap/>
              <w:overflowPunct/>
              <w:topLinePunct w:val="0"/>
              <w:autoSpaceDE/>
              <w:autoSpaceDN/>
              <w:bidi w:val="0"/>
              <w:adjustRightInd/>
              <w:snapToGrid/>
              <w:spacing w:before="157" w:beforeLines="50"/>
              <w:ind w:left="862" w:leftChars="0" w:hanging="862" w:firstLineChars="0"/>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非正常排放</w:t>
            </w:r>
            <w:r>
              <w:rPr>
                <w:rFonts w:hint="default" w:ascii="Times New Roman" w:hAnsi="Times New Roman" w:eastAsia="宋体" w:cs="Times New Roman"/>
                <w:color w:val="auto"/>
                <w:highlight w:val="none"/>
                <w:lang w:val="en-US" w:eastAsia="zh-CN"/>
              </w:rPr>
              <w:t>防治措施</w:t>
            </w:r>
          </w:p>
          <w:p w14:paraId="3BB660F9">
            <w:pPr>
              <w:pStyle w:val="46"/>
              <w:keepNext w:val="0"/>
              <w:keepLines w:val="0"/>
              <w:pageBreakBefore w:val="0"/>
              <w:widowControl w:val="0"/>
              <w:kinsoku/>
              <w:wordWrap/>
              <w:overflowPunct/>
              <w:topLinePunct w:val="0"/>
              <w:autoSpaceDE w:val="0"/>
              <w:autoSpaceDN w:val="0"/>
              <w:bidi w:val="0"/>
              <w:adjustRightInd/>
              <w:snapToGrid/>
              <w:jc w:val="both"/>
              <w:textAlignment w:val="auto"/>
              <w:rPr>
                <w:rFonts w:hint="eastAsia"/>
                <w:color w:val="auto"/>
                <w:highlight w:val="none"/>
                <w:lang w:eastAsia="zh-CN"/>
              </w:rPr>
            </w:pPr>
            <w:r>
              <w:rPr>
                <w:rFonts w:hint="eastAsia"/>
                <w:color w:val="auto"/>
                <w:highlight w:val="none"/>
                <w:lang w:eastAsia="zh-CN"/>
              </w:rPr>
              <w:t>防止废气非正常工况排放，企业必须加强环保设施运行管理，定期检修，确保设备效率正常运行，在设备停止运行或出现故障时，产生废气的工序也必须相应停止运行。为严防废气非正常排放，应采取以下措施确保废气达标排放：</w:t>
            </w:r>
          </w:p>
          <w:p w14:paraId="40D9D274">
            <w:pPr>
              <w:pStyle w:val="46"/>
              <w:keepNext w:val="0"/>
              <w:keepLines w:val="0"/>
              <w:pageBreakBefore w:val="0"/>
              <w:widowControl w:val="0"/>
              <w:kinsoku/>
              <w:wordWrap/>
              <w:overflowPunct/>
              <w:topLinePunct w:val="0"/>
              <w:autoSpaceDE w:val="0"/>
              <w:autoSpaceDN w:val="0"/>
              <w:bidi w:val="0"/>
              <w:adjustRightInd/>
              <w:snapToGrid/>
              <w:jc w:val="both"/>
              <w:textAlignment w:val="auto"/>
              <w:rPr>
                <w:rFonts w:hint="eastAsia"/>
                <w:color w:val="auto"/>
                <w:highlight w:val="none"/>
                <w:lang w:eastAsia="zh-CN"/>
              </w:rPr>
            </w:pPr>
            <w:r>
              <w:rPr>
                <w:rFonts w:hint="eastAsia"/>
                <w:color w:val="auto"/>
                <w:highlight w:val="none"/>
                <w:lang w:eastAsia="zh-CN"/>
              </w:rPr>
              <w:t>①安排专人负责设备的日常维护和管理，每隔固定时间检查、汇报情况，及时发现废气处理设备的隐患，确保设备处理效率正常运行；</w:t>
            </w:r>
          </w:p>
          <w:p w14:paraId="2425F921">
            <w:pPr>
              <w:pStyle w:val="46"/>
              <w:keepNext w:val="0"/>
              <w:keepLines w:val="0"/>
              <w:pageBreakBefore w:val="0"/>
              <w:widowControl w:val="0"/>
              <w:kinsoku/>
              <w:wordWrap/>
              <w:overflowPunct/>
              <w:topLinePunct w:val="0"/>
              <w:autoSpaceDE w:val="0"/>
              <w:autoSpaceDN w:val="0"/>
              <w:bidi w:val="0"/>
              <w:adjustRightInd/>
              <w:snapToGrid/>
              <w:jc w:val="both"/>
              <w:textAlignment w:val="auto"/>
              <w:rPr>
                <w:rFonts w:hint="eastAsia"/>
                <w:color w:val="auto"/>
                <w:highlight w:val="none"/>
                <w:lang w:eastAsia="zh-CN"/>
              </w:rPr>
            </w:pPr>
            <w:r>
              <w:rPr>
                <w:rFonts w:hint="eastAsia"/>
                <w:color w:val="auto"/>
                <w:highlight w:val="none"/>
                <w:lang w:eastAsia="zh-CN"/>
              </w:rPr>
              <w:t>②建立健全的环保管理机构，对环保管理人员和技术人员进行岗位培训，委托具有专业资质的环境检测单位对项目排放的污染物进行定期检测；</w:t>
            </w:r>
          </w:p>
          <w:p w14:paraId="6DB3F6C2">
            <w:pPr>
              <w:pStyle w:val="46"/>
              <w:keepNext w:val="0"/>
              <w:keepLines w:val="0"/>
              <w:pageBreakBefore w:val="0"/>
              <w:widowControl w:val="0"/>
              <w:kinsoku/>
              <w:wordWrap/>
              <w:overflowPunct/>
              <w:topLinePunct w:val="0"/>
              <w:autoSpaceDE w:val="0"/>
              <w:autoSpaceDN w:val="0"/>
              <w:bidi w:val="0"/>
              <w:adjustRightInd/>
              <w:snapToGrid/>
              <w:jc w:val="both"/>
              <w:textAlignment w:val="auto"/>
              <w:rPr>
                <w:rFonts w:hint="eastAsia"/>
                <w:color w:val="auto"/>
                <w:highlight w:val="none"/>
                <w:lang w:eastAsia="zh-CN"/>
              </w:rPr>
            </w:pPr>
            <w:r>
              <w:rPr>
                <w:rFonts w:hint="eastAsia"/>
                <w:color w:val="auto"/>
                <w:highlight w:val="none"/>
                <w:lang w:eastAsia="zh-CN"/>
              </w:rPr>
              <w:t>③应定期维护、检修环保设施运行装置，以保持设备的净化能力和净化容量。</w:t>
            </w:r>
          </w:p>
          <w:p w14:paraId="151C5B93">
            <w:pPr>
              <w:pStyle w:val="46"/>
              <w:keepNext w:val="0"/>
              <w:keepLines w:val="0"/>
              <w:pageBreakBefore w:val="0"/>
              <w:widowControl w:val="0"/>
              <w:kinsoku/>
              <w:wordWrap/>
              <w:overflowPunct/>
              <w:topLinePunct w:val="0"/>
              <w:autoSpaceDE w:val="0"/>
              <w:autoSpaceDN w:val="0"/>
              <w:bidi w:val="0"/>
              <w:adjustRightInd/>
              <w:snapToGrid/>
              <w:jc w:val="both"/>
              <w:textAlignment w:val="auto"/>
              <w:rPr>
                <w:rFonts w:hint="eastAsia"/>
                <w:color w:val="auto"/>
                <w:highlight w:val="none"/>
                <w:lang w:eastAsia="zh-CN"/>
              </w:rPr>
            </w:pPr>
            <w:r>
              <w:rPr>
                <w:rFonts w:hint="eastAsia"/>
                <w:color w:val="auto"/>
                <w:highlight w:val="none"/>
                <w:lang w:eastAsia="zh-CN"/>
              </w:rPr>
              <w:t>综上，项目在采取上述非正常排放防范措施后，非正常排放发生频率较低，非正常工况可及时得到处理，因此本项目废气非正常排放对周边大气环境影响较小。当非正常排放时，废气将超标排放，因此建设单位必须加强管理，并采取必要的防范措施，杜绝此类事件发生。</w:t>
            </w:r>
          </w:p>
          <w:p w14:paraId="2408B103">
            <w:pPr>
              <w:pStyle w:val="4"/>
              <w:numPr>
                <w:ilvl w:val="2"/>
                <w:numId w:val="13"/>
              </w:numPr>
              <w:tabs>
                <w:tab w:val="left" w:pos="0"/>
              </w:tabs>
              <w:bidi w:val="0"/>
              <w:ind w:left="720" w:leftChars="0" w:hanging="720" w:firstLineChars="0"/>
              <w:rPr>
                <w:rFonts w:hint="default" w:ascii="Times New Roman" w:hAnsi="Times New Roman" w:eastAsia="宋体" w:cs="宋体"/>
                <w:color w:val="auto"/>
                <w:highlight w:val="none"/>
                <w:lang w:val="en-US" w:eastAsia="zh-CN"/>
              </w:rPr>
            </w:pPr>
            <w:r>
              <w:rPr>
                <w:rFonts w:hint="eastAsia"/>
                <w:color w:val="auto"/>
                <w:highlight w:val="none"/>
                <w:lang w:val="en-US" w:eastAsia="zh-CN"/>
              </w:rPr>
              <w:t>废气自行监测计划</w:t>
            </w:r>
          </w:p>
          <w:p w14:paraId="4EC18715">
            <w:pPr>
              <w:pStyle w:val="46"/>
              <w:bidi w:val="0"/>
              <w:jc w:val="both"/>
              <w:rPr>
                <w:rFonts w:hint="eastAsia"/>
                <w:color w:val="auto"/>
                <w:highlight w:val="none"/>
                <w:lang w:eastAsia="zh-CN"/>
              </w:rPr>
            </w:pPr>
            <w:r>
              <w:rPr>
                <w:rFonts w:hint="eastAsia"/>
                <w:color w:val="auto"/>
                <w:highlight w:val="none"/>
                <w:lang w:eastAsia="zh-CN"/>
              </w:rPr>
              <w:t>项目必须按照当地环境保护行政主管部门的要求，定期委托有资质的监测单位对企业排污状况进行环境监测，以确定是否达到相应的排放标准。根据项目所在区域的环境状况、工程特点、《排污单位自行监测技术指南总则》（HJ819-2017）、《排</w:t>
            </w:r>
          </w:p>
          <w:p w14:paraId="04AF718E">
            <w:pPr>
              <w:pStyle w:val="46"/>
              <w:bidi w:val="0"/>
              <w:ind w:left="0" w:leftChars="0" w:firstLine="0" w:firstLineChars="0"/>
              <w:jc w:val="both"/>
              <w:rPr>
                <w:rFonts w:hint="eastAsia"/>
                <w:color w:val="auto"/>
                <w:highlight w:val="none"/>
                <w:lang w:eastAsia="zh-CN"/>
              </w:rPr>
            </w:pPr>
            <w:r>
              <w:rPr>
                <w:rFonts w:hint="eastAsia"/>
                <w:color w:val="auto"/>
                <w:highlight w:val="none"/>
                <w:lang w:eastAsia="zh-CN"/>
              </w:rPr>
              <w:t>污许可证申请与核发技术规范医疗机构》，项目实行环境监测计划见</w:t>
            </w:r>
            <w:r>
              <w:rPr>
                <w:rFonts w:hint="eastAsia"/>
                <w:color w:val="auto"/>
                <w:highlight w:val="none"/>
                <w:lang w:val="en-US" w:eastAsia="zh-CN"/>
              </w:rPr>
              <w:t>下</w:t>
            </w:r>
            <w:r>
              <w:rPr>
                <w:rFonts w:hint="eastAsia"/>
                <w:color w:val="auto"/>
                <w:highlight w:val="none"/>
                <w:lang w:eastAsia="zh-CN"/>
              </w:rPr>
              <w:t>表。</w:t>
            </w:r>
          </w:p>
          <w:p w14:paraId="19D01AB3">
            <w:pPr>
              <w:pStyle w:val="44"/>
              <w:keepNext/>
              <w:keepLines/>
              <w:pageBreakBefore w:val="0"/>
              <w:widowControl w:val="0"/>
              <w:numPr>
                <w:ilvl w:val="7"/>
                <w:numId w:val="13"/>
              </w:numPr>
              <w:tabs>
                <w:tab w:val="left" w:pos="0"/>
              </w:tabs>
              <w:kinsoku/>
              <w:wordWrap/>
              <w:overflowPunct/>
              <w:topLinePunct w:val="0"/>
              <w:autoSpaceDE/>
              <w:autoSpaceDN/>
              <w:bidi w:val="0"/>
              <w:adjustRightInd/>
              <w:snapToGrid/>
              <w:spacing w:before="120"/>
              <w:ind w:left="630" w:leftChars="0" w:firstLine="0" w:firstLineChars="0"/>
              <w:textAlignment w:val="auto"/>
              <w:rPr>
                <w:rFonts w:hint="eastAsia"/>
                <w:color w:val="auto"/>
                <w:highlight w:val="none"/>
                <w:lang w:val="en-US" w:eastAsia="zh-CN"/>
              </w:rPr>
            </w:pPr>
            <w:r>
              <w:rPr>
                <w:rFonts w:hint="eastAsia"/>
                <w:color w:val="auto"/>
                <w:highlight w:val="none"/>
                <w:lang w:val="en-US" w:eastAsia="zh-CN"/>
              </w:rPr>
              <w:t xml:space="preserve"> 项目废气监测要求一览表</w:t>
            </w:r>
          </w:p>
          <w:tbl>
            <w:tblPr>
              <w:tblStyle w:val="34"/>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794"/>
              <w:gridCol w:w="1479"/>
              <w:gridCol w:w="1863"/>
              <w:gridCol w:w="882"/>
              <w:gridCol w:w="3908"/>
            </w:tblGrid>
            <w:tr w14:paraId="4D2928F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20" w:hRule="atLeast"/>
              </w:trPr>
              <w:tc>
                <w:tcPr>
                  <w:tcW w:w="445" w:type="pct"/>
                  <w:tcBorders>
                    <w:tl2br w:val="nil"/>
                    <w:tr2bl w:val="nil"/>
                  </w:tcBorders>
                  <w:shd w:val="clear" w:color="auto" w:fill="auto"/>
                  <w:vAlign w:val="center"/>
                </w:tcPr>
                <w:p w14:paraId="6FE44EA6">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7"/>
                      <w:sz w:val="21"/>
                      <w:szCs w:val="21"/>
                    </w:rPr>
                  </w:pPr>
                  <w:r>
                    <w:rPr>
                      <w:rFonts w:ascii="Times New Roman" w:hAnsi="Times New Roman" w:eastAsia="宋体"/>
                      <w:color w:val="auto"/>
                      <w:spacing w:val="7"/>
                      <w:sz w:val="21"/>
                      <w:szCs w:val="21"/>
                      <w:lang w:val="en-US" w:eastAsia="zh-CN"/>
                    </w:rPr>
                    <w:t>污染源名称</w:t>
                  </w:r>
                </w:p>
              </w:tc>
              <w:tc>
                <w:tcPr>
                  <w:tcW w:w="828" w:type="pct"/>
                  <w:tcBorders>
                    <w:tl2br w:val="nil"/>
                    <w:tr2bl w:val="nil"/>
                  </w:tcBorders>
                  <w:shd w:val="clear" w:color="auto" w:fill="auto"/>
                  <w:vAlign w:val="center"/>
                </w:tcPr>
                <w:p w14:paraId="0AD05AAC">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7"/>
                      <w:sz w:val="21"/>
                      <w:szCs w:val="21"/>
                    </w:rPr>
                  </w:pPr>
                  <w:r>
                    <w:rPr>
                      <w:rFonts w:ascii="Times New Roman" w:hAnsi="Times New Roman" w:eastAsia="宋体"/>
                      <w:color w:val="auto"/>
                      <w:spacing w:val="7"/>
                      <w:sz w:val="21"/>
                      <w:szCs w:val="21"/>
                      <w:lang w:val="en-US" w:eastAsia="zh-CN"/>
                    </w:rPr>
                    <w:t>监测位置</w:t>
                  </w:r>
                </w:p>
              </w:tc>
              <w:tc>
                <w:tcPr>
                  <w:tcW w:w="1043" w:type="pct"/>
                  <w:tcBorders>
                    <w:tl2br w:val="nil"/>
                    <w:tr2bl w:val="nil"/>
                  </w:tcBorders>
                  <w:shd w:val="clear" w:color="auto" w:fill="auto"/>
                  <w:vAlign w:val="center"/>
                </w:tcPr>
                <w:p w14:paraId="14A18E59">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7"/>
                      <w:sz w:val="21"/>
                      <w:szCs w:val="21"/>
                    </w:rPr>
                  </w:pPr>
                  <w:r>
                    <w:rPr>
                      <w:rFonts w:ascii="Times New Roman" w:hAnsi="Times New Roman" w:eastAsia="宋体"/>
                      <w:color w:val="auto"/>
                      <w:spacing w:val="7"/>
                      <w:sz w:val="21"/>
                      <w:szCs w:val="21"/>
                      <w:lang w:val="en-US" w:eastAsia="zh-CN"/>
                    </w:rPr>
                    <w:t>监测项目</w:t>
                  </w:r>
                </w:p>
              </w:tc>
              <w:tc>
                <w:tcPr>
                  <w:tcW w:w="494" w:type="pct"/>
                  <w:tcBorders>
                    <w:tl2br w:val="nil"/>
                    <w:tr2bl w:val="nil"/>
                  </w:tcBorders>
                  <w:shd w:val="clear" w:color="auto" w:fill="auto"/>
                  <w:vAlign w:val="center"/>
                </w:tcPr>
                <w:p w14:paraId="7970AC39">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7"/>
                      <w:sz w:val="21"/>
                      <w:szCs w:val="21"/>
                    </w:rPr>
                  </w:pPr>
                  <w:r>
                    <w:rPr>
                      <w:rFonts w:ascii="Times New Roman" w:hAnsi="Times New Roman" w:eastAsia="宋体"/>
                      <w:color w:val="auto"/>
                      <w:spacing w:val="7"/>
                      <w:sz w:val="21"/>
                      <w:szCs w:val="21"/>
                      <w:lang w:val="en-US" w:eastAsia="zh-CN"/>
                    </w:rPr>
                    <w:t>监测</w:t>
                  </w:r>
                  <w:r>
                    <w:rPr>
                      <w:rFonts w:ascii="Times New Roman" w:hAnsi="Times New Roman" w:eastAsia="宋体"/>
                      <w:color w:val="auto"/>
                      <w:spacing w:val="7"/>
                      <w:sz w:val="21"/>
                      <w:szCs w:val="21"/>
                      <w:lang w:val="en-US" w:eastAsia="zh-CN"/>
                    </w:rPr>
                    <w:br w:type="textWrapping"/>
                  </w:r>
                  <w:r>
                    <w:rPr>
                      <w:rFonts w:ascii="Times New Roman" w:hAnsi="Times New Roman" w:eastAsia="宋体"/>
                      <w:color w:val="auto"/>
                      <w:spacing w:val="7"/>
                      <w:sz w:val="21"/>
                      <w:szCs w:val="21"/>
                      <w:lang w:val="en-US" w:eastAsia="zh-CN"/>
                    </w:rPr>
                    <w:t>频次</w:t>
                  </w:r>
                </w:p>
              </w:tc>
              <w:tc>
                <w:tcPr>
                  <w:tcW w:w="2188" w:type="pct"/>
                  <w:tcBorders>
                    <w:tl2br w:val="nil"/>
                    <w:tr2bl w:val="nil"/>
                  </w:tcBorders>
                  <w:shd w:val="clear" w:color="auto" w:fill="auto"/>
                  <w:vAlign w:val="center"/>
                </w:tcPr>
                <w:p w14:paraId="5EAC90CA">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7"/>
                      <w:sz w:val="21"/>
                      <w:szCs w:val="21"/>
                    </w:rPr>
                  </w:pPr>
                  <w:r>
                    <w:rPr>
                      <w:rFonts w:ascii="Times New Roman" w:hAnsi="Times New Roman" w:eastAsia="宋体"/>
                      <w:color w:val="auto"/>
                      <w:spacing w:val="7"/>
                      <w:sz w:val="21"/>
                      <w:szCs w:val="21"/>
                      <w:lang w:val="en-US" w:eastAsia="zh-CN"/>
                    </w:rPr>
                    <w:t>执行环境质量标准</w:t>
                  </w:r>
                </w:p>
              </w:tc>
            </w:tr>
            <w:tr w14:paraId="50BA19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0" w:hRule="atLeast"/>
              </w:trPr>
              <w:tc>
                <w:tcPr>
                  <w:tcW w:w="445" w:type="pct"/>
                  <w:tcBorders>
                    <w:tl2br w:val="nil"/>
                    <w:tr2bl w:val="nil"/>
                  </w:tcBorders>
                  <w:shd w:val="clear" w:color="auto" w:fill="auto"/>
                  <w:vAlign w:val="center"/>
                </w:tcPr>
                <w:p w14:paraId="6B2088AA">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7"/>
                      <w:sz w:val="21"/>
                      <w:szCs w:val="21"/>
                    </w:rPr>
                  </w:pPr>
                  <w:r>
                    <w:rPr>
                      <w:rFonts w:ascii="Times New Roman" w:hAnsi="Times New Roman" w:eastAsia="宋体"/>
                      <w:color w:val="auto"/>
                      <w:spacing w:val="7"/>
                      <w:sz w:val="21"/>
                      <w:szCs w:val="21"/>
                      <w:lang w:val="en-US" w:eastAsia="zh-CN"/>
                    </w:rPr>
                    <w:t>废气</w:t>
                  </w:r>
                </w:p>
              </w:tc>
              <w:tc>
                <w:tcPr>
                  <w:tcW w:w="828" w:type="pct"/>
                  <w:tcBorders>
                    <w:tl2br w:val="nil"/>
                    <w:tr2bl w:val="nil"/>
                  </w:tcBorders>
                  <w:shd w:val="clear" w:color="auto" w:fill="auto"/>
                  <w:vAlign w:val="center"/>
                </w:tcPr>
                <w:p w14:paraId="75D61773">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7"/>
                      <w:sz w:val="21"/>
                      <w:szCs w:val="21"/>
                    </w:rPr>
                  </w:pPr>
                  <w:r>
                    <w:rPr>
                      <w:rFonts w:ascii="Times New Roman" w:hAnsi="Times New Roman" w:eastAsia="宋体"/>
                      <w:color w:val="auto"/>
                      <w:spacing w:val="7"/>
                      <w:sz w:val="21"/>
                      <w:szCs w:val="21"/>
                      <w:lang w:val="en-US" w:eastAsia="zh-CN"/>
                    </w:rPr>
                    <w:t>有组织</w:t>
                  </w:r>
                </w:p>
              </w:tc>
              <w:tc>
                <w:tcPr>
                  <w:tcW w:w="1043" w:type="pct"/>
                  <w:tcBorders>
                    <w:tl2br w:val="nil"/>
                    <w:tr2bl w:val="nil"/>
                  </w:tcBorders>
                  <w:shd w:val="clear" w:color="auto" w:fill="auto"/>
                  <w:vAlign w:val="center"/>
                </w:tcPr>
                <w:p w14:paraId="51B3B0BB">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7"/>
                      <w:sz w:val="21"/>
                      <w:szCs w:val="21"/>
                    </w:rPr>
                  </w:pPr>
                  <w:r>
                    <w:rPr>
                      <w:rFonts w:ascii="Times New Roman" w:hAnsi="Times New Roman" w:eastAsia="宋体"/>
                      <w:color w:val="auto"/>
                      <w:spacing w:val="7"/>
                      <w:sz w:val="21"/>
                      <w:szCs w:val="21"/>
                      <w:lang w:val="en-US" w:eastAsia="zh-CN"/>
                    </w:rPr>
                    <w:t>NH₃、H₂S、臭气浓度</w:t>
                  </w:r>
                </w:p>
              </w:tc>
              <w:tc>
                <w:tcPr>
                  <w:tcW w:w="494" w:type="pct"/>
                  <w:tcBorders>
                    <w:tl2br w:val="nil"/>
                    <w:tr2bl w:val="nil"/>
                  </w:tcBorders>
                  <w:shd w:val="clear" w:color="auto" w:fill="auto"/>
                  <w:vAlign w:val="center"/>
                </w:tcPr>
                <w:p w14:paraId="791233EF">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7"/>
                      <w:sz w:val="21"/>
                      <w:szCs w:val="21"/>
                    </w:rPr>
                  </w:pPr>
                  <w:r>
                    <w:rPr>
                      <w:rFonts w:ascii="Times New Roman" w:hAnsi="Times New Roman" w:eastAsia="宋体"/>
                      <w:color w:val="auto"/>
                      <w:spacing w:val="7"/>
                      <w:sz w:val="21"/>
                      <w:szCs w:val="21"/>
                      <w:lang w:val="en-US" w:eastAsia="zh-CN"/>
                    </w:rPr>
                    <w:t>1次/季度</w:t>
                  </w:r>
                </w:p>
              </w:tc>
              <w:tc>
                <w:tcPr>
                  <w:tcW w:w="2188" w:type="pct"/>
                  <w:tcBorders>
                    <w:tl2br w:val="nil"/>
                    <w:tr2bl w:val="nil"/>
                  </w:tcBorders>
                  <w:shd w:val="clear" w:color="auto" w:fill="auto"/>
                  <w:vAlign w:val="top"/>
                </w:tcPr>
                <w:p w14:paraId="3F1499D7">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7"/>
                      <w:sz w:val="21"/>
                      <w:szCs w:val="21"/>
                    </w:rPr>
                  </w:pPr>
                  <w:r>
                    <w:rPr>
                      <w:rFonts w:ascii="Times New Roman" w:hAnsi="Times New Roman" w:eastAsia="宋体"/>
                      <w:color w:val="auto"/>
                      <w:spacing w:val="7"/>
                      <w:sz w:val="21"/>
                      <w:szCs w:val="21"/>
                      <w:lang w:val="en-US" w:eastAsia="zh-CN"/>
                    </w:rPr>
                    <w:t>《恶臭污染物排放标准》</w:t>
                  </w:r>
                  <w:r>
                    <w:rPr>
                      <w:rFonts w:hint="eastAsia" w:ascii="Times New Roman" w:hAnsi="Times New Roman"/>
                      <w:color w:val="auto"/>
                      <w:spacing w:val="7"/>
                      <w:sz w:val="21"/>
                      <w:szCs w:val="21"/>
                      <w:lang w:val="en-US" w:eastAsia="zh-CN"/>
                    </w:rPr>
                    <w:t>（</w:t>
                  </w:r>
                  <w:r>
                    <w:rPr>
                      <w:rFonts w:ascii="Times New Roman" w:hAnsi="Times New Roman" w:eastAsia="宋体"/>
                      <w:color w:val="auto"/>
                      <w:spacing w:val="7"/>
                      <w:sz w:val="21"/>
                      <w:szCs w:val="21"/>
                      <w:lang w:val="en-US" w:eastAsia="zh-CN"/>
                    </w:rPr>
                    <w:t>GB-14554-93</w:t>
                  </w:r>
                  <w:r>
                    <w:rPr>
                      <w:rFonts w:hint="eastAsia" w:ascii="Times New Roman" w:hAnsi="Times New Roman"/>
                      <w:color w:val="auto"/>
                      <w:spacing w:val="7"/>
                      <w:sz w:val="21"/>
                      <w:szCs w:val="21"/>
                      <w:lang w:val="en-US" w:eastAsia="zh-CN"/>
                    </w:rPr>
                    <w:t>）</w:t>
                  </w:r>
                  <w:r>
                    <w:rPr>
                      <w:rFonts w:ascii="Times New Roman" w:hAnsi="Times New Roman" w:eastAsia="宋体"/>
                      <w:color w:val="auto"/>
                      <w:spacing w:val="7"/>
                      <w:sz w:val="21"/>
                      <w:szCs w:val="21"/>
                      <w:lang w:val="en-US" w:eastAsia="zh-CN"/>
                    </w:rPr>
                    <w:t>表2排放标准</w:t>
                  </w:r>
                </w:p>
              </w:tc>
            </w:tr>
            <w:tr w14:paraId="42EA5F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95" w:hRule="atLeast"/>
              </w:trPr>
              <w:tc>
                <w:tcPr>
                  <w:tcW w:w="445" w:type="pct"/>
                  <w:tcBorders>
                    <w:tl2br w:val="nil"/>
                    <w:tr2bl w:val="nil"/>
                  </w:tcBorders>
                  <w:shd w:val="clear" w:color="auto" w:fill="auto"/>
                  <w:vAlign w:val="center"/>
                </w:tcPr>
                <w:p w14:paraId="41624C51">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7"/>
                      <w:sz w:val="21"/>
                      <w:szCs w:val="21"/>
                    </w:rPr>
                  </w:pPr>
                  <w:r>
                    <w:rPr>
                      <w:rFonts w:ascii="Times New Roman" w:hAnsi="Times New Roman" w:eastAsia="宋体"/>
                      <w:color w:val="auto"/>
                      <w:spacing w:val="7"/>
                      <w:sz w:val="21"/>
                      <w:szCs w:val="21"/>
                      <w:lang w:val="en-US" w:eastAsia="zh-CN"/>
                    </w:rPr>
                    <w:t>废气</w:t>
                  </w:r>
                </w:p>
              </w:tc>
              <w:tc>
                <w:tcPr>
                  <w:tcW w:w="828" w:type="pct"/>
                  <w:tcBorders>
                    <w:tl2br w:val="nil"/>
                    <w:tr2bl w:val="nil"/>
                  </w:tcBorders>
                  <w:shd w:val="clear" w:color="auto" w:fill="auto"/>
                  <w:vAlign w:val="center"/>
                </w:tcPr>
                <w:p w14:paraId="7C5E4933">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7"/>
                      <w:sz w:val="21"/>
                      <w:szCs w:val="21"/>
                    </w:rPr>
                  </w:pPr>
                  <w:r>
                    <w:rPr>
                      <w:rFonts w:ascii="Times New Roman" w:hAnsi="Times New Roman" w:eastAsia="宋体"/>
                      <w:color w:val="auto"/>
                      <w:spacing w:val="7"/>
                      <w:sz w:val="21"/>
                      <w:szCs w:val="21"/>
                      <w:lang w:val="en-US" w:eastAsia="zh-CN"/>
                    </w:rPr>
                    <w:t>污水处理站周界</w:t>
                  </w:r>
                </w:p>
              </w:tc>
              <w:tc>
                <w:tcPr>
                  <w:tcW w:w="1043" w:type="pct"/>
                  <w:tcBorders>
                    <w:tl2br w:val="nil"/>
                    <w:tr2bl w:val="nil"/>
                  </w:tcBorders>
                  <w:shd w:val="clear" w:color="auto" w:fill="auto"/>
                  <w:vAlign w:val="top"/>
                </w:tcPr>
                <w:p w14:paraId="657F41DB">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7"/>
                      <w:sz w:val="21"/>
                      <w:szCs w:val="21"/>
                      <w:lang w:val="en-US"/>
                    </w:rPr>
                  </w:pPr>
                  <w:r>
                    <w:rPr>
                      <w:rFonts w:ascii="Times New Roman" w:hAnsi="Times New Roman" w:eastAsia="宋体"/>
                      <w:color w:val="auto"/>
                      <w:spacing w:val="7"/>
                      <w:sz w:val="21"/>
                      <w:szCs w:val="21"/>
                      <w:lang w:val="en-US" w:eastAsia="zh-CN"/>
                    </w:rPr>
                    <w:t>NH₃、H₂S、臭</w:t>
                  </w:r>
                  <w:r>
                    <w:rPr>
                      <w:rFonts w:ascii="Times New Roman" w:hAnsi="Times New Roman" w:eastAsia="宋体"/>
                      <w:color w:val="auto"/>
                      <w:spacing w:val="7"/>
                      <w:sz w:val="21"/>
                      <w:szCs w:val="21"/>
                      <w:lang w:val="en-US" w:eastAsia="zh-CN"/>
                    </w:rPr>
                    <w:br w:type="textWrapping"/>
                  </w:r>
                  <w:r>
                    <w:rPr>
                      <w:rFonts w:ascii="Times New Roman" w:hAnsi="Times New Roman" w:eastAsia="宋体"/>
                      <w:color w:val="auto"/>
                      <w:spacing w:val="7"/>
                      <w:sz w:val="21"/>
                      <w:szCs w:val="21"/>
                      <w:lang w:val="en-US" w:eastAsia="zh-CN"/>
                    </w:rPr>
                    <w:t>气浓度</w:t>
                  </w:r>
                  <w:r>
                    <w:rPr>
                      <w:rFonts w:hint="eastAsia" w:ascii="Times New Roman" w:hAnsi="Times New Roman"/>
                      <w:color w:val="auto"/>
                      <w:spacing w:val="7"/>
                      <w:sz w:val="21"/>
                      <w:szCs w:val="21"/>
                      <w:lang w:val="en-US" w:eastAsia="zh-CN"/>
                    </w:rPr>
                    <w:t>、甲烷、氯气</w:t>
                  </w:r>
                </w:p>
              </w:tc>
              <w:tc>
                <w:tcPr>
                  <w:tcW w:w="494" w:type="pct"/>
                  <w:tcBorders>
                    <w:tl2br w:val="nil"/>
                    <w:tr2bl w:val="nil"/>
                  </w:tcBorders>
                  <w:shd w:val="clear" w:color="auto" w:fill="auto"/>
                  <w:vAlign w:val="center"/>
                </w:tcPr>
                <w:p w14:paraId="455BF16E">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7"/>
                      <w:sz w:val="21"/>
                      <w:szCs w:val="21"/>
                    </w:rPr>
                  </w:pPr>
                  <w:r>
                    <w:rPr>
                      <w:rFonts w:ascii="Times New Roman" w:hAnsi="Times New Roman" w:eastAsia="宋体"/>
                      <w:color w:val="auto"/>
                      <w:spacing w:val="7"/>
                      <w:sz w:val="21"/>
                      <w:szCs w:val="21"/>
                      <w:lang w:val="en-US" w:eastAsia="zh-CN"/>
                    </w:rPr>
                    <w:t>1次/季度</w:t>
                  </w:r>
                </w:p>
              </w:tc>
              <w:tc>
                <w:tcPr>
                  <w:tcW w:w="2188" w:type="pct"/>
                  <w:tcBorders>
                    <w:tl2br w:val="nil"/>
                    <w:tr2bl w:val="nil"/>
                  </w:tcBorders>
                  <w:shd w:val="clear" w:color="auto" w:fill="auto"/>
                  <w:vAlign w:val="top"/>
                </w:tcPr>
                <w:p w14:paraId="1ECC1B1B">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7"/>
                      <w:sz w:val="21"/>
                      <w:szCs w:val="21"/>
                      <w:lang w:val="en-US" w:eastAsia="zh-CN"/>
                    </w:rPr>
                  </w:pPr>
                  <w:r>
                    <w:rPr>
                      <w:rFonts w:ascii="Times New Roman" w:hAnsi="Times New Roman" w:eastAsia="宋体"/>
                      <w:color w:val="auto"/>
                      <w:spacing w:val="7"/>
                      <w:sz w:val="21"/>
                      <w:szCs w:val="21"/>
                      <w:lang w:val="en-US" w:eastAsia="zh-CN"/>
                    </w:rPr>
                    <w:t>周边最高允许浓度执行</w:t>
                  </w:r>
                </w:p>
                <w:p w14:paraId="7AD46D42">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7"/>
                      <w:sz w:val="21"/>
                      <w:szCs w:val="21"/>
                    </w:rPr>
                  </w:pPr>
                  <w:r>
                    <w:rPr>
                      <w:rFonts w:ascii="Times New Roman" w:hAnsi="Times New Roman" w:eastAsia="宋体"/>
                      <w:color w:val="auto"/>
                      <w:spacing w:val="7"/>
                      <w:sz w:val="21"/>
                      <w:szCs w:val="21"/>
                      <w:lang w:val="en-US" w:eastAsia="zh-CN"/>
                    </w:rPr>
                    <w:t>《医疗机构水污染物排放标准》</w:t>
                  </w:r>
                  <w:r>
                    <w:rPr>
                      <w:rFonts w:hint="eastAsia" w:ascii="Times New Roman" w:hAnsi="Times New Roman"/>
                      <w:color w:val="auto"/>
                      <w:spacing w:val="7"/>
                      <w:sz w:val="21"/>
                      <w:szCs w:val="21"/>
                      <w:lang w:val="en-US" w:eastAsia="zh-CN"/>
                    </w:rPr>
                    <w:t>（</w:t>
                  </w:r>
                  <w:r>
                    <w:rPr>
                      <w:rFonts w:ascii="Times New Roman" w:hAnsi="Times New Roman" w:eastAsia="宋体"/>
                      <w:color w:val="auto"/>
                      <w:spacing w:val="7"/>
                      <w:sz w:val="21"/>
                      <w:szCs w:val="21"/>
                      <w:lang w:val="en-US" w:eastAsia="zh-CN"/>
                    </w:rPr>
                    <w:t>GB18466-2005</w:t>
                  </w:r>
                  <w:r>
                    <w:rPr>
                      <w:rFonts w:hint="eastAsia" w:ascii="Times New Roman" w:hAnsi="Times New Roman"/>
                      <w:color w:val="auto"/>
                      <w:spacing w:val="7"/>
                      <w:sz w:val="21"/>
                      <w:szCs w:val="21"/>
                      <w:lang w:val="en-US" w:eastAsia="zh-CN"/>
                    </w:rPr>
                    <w:t>）</w:t>
                  </w:r>
                  <w:r>
                    <w:rPr>
                      <w:rFonts w:ascii="Times New Roman" w:hAnsi="Times New Roman" w:eastAsia="宋体"/>
                      <w:color w:val="auto"/>
                      <w:spacing w:val="7"/>
                      <w:sz w:val="21"/>
                      <w:szCs w:val="21"/>
                      <w:lang w:val="en-US" w:eastAsia="zh-CN"/>
                    </w:rPr>
                    <w:t>表3标准</w:t>
                  </w:r>
                </w:p>
              </w:tc>
            </w:tr>
          </w:tbl>
          <w:p w14:paraId="704B91E8">
            <w:pPr>
              <w:pStyle w:val="4"/>
              <w:numPr>
                <w:ilvl w:val="2"/>
                <w:numId w:val="13"/>
              </w:numPr>
              <w:tabs>
                <w:tab w:val="left" w:pos="0"/>
              </w:tabs>
              <w:bidi w:val="0"/>
              <w:ind w:left="720" w:leftChars="0" w:hanging="720"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环境防护距离分析</w:t>
            </w:r>
          </w:p>
          <w:p w14:paraId="127ADC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bCs/>
                <w:color w:val="auto"/>
                <w:sz w:val="24"/>
              </w:rPr>
            </w:pPr>
            <w:r>
              <w:rPr>
                <w:rFonts w:hint="eastAsia" w:ascii="Times New Roman" w:hAnsi="Times New Roman" w:eastAsia="宋体" w:cs="Times New Roman"/>
                <w:bCs/>
                <w:color w:val="auto"/>
                <w:sz w:val="24"/>
              </w:rPr>
              <w:t>根据《建设项目环境影响报告表编制技术指南</w:t>
            </w:r>
            <w:r>
              <w:rPr>
                <w:rFonts w:hint="eastAsia" w:cs="Times New Roman"/>
                <w:bCs/>
                <w:color w:val="auto"/>
                <w:sz w:val="24"/>
                <w:lang w:eastAsia="zh-CN"/>
              </w:rPr>
              <w:t>（</w:t>
            </w:r>
            <w:r>
              <w:rPr>
                <w:rFonts w:hint="eastAsia" w:ascii="Times New Roman" w:hAnsi="Times New Roman" w:eastAsia="宋体" w:cs="Times New Roman"/>
                <w:bCs/>
                <w:color w:val="auto"/>
                <w:sz w:val="24"/>
              </w:rPr>
              <w:t>污染影响类</w:t>
            </w:r>
            <w:r>
              <w:rPr>
                <w:rFonts w:hint="eastAsia" w:cs="Times New Roman"/>
                <w:bCs/>
                <w:color w:val="auto"/>
                <w:sz w:val="24"/>
                <w:lang w:eastAsia="zh-CN"/>
              </w:rPr>
              <w:t>）（</w:t>
            </w:r>
            <w:r>
              <w:rPr>
                <w:rFonts w:hint="eastAsia" w:ascii="Times New Roman" w:hAnsi="Times New Roman" w:eastAsia="宋体" w:cs="Times New Roman"/>
                <w:bCs/>
                <w:color w:val="auto"/>
                <w:sz w:val="24"/>
              </w:rPr>
              <w:t>试行</w:t>
            </w:r>
            <w:r>
              <w:rPr>
                <w:rFonts w:hint="eastAsia" w:cs="Times New Roman"/>
                <w:bCs/>
                <w:color w:val="auto"/>
                <w:sz w:val="24"/>
                <w:lang w:eastAsia="zh-CN"/>
              </w:rPr>
              <w:t>）</w:t>
            </w:r>
            <w:r>
              <w:rPr>
                <w:rFonts w:hint="eastAsia" w:ascii="Times New Roman" w:hAnsi="Times New Roman" w:eastAsia="宋体" w:cs="Times New Roman"/>
                <w:bCs/>
                <w:color w:val="auto"/>
                <w:sz w:val="24"/>
              </w:rPr>
              <w:t>》</w:t>
            </w:r>
            <w:r>
              <w:rPr>
                <w:rFonts w:hint="eastAsia" w:cs="Times New Roman"/>
                <w:bCs/>
                <w:color w:val="auto"/>
                <w:sz w:val="24"/>
                <w:lang w:eastAsia="zh-CN"/>
              </w:rPr>
              <w:t>（</w:t>
            </w:r>
            <w:r>
              <w:rPr>
                <w:rFonts w:ascii="Times New Roman" w:hAnsi="Times New Roman" w:eastAsia="宋体" w:cs="Times New Roman"/>
                <w:bCs/>
                <w:color w:val="auto"/>
                <w:sz w:val="24"/>
                <w:lang w:val="zh-CN"/>
              </w:rPr>
              <w:t>环办环评〔2020〕33号</w:t>
            </w:r>
            <w:r>
              <w:rPr>
                <w:rFonts w:hint="eastAsia" w:cs="Times New Roman"/>
                <w:bCs/>
                <w:color w:val="auto"/>
                <w:sz w:val="24"/>
                <w:lang w:val="zh-CN"/>
              </w:rPr>
              <w:t>）</w:t>
            </w:r>
            <w:r>
              <w:rPr>
                <w:rFonts w:hint="eastAsia" w:ascii="Times New Roman" w:hAnsi="Times New Roman" w:eastAsia="宋体" w:cs="Times New Roman"/>
                <w:bCs/>
                <w:color w:val="auto"/>
                <w:sz w:val="24"/>
              </w:rPr>
              <w:t>要求可知，目前不对项目</w:t>
            </w:r>
            <w:r>
              <w:rPr>
                <w:rFonts w:ascii="Times New Roman" w:hAnsi="Times New Roman" w:eastAsia="宋体" w:cs="Times New Roman"/>
                <w:bCs/>
                <w:color w:val="auto"/>
                <w:sz w:val="24"/>
              </w:rPr>
              <w:t>大气环境防护距离及卫生防护</w:t>
            </w:r>
            <w:r>
              <w:rPr>
                <w:rFonts w:hint="eastAsia" w:ascii="Times New Roman" w:hAnsi="Times New Roman" w:eastAsia="宋体" w:cs="Times New Roman"/>
                <w:bCs/>
                <w:color w:val="auto"/>
                <w:sz w:val="24"/>
              </w:rPr>
              <w:t>距离进行要求。</w:t>
            </w:r>
            <w:r>
              <w:rPr>
                <w:rFonts w:ascii="Times New Roman" w:hAnsi="Times New Roman" w:eastAsia="宋体" w:cs="Times New Roman"/>
                <w:b w:val="0"/>
                <w:bCs w:val="0"/>
                <w:color w:val="auto"/>
                <w:sz w:val="24"/>
                <w:szCs w:val="22"/>
              </w:rPr>
              <w:t>根据环境影响评价网</w:t>
            </w:r>
            <w:r>
              <w:rPr>
                <w:rFonts w:hint="eastAsia" w:cs="Times New Roman"/>
                <w:b w:val="0"/>
                <w:bCs w:val="0"/>
                <w:color w:val="auto"/>
                <w:sz w:val="24"/>
                <w:szCs w:val="22"/>
                <w:lang w:eastAsia="zh-CN"/>
              </w:rPr>
              <w:t>（</w:t>
            </w:r>
            <w:r>
              <w:rPr>
                <w:rFonts w:ascii="Times New Roman" w:hAnsi="Times New Roman" w:eastAsia="宋体" w:cs="Times New Roman"/>
                <w:b w:val="0"/>
                <w:bCs w:val="0"/>
                <w:color w:val="auto"/>
                <w:sz w:val="24"/>
                <w:szCs w:val="22"/>
                <w:lang w:val="zh-CN"/>
              </w:rPr>
              <w:t>生态环境部环境工程评估中心</w:t>
            </w:r>
            <w:r>
              <w:rPr>
                <w:rFonts w:hint="eastAsia" w:cs="Times New Roman"/>
                <w:b w:val="0"/>
                <w:bCs w:val="0"/>
                <w:color w:val="auto"/>
                <w:sz w:val="24"/>
                <w:szCs w:val="22"/>
                <w:lang w:val="zh-CN"/>
              </w:rPr>
              <w:t>）</w:t>
            </w:r>
            <w:r>
              <w:rPr>
                <w:rFonts w:ascii="Times New Roman" w:hAnsi="Times New Roman" w:eastAsia="宋体" w:cs="Times New Roman"/>
                <w:b w:val="0"/>
                <w:bCs w:val="0"/>
                <w:color w:val="auto"/>
                <w:sz w:val="24"/>
                <w:szCs w:val="22"/>
              </w:rPr>
              <w:t>关于</w:t>
            </w:r>
            <w:r>
              <w:rPr>
                <w:rFonts w:ascii="Times New Roman" w:hAnsi="Times New Roman" w:eastAsia="宋体" w:cs="Times New Roman"/>
                <w:b w:val="0"/>
                <w:bCs w:val="0"/>
                <w:color w:val="auto"/>
                <w:sz w:val="24"/>
                <w:szCs w:val="22"/>
                <w:lang w:val="zh-CN"/>
              </w:rPr>
              <w:t>《建设项目环境影响报告表》内容、格式及编制技术指南常见问题解答：“</w:t>
            </w:r>
            <w:r>
              <w:rPr>
                <w:rFonts w:ascii="Times New Roman" w:hAnsi="Times New Roman" w:eastAsia="宋体" w:cs="Times New Roman"/>
                <w:color w:val="auto"/>
                <w:sz w:val="24"/>
                <w:shd w:val="clear" w:color="auto" w:fill="FFFFFF"/>
              </w:rPr>
              <w:t>《建设项目环境影响评价技术导则 总纲》</w:t>
            </w:r>
            <w:r>
              <w:rPr>
                <w:rFonts w:hint="eastAsia" w:cs="Times New Roman"/>
                <w:color w:val="auto"/>
                <w:sz w:val="24"/>
                <w:shd w:val="clear" w:color="auto" w:fill="FFFFFF"/>
                <w:lang w:eastAsia="zh-CN"/>
              </w:rPr>
              <w:t>（</w:t>
            </w:r>
            <w:r>
              <w:rPr>
                <w:rFonts w:ascii="Times New Roman" w:hAnsi="Times New Roman" w:eastAsia="宋体" w:cs="Times New Roman"/>
                <w:color w:val="auto"/>
                <w:sz w:val="24"/>
                <w:shd w:val="clear" w:color="auto" w:fill="FFFFFF"/>
              </w:rPr>
              <w:t>HJ2.1-2016</w:t>
            </w:r>
            <w:r>
              <w:rPr>
                <w:rFonts w:hint="eastAsia" w:cs="Times New Roman"/>
                <w:color w:val="auto"/>
                <w:sz w:val="24"/>
                <w:shd w:val="clear" w:color="auto" w:fill="FFFFFF"/>
                <w:lang w:eastAsia="zh-CN"/>
              </w:rPr>
              <w:t>）</w:t>
            </w:r>
            <w:r>
              <w:rPr>
                <w:rFonts w:ascii="Times New Roman" w:hAnsi="Times New Roman" w:eastAsia="宋体" w:cs="Times New Roman"/>
                <w:color w:val="auto"/>
                <w:sz w:val="24"/>
                <w:shd w:val="clear" w:color="auto" w:fill="FFFFFF"/>
              </w:rPr>
              <w:t>未对卫生防护距离提出评价要求，建设项目环境影响报告表编制技术指南</w:t>
            </w:r>
            <w:r>
              <w:rPr>
                <w:rFonts w:hint="eastAsia" w:cs="Times New Roman"/>
                <w:color w:val="auto"/>
                <w:sz w:val="24"/>
                <w:shd w:val="clear" w:color="auto" w:fill="FFFFFF"/>
                <w:lang w:eastAsia="zh-CN"/>
              </w:rPr>
              <w:t>（</w:t>
            </w:r>
            <w:r>
              <w:rPr>
                <w:rFonts w:ascii="Times New Roman" w:hAnsi="Times New Roman" w:eastAsia="宋体" w:cs="Times New Roman"/>
                <w:color w:val="auto"/>
                <w:sz w:val="24"/>
                <w:shd w:val="clear" w:color="auto" w:fill="FFFFFF"/>
              </w:rPr>
              <w:t>以下简称技术指南</w:t>
            </w:r>
            <w:r>
              <w:rPr>
                <w:rFonts w:hint="eastAsia" w:cs="Times New Roman"/>
                <w:color w:val="auto"/>
                <w:sz w:val="24"/>
                <w:shd w:val="clear" w:color="auto" w:fill="FFFFFF"/>
                <w:lang w:eastAsia="zh-CN"/>
              </w:rPr>
              <w:t>）</w:t>
            </w:r>
            <w:r>
              <w:rPr>
                <w:rFonts w:ascii="Times New Roman" w:hAnsi="Times New Roman" w:eastAsia="宋体" w:cs="Times New Roman"/>
                <w:color w:val="auto"/>
                <w:sz w:val="24"/>
                <w:shd w:val="clear" w:color="auto" w:fill="FFFFFF"/>
              </w:rPr>
              <w:t>不</w:t>
            </w:r>
            <w:r>
              <w:rPr>
                <w:rFonts w:hint="eastAsia" w:ascii="Times New Roman" w:hAnsi="Times New Roman" w:eastAsia="宋体" w:cs="Times New Roman"/>
                <w:color w:val="auto"/>
                <w:sz w:val="24"/>
                <w:shd w:val="clear" w:color="auto" w:fill="FFFFFF"/>
              </w:rPr>
              <w:t>作要求</w:t>
            </w:r>
            <w:r>
              <w:rPr>
                <w:rFonts w:ascii="Times New Roman" w:hAnsi="Times New Roman" w:eastAsia="宋体" w:cs="Times New Roman"/>
                <w:color w:val="auto"/>
                <w:sz w:val="24"/>
                <w:shd w:val="clear" w:color="auto" w:fill="FFFFFF"/>
              </w:rPr>
              <w:t>。对于判定为需要开展大气专项评价的建设项目，根据《环境影响评价技术导则 大气环境》</w:t>
            </w:r>
            <w:r>
              <w:rPr>
                <w:rFonts w:hint="eastAsia" w:cs="Times New Roman"/>
                <w:color w:val="auto"/>
                <w:sz w:val="24"/>
                <w:shd w:val="clear" w:color="auto" w:fill="FFFFFF"/>
                <w:lang w:eastAsia="zh-CN"/>
              </w:rPr>
              <w:t>（</w:t>
            </w:r>
            <w:r>
              <w:rPr>
                <w:rFonts w:ascii="Times New Roman" w:hAnsi="Times New Roman" w:eastAsia="宋体" w:cs="Times New Roman"/>
                <w:color w:val="auto"/>
                <w:sz w:val="24"/>
                <w:shd w:val="clear" w:color="auto" w:fill="FFFFFF"/>
              </w:rPr>
              <w:t>HJ2.2-2018</w:t>
            </w:r>
            <w:r>
              <w:rPr>
                <w:rFonts w:hint="eastAsia" w:cs="Times New Roman"/>
                <w:color w:val="auto"/>
                <w:sz w:val="24"/>
                <w:shd w:val="clear" w:color="auto" w:fill="FFFFFF"/>
                <w:lang w:eastAsia="zh-CN"/>
              </w:rPr>
              <w:t>）</w:t>
            </w:r>
            <w:r>
              <w:rPr>
                <w:rFonts w:ascii="Times New Roman" w:hAnsi="Times New Roman" w:eastAsia="宋体" w:cs="Times New Roman"/>
                <w:color w:val="auto"/>
                <w:sz w:val="24"/>
                <w:shd w:val="clear" w:color="auto" w:fill="FFFFFF"/>
              </w:rPr>
              <w:t>需要计算大气环境防护距离的，应按要求计算</w:t>
            </w:r>
            <w:r>
              <w:rPr>
                <w:rFonts w:hint="eastAsia" w:ascii="Times New Roman" w:hAnsi="Times New Roman" w:eastAsia="宋体" w:cs="Times New Roman"/>
                <w:color w:val="auto"/>
                <w:sz w:val="24"/>
                <w:shd w:val="clear" w:color="auto" w:fill="FFFFFF"/>
              </w:rPr>
              <w:t>”</w:t>
            </w:r>
            <w:r>
              <w:rPr>
                <w:rFonts w:ascii="Times New Roman" w:hAnsi="Times New Roman" w:eastAsia="宋体" w:cs="Times New Roman"/>
                <w:color w:val="auto"/>
                <w:sz w:val="24"/>
                <w:shd w:val="clear" w:color="auto" w:fill="FFFFFF"/>
              </w:rPr>
              <w:t>。本项目不涉及大气专项评价，因此，</w:t>
            </w:r>
            <w:r>
              <w:rPr>
                <w:rFonts w:ascii="Times New Roman" w:hAnsi="Times New Roman" w:eastAsia="宋体" w:cs="Times New Roman"/>
                <w:bCs/>
                <w:color w:val="auto"/>
                <w:sz w:val="24"/>
              </w:rPr>
              <w:t>在落实有效的废气收集、处理措施的前提下，本项目可不设置环境防护距离。</w:t>
            </w:r>
          </w:p>
          <w:p w14:paraId="2BF64B27">
            <w:pPr>
              <w:pStyle w:val="3"/>
              <w:numPr>
                <w:ilvl w:val="1"/>
                <w:numId w:val="1"/>
              </w:numPr>
              <w:bidi w:val="0"/>
              <w:ind w:left="0" w:leftChars="0" w:firstLine="0" w:firstLineChars="0"/>
              <w:rPr>
                <w:color w:val="auto"/>
                <w:highlight w:val="none"/>
              </w:rPr>
            </w:pPr>
            <w:bookmarkStart w:id="44" w:name="_Toc20164"/>
            <w:r>
              <w:rPr>
                <w:rFonts w:hint="eastAsia"/>
                <w:color w:val="auto"/>
                <w:highlight w:val="none"/>
                <w:lang w:val="en-US" w:eastAsia="zh-CN"/>
              </w:rPr>
              <w:t>运营期</w:t>
            </w:r>
            <w:r>
              <w:rPr>
                <w:color w:val="auto"/>
                <w:highlight w:val="none"/>
              </w:rPr>
              <w:t>水环境</w:t>
            </w:r>
            <w:r>
              <w:rPr>
                <w:rFonts w:hint="eastAsia"/>
                <w:color w:val="auto"/>
                <w:highlight w:val="none"/>
                <w:lang w:val="en-US" w:eastAsia="zh-CN"/>
              </w:rPr>
              <w:t>影响分析</w:t>
            </w:r>
            <w:bookmarkEnd w:id="44"/>
          </w:p>
          <w:p w14:paraId="0AD1CDC1">
            <w:pPr>
              <w:pStyle w:val="4"/>
              <w:numPr>
                <w:ilvl w:val="2"/>
                <w:numId w:val="1"/>
              </w:numPr>
              <w:bidi w:val="0"/>
              <w:ind w:left="720" w:leftChars="0" w:hanging="720" w:firstLineChars="0"/>
              <w:rPr>
                <w:rFonts w:hint="default"/>
                <w:color w:val="auto"/>
                <w:highlight w:val="none"/>
              </w:rPr>
            </w:pPr>
            <w:r>
              <w:rPr>
                <w:rFonts w:hint="eastAsia"/>
                <w:color w:val="auto"/>
                <w:highlight w:val="none"/>
              </w:rPr>
              <w:t>废水污染源强分析</w:t>
            </w:r>
          </w:p>
          <w:p w14:paraId="651181CF">
            <w:pPr>
              <w:pStyle w:val="46"/>
              <w:ind w:firstLine="480"/>
              <w:rPr>
                <w:rFonts w:hint="eastAsia"/>
                <w:color w:val="auto"/>
                <w:highlight w:val="none"/>
                <w:lang w:val="en-US" w:eastAsia="zh-CN"/>
              </w:rPr>
            </w:pPr>
            <w:r>
              <w:rPr>
                <w:rFonts w:hint="eastAsia"/>
                <w:color w:val="auto"/>
                <w:highlight w:val="none"/>
                <w:lang w:val="en-US" w:eastAsia="zh-CN"/>
              </w:rPr>
              <w:t>本医院医学影像洗印采用干洗或数字打印技术，口腔科X光片洗片过程中产生少量废显影液、废定影液及废胶片收集作为危险废物处置。口腔科牙齿修补材料由专业公司在外制作，不采用汞试剂，也不使用含汞仪器，不产生含汞废水。检验科使用的一次性针筒、试管、商品试剂盒与检验样本废液一并收集作为医疗废物处置；医院采用十二烷基硫酸钠（SLS）代替氰类化合物测定血红蛋白，血检过程采用成品试剂盒，不使用铬类以及氰类化合物作为检验试剂，不产生含铬、氰废水（废液）；检验科使用酸性或碱性清洗液定期对检测仪器进行清洗产生少量的含酸或含碱废液，收集后作为医疗废物处置。医院不设传染科，无传染性病源废水。本项目废水主要为门诊废水、病房废水和生活污水等。</w:t>
            </w:r>
          </w:p>
          <w:p w14:paraId="7C275661">
            <w:pPr>
              <w:pStyle w:val="46"/>
              <w:keepNext w:val="0"/>
              <w:keepLines w:val="0"/>
              <w:pageBreakBefore w:val="0"/>
              <w:widowControl w:val="0"/>
              <w:kinsoku/>
              <w:wordWrap/>
              <w:overflowPunct/>
              <w:topLinePunct w:val="0"/>
              <w:autoSpaceDE w:val="0"/>
              <w:autoSpaceDN w:val="0"/>
              <w:bidi w:val="0"/>
              <w:adjustRightInd/>
              <w:snapToGrid/>
              <w:ind w:firstLine="480"/>
              <w:textAlignment w:val="auto"/>
              <w:rPr>
                <w:rFonts w:hint="eastAsia" w:eastAsia="宋体"/>
                <w:color w:val="auto"/>
                <w:highlight w:val="none"/>
                <w:lang w:eastAsia="zh-CN"/>
              </w:rPr>
            </w:pPr>
            <w:r>
              <w:rPr>
                <w:rFonts w:hint="eastAsia"/>
                <w:color w:val="auto"/>
                <w:highlight w:val="none"/>
              </w:rPr>
              <w:t>①</w:t>
            </w:r>
            <w:r>
              <w:rPr>
                <w:rFonts w:hint="eastAsia"/>
                <w:color w:val="auto"/>
                <w:highlight w:val="none"/>
                <w:lang w:val="en-US" w:eastAsia="zh-CN"/>
              </w:rPr>
              <w:t>门诊</w:t>
            </w:r>
            <w:r>
              <w:rPr>
                <w:rFonts w:hint="eastAsia"/>
                <w:color w:val="auto"/>
                <w:highlight w:val="none"/>
              </w:rPr>
              <w:t>废水W</w:t>
            </w:r>
            <w:r>
              <w:rPr>
                <w:rFonts w:hint="eastAsia"/>
                <w:color w:val="auto"/>
                <w:highlight w:val="none"/>
                <w:lang w:val="en-US" w:eastAsia="zh-CN"/>
              </w:rPr>
              <w:t>1</w:t>
            </w:r>
          </w:p>
          <w:p w14:paraId="0FEE5DB7">
            <w:pPr>
              <w:pStyle w:val="46"/>
              <w:keepNext w:val="0"/>
              <w:keepLines w:val="0"/>
              <w:pageBreakBefore w:val="0"/>
              <w:widowControl w:val="0"/>
              <w:kinsoku/>
              <w:wordWrap/>
              <w:overflowPunct/>
              <w:topLinePunct w:val="0"/>
              <w:autoSpaceDE w:val="0"/>
              <w:autoSpaceDN w:val="0"/>
              <w:bidi w:val="0"/>
              <w:adjustRightInd/>
              <w:snapToGrid/>
              <w:ind w:firstLine="480"/>
              <w:textAlignment w:val="auto"/>
              <w:rPr>
                <w:rFonts w:hint="eastAsia"/>
                <w:color w:val="auto"/>
                <w:highlight w:val="none"/>
              </w:rPr>
            </w:pPr>
            <w:r>
              <w:rPr>
                <w:rFonts w:hint="eastAsia"/>
                <w:color w:val="auto"/>
                <w:highlight w:val="none"/>
                <w:lang w:eastAsia="zh-CN"/>
              </w:rPr>
              <w:t>根据建设单位提供的信息</w:t>
            </w:r>
            <w:r>
              <w:rPr>
                <w:rFonts w:hint="eastAsia"/>
                <w:color w:val="auto"/>
                <w:highlight w:val="none"/>
              </w:rPr>
              <w:t>，医院原门诊量约</w:t>
            </w:r>
            <w:r>
              <w:rPr>
                <w:rFonts w:hint="eastAsia"/>
                <w:color w:val="auto"/>
                <w:highlight w:val="none"/>
                <w:lang w:val="en-US" w:eastAsia="zh-CN"/>
              </w:rPr>
              <w:t>337</w:t>
            </w:r>
            <w:r>
              <w:rPr>
                <w:rFonts w:hint="eastAsia"/>
                <w:b w:val="0"/>
                <w:bCs w:val="0"/>
                <w:color w:val="auto"/>
                <w:highlight w:val="none"/>
              </w:rPr>
              <w:t>人/d</w:t>
            </w:r>
            <w:r>
              <w:rPr>
                <w:rFonts w:hint="eastAsia"/>
                <w:color w:val="auto"/>
                <w:highlight w:val="none"/>
              </w:rPr>
              <w:t>，项目</w:t>
            </w:r>
            <w:r>
              <w:rPr>
                <w:rFonts w:hint="eastAsia"/>
                <w:color w:val="auto"/>
                <w:highlight w:val="none"/>
                <w:lang w:val="en-US" w:eastAsia="zh-CN"/>
              </w:rPr>
              <w:t>迁建</w:t>
            </w:r>
            <w:r>
              <w:rPr>
                <w:rFonts w:hint="eastAsia"/>
                <w:color w:val="auto"/>
                <w:highlight w:val="none"/>
              </w:rPr>
              <w:t>后全院最大门诊量预计</w:t>
            </w:r>
            <w:r>
              <w:rPr>
                <w:rFonts w:hint="eastAsia"/>
                <w:color w:val="auto"/>
                <w:highlight w:val="none"/>
                <w:lang w:val="en-US" w:eastAsia="zh-CN"/>
              </w:rPr>
              <w:t>642</w:t>
            </w:r>
            <w:r>
              <w:rPr>
                <w:rFonts w:hint="eastAsia"/>
                <w:color w:val="auto"/>
                <w:highlight w:val="none"/>
              </w:rPr>
              <w:t>人/d。根据《</w:t>
            </w:r>
            <w:r>
              <w:rPr>
                <w:rFonts w:hint="eastAsia"/>
                <w:color w:val="auto"/>
                <w:highlight w:val="none"/>
                <w:lang w:eastAsia="zh-CN"/>
              </w:rPr>
              <w:t>综合医院建筑设计标准</w:t>
            </w:r>
            <w:r>
              <w:rPr>
                <w:rFonts w:hint="eastAsia"/>
                <w:color w:val="auto"/>
                <w:highlight w:val="none"/>
              </w:rPr>
              <w:t>》</w:t>
            </w:r>
            <w:r>
              <w:rPr>
                <w:rFonts w:hint="eastAsia"/>
                <w:color w:val="auto"/>
                <w:highlight w:val="none"/>
                <w:lang w:eastAsia="zh-CN"/>
              </w:rPr>
              <w:t>GB 51039-2014</w:t>
            </w:r>
            <w:r>
              <w:rPr>
                <w:rFonts w:hint="eastAsia"/>
                <w:color w:val="auto"/>
                <w:highlight w:val="none"/>
              </w:rPr>
              <w:t>和《医院污水处理工程技术规范》</w:t>
            </w:r>
            <w:r>
              <w:rPr>
                <w:rFonts w:hint="eastAsia"/>
                <w:color w:val="auto"/>
                <w:highlight w:val="none"/>
                <w:lang w:eastAsia="zh-CN"/>
              </w:rPr>
              <w:t>（</w:t>
            </w:r>
            <w:r>
              <w:rPr>
                <w:rFonts w:hint="eastAsia"/>
                <w:color w:val="auto"/>
                <w:highlight w:val="none"/>
              </w:rPr>
              <w:t>HJ2029-2013</w:t>
            </w:r>
            <w:r>
              <w:rPr>
                <w:rFonts w:hint="eastAsia"/>
                <w:color w:val="auto"/>
                <w:highlight w:val="none"/>
                <w:lang w:eastAsia="zh-CN"/>
              </w:rPr>
              <w:t>）</w:t>
            </w:r>
            <w:r>
              <w:rPr>
                <w:rFonts w:hint="eastAsia"/>
                <w:color w:val="auto"/>
                <w:highlight w:val="none"/>
              </w:rPr>
              <w:t>的相关规定，门诊用水按15L/人</w:t>
            </w:r>
            <w:r>
              <w:rPr>
                <w:rFonts w:hint="eastAsia"/>
                <w:color w:val="auto"/>
                <w:highlight w:val="none"/>
                <w:lang w:val="en-US" w:eastAsia="zh-CN"/>
              </w:rPr>
              <w:t>·</w:t>
            </w:r>
            <w:r>
              <w:rPr>
                <w:rFonts w:hint="eastAsia"/>
                <w:color w:val="auto"/>
                <w:highlight w:val="none"/>
              </w:rPr>
              <w:t>d计，则门诊用水量为</w:t>
            </w:r>
            <w:r>
              <w:rPr>
                <w:rFonts w:hint="eastAsia"/>
                <w:color w:val="auto"/>
                <w:highlight w:val="none"/>
                <w:lang w:val="en-US" w:eastAsia="zh-CN"/>
              </w:rPr>
              <w:t>9.63</w:t>
            </w:r>
            <w:r>
              <w:rPr>
                <w:rFonts w:hint="eastAsia"/>
                <w:color w:val="auto"/>
                <w:highlight w:val="none"/>
              </w:rPr>
              <w:t>m</w:t>
            </w:r>
            <w:r>
              <w:rPr>
                <w:rFonts w:hint="eastAsia"/>
                <w:color w:val="auto"/>
                <w:highlight w:val="none"/>
                <w:vertAlign w:val="superscript"/>
              </w:rPr>
              <w:t>3</w:t>
            </w:r>
            <w:r>
              <w:rPr>
                <w:rFonts w:hint="eastAsia"/>
                <w:color w:val="auto"/>
                <w:highlight w:val="none"/>
              </w:rPr>
              <w:t>/d(</w:t>
            </w:r>
            <w:r>
              <w:rPr>
                <w:rFonts w:hint="eastAsia"/>
                <w:color w:val="auto"/>
                <w:highlight w:val="none"/>
                <w:lang w:val="en-US" w:eastAsia="zh-CN"/>
              </w:rPr>
              <w:t>3514.95</w:t>
            </w:r>
            <w:r>
              <w:rPr>
                <w:rFonts w:hint="eastAsia"/>
                <w:color w:val="auto"/>
                <w:highlight w:val="none"/>
              </w:rPr>
              <w:t>m</w:t>
            </w:r>
            <w:r>
              <w:rPr>
                <w:rFonts w:hint="eastAsia"/>
                <w:color w:val="auto"/>
                <w:highlight w:val="none"/>
                <w:vertAlign w:val="superscript"/>
              </w:rPr>
              <w:t>3</w:t>
            </w:r>
            <w:r>
              <w:rPr>
                <w:rFonts w:hint="eastAsia"/>
                <w:color w:val="auto"/>
                <w:highlight w:val="none"/>
              </w:rPr>
              <w:t>/a</w:t>
            </w:r>
            <w:r>
              <w:rPr>
                <w:rFonts w:hint="eastAsia"/>
                <w:color w:val="auto"/>
                <w:highlight w:val="none"/>
                <w:lang w:eastAsia="zh-CN"/>
              </w:rPr>
              <w:t>）</w:t>
            </w:r>
            <w:r>
              <w:rPr>
                <w:rFonts w:hint="eastAsia"/>
                <w:color w:val="auto"/>
                <w:highlight w:val="none"/>
              </w:rPr>
              <w:t>，产污系数取0.85，则门诊废水产生量为</w:t>
            </w:r>
            <w:r>
              <w:rPr>
                <w:rFonts w:hint="eastAsia"/>
                <w:color w:val="auto"/>
                <w:highlight w:val="none"/>
                <w:lang w:val="en-US" w:eastAsia="zh-CN"/>
              </w:rPr>
              <w:t>8.186</w:t>
            </w:r>
            <w:r>
              <w:rPr>
                <w:rFonts w:hint="eastAsia"/>
                <w:color w:val="auto"/>
                <w:highlight w:val="none"/>
              </w:rPr>
              <w:t>m</w:t>
            </w:r>
            <w:r>
              <w:rPr>
                <w:rFonts w:hint="eastAsia"/>
                <w:color w:val="auto"/>
                <w:highlight w:val="none"/>
                <w:vertAlign w:val="superscript"/>
              </w:rPr>
              <w:t>3</w:t>
            </w:r>
            <w:r>
              <w:rPr>
                <w:rFonts w:hint="eastAsia"/>
                <w:color w:val="auto"/>
                <w:highlight w:val="none"/>
              </w:rPr>
              <w:t>/d (</w:t>
            </w:r>
            <w:r>
              <w:rPr>
                <w:rFonts w:hint="eastAsia"/>
                <w:color w:val="auto"/>
                <w:highlight w:val="none"/>
                <w:lang w:val="en-US" w:eastAsia="zh-CN"/>
              </w:rPr>
              <w:t>2987.71</w:t>
            </w:r>
            <w:r>
              <w:rPr>
                <w:rFonts w:hint="eastAsia"/>
                <w:color w:val="auto"/>
                <w:highlight w:val="none"/>
              </w:rPr>
              <w:t>m</w:t>
            </w:r>
            <w:r>
              <w:rPr>
                <w:rFonts w:hint="eastAsia"/>
                <w:color w:val="auto"/>
                <w:highlight w:val="none"/>
                <w:vertAlign w:val="superscript"/>
                <w:lang w:val="en-US" w:eastAsia="zh-CN"/>
              </w:rPr>
              <w:t>3</w:t>
            </w:r>
            <w:r>
              <w:rPr>
                <w:rFonts w:hint="eastAsia"/>
                <w:color w:val="auto"/>
                <w:highlight w:val="none"/>
              </w:rPr>
              <w:t>/a</w:t>
            </w:r>
            <w:r>
              <w:rPr>
                <w:rFonts w:hint="eastAsia"/>
                <w:color w:val="auto"/>
                <w:highlight w:val="none"/>
                <w:lang w:eastAsia="zh-CN"/>
              </w:rPr>
              <w:t>)</w:t>
            </w:r>
            <w:r>
              <w:rPr>
                <w:rFonts w:hint="eastAsia"/>
                <w:color w:val="auto"/>
                <w:highlight w:val="none"/>
              </w:rPr>
              <w:t>。</w:t>
            </w:r>
          </w:p>
          <w:p w14:paraId="444B2DB9">
            <w:pPr>
              <w:pStyle w:val="46"/>
              <w:keepNext w:val="0"/>
              <w:keepLines w:val="0"/>
              <w:pageBreakBefore w:val="0"/>
              <w:widowControl w:val="0"/>
              <w:kinsoku/>
              <w:wordWrap/>
              <w:overflowPunct/>
              <w:topLinePunct w:val="0"/>
              <w:autoSpaceDE w:val="0"/>
              <w:autoSpaceDN w:val="0"/>
              <w:bidi w:val="0"/>
              <w:adjustRightInd/>
              <w:snapToGrid/>
              <w:ind w:firstLine="480"/>
              <w:textAlignment w:val="auto"/>
              <w:rPr>
                <w:rFonts w:hint="eastAsia" w:eastAsia="宋体"/>
                <w:color w:val="auto"/>
                <w:highlight w:val="none"/>
                <w:lang w:eastAsia="zh-CN"/>
              </w:rPr>
            </w:pPr>
            <w:r>
              <w:rPr>
                <w:rFonts w:hint="eastAsia"/>
                <w:color w:val="auto"/>
                <w:highlight w:val="none"/>
              </w:rPr>
              <w:t>②</w:t>
            </w:r>
            <w:r>
              <w:rPr>
                <w:rFonts w:hint="eastAsia"/>
                <w:color w:val="auto"/>
                <w:highlight w:val="none"/>
                <w:lang w:val="en-US" w:eastAsia="zh-CN"/>
              </w:rPr>
              <w:t>病房</w:t>
            </w:r>
            <w:r>
              <w:rPr>
                <w:rFonts w:hint="eastAsia"/>
                <w:color w:val="auto"/>
                <w:highlight w:val="none"/>
              </w:rPr>
              <w:t>废水W</w:t>
            </w:r>
            <w:r>
              <w:rPr>
                <w:rFonts w:hint="eastAsia"/>
                <w:color w:val="auto"/>
                <w:highlight w:val="none"/>
                <w:lang w:val="en-US" w:eastAsia="zh-CN"/>
              </w:rPr>
              <w:t>2</w:t>
            </w:r>
          </w:p>
          <w:p w14:paraId="6E9DE607">
            <w:pPr>
              <w:pStyle w:val="46"/>
              <w:keepNext w:val="0"/>
              <w:keepLines w:val="0"/>
              <w:pageBreakBefore w:val="0"/>
              <w:widowControl w:val="0"/>
              <w:kinsoku/>
              <w:wordWrap/>
              <w:overflowPunct/>
              <w:topLinePunct w:val="0"/>
              <w:autoSpaceDE w:val="0"/>
              <w:autoSpaceDN w:val="0"/>
              <w:bidi w:val="0"/>
              <w:adjustRightInd/>
              <w:snapToGrid/>
              <w:ind w:firstLine="480"/>
              <w:textAlignment w:val="auto"/>
              <w:rPr>
                <w:rFonts w:hint="eastAsia"/>
                <w:color w:val="auto"/>
                <w:highlight w:val="none"/>
              </w:rPr>
            </w:pPr>
            <w:r>
              <w:rPr>
                <w:rFonts w:hint="eastAsia"/>
                <w:color w:val="auto"/>
                <w:highlight w:val="none"/>
                <w:lang w:eastAsia="zh-CN"/>
              </w:rPr>
              <w:t>根据建设单位提供的信息</w:t>
            </w:r>
            <w:r>
              <w:rPr>
                <w:rFonts w:hint="eastAsia"/>
                <w:color w:val="auto"/>
                <w:highlight w:val="none"/>
              </w:rPr>
              <w:t>，原项目床位数为</w:t>
            </w:r>
            <w:r>
              <w:rPr>
                <w:rFonts w:hint="eastAsia"/>
                <w:color w:val="auto"/>
                <w:highlight w:val="none"/>
                <w:lang w:val="en-US" w:eastAsia="zh-CN"/>
              </w:rPr>
              <w:t>70</w:t>
            </w:r>
            <w:r>
              <w:rPr>
                <w:rFonts w:hint="eastAsia"/>
                <w:color w:val="auto"/>
                <w:highlight w:val="none"/>
              </w:rPr>
              <w:t>张，项目</w:t>
            </w:r>
            <w:r>
              <w:rPr>
                <w:rFonts w:hint="eastAsia"/>
                <w:color w:val="auto"/>
                <w:highlight w:val="none"/>
                <w:lang w:val="en-US" w:eastAsia="zh-CN"/>
              </w:rPr>
              <w:t>迁建</w:t>
            </w:r>
            <w:r>
              <w:rPr>
                <w:rFonts w:hint="eastAsia"/>
                <w:color w:val="auto"/>
                <w:highlight w:val="none"/>
              </w:rPr>
              <w:t>后，全院共设床位</w:t>
            </w:r>
            <w:r>
              <w:rPr>
                <w:rFonts w:hint="eastAsia"/>
                <w:color w:val="auto"/>
                <w:highlight w:val="none"/>
                <w:lang w:val="en-US" w:eastAsia="zh-CN"/>
              </w:rPr>
              <w:t>270</w:t>
            </w:r>
            <w:r>
              <w:rPr>
                <w:rFonts w:hint="eastAsia"/>
                <w:color w:val="auto"/>
                <w:highlight w:val="none"/>
              </w:rPr>
              <w:t>张。根据《</w:t>
            </w:r>
            <w:r>
              <w:rPr>
                <w:rFonts w:hint="eastAsia"/>
                <w:color w:val="auto"/>
                <w:highlight w:val="none"/>
                <w:lang w:eastAsia="zh-CN"/>
              </w:rPr>
              <w:t>综合医院建筑设计标准</w:t>
            </w:r>
            <w:r>
              <w:rPr>
                <w:rFonts w:hint="eastAsia"/>
                <w:color w:val="auto"/>
                <w:highlight w:val="none"/>
              </w:rPr>
              <w:t>》</w:t>
            </w:r>
            <w:r>
              <w:rPr>
                <w:rFonts w:hint="eastAsia"/>
                <w:color w:val="auto"/>
                <w:highlight w:val="none"/>
                <w:lang w:eastAsia="zh-CN"/>
              </w:rPr>
              <w:t>GB 51039-2014</w:t>
            </w:r>
            <w:r>
              <w:rPr>
                <w:rFonts w:hint="eastAsia"/>
                <w:color w:val="auto"/>
                <w:highlight w:val="none"/>
              </w:rPr>
              <w:t>和《医院污水处理工程技术规范》</w:t>
            </w:r>
            <w:r>
              <w:rPr>
                <w:rFonts w:hint="eastAsia"/>
                <w:color w:val="auto"/>
                <w:highlight w:val="none"/>
                <w:lang w:eastAsia="zh-CN"/>
              </w:rPr>
              <w:t>（</w:t>
            </w:r>
            <w:r>
              <w:rPr>
                <w:rFonts w:hint="eastAsia"/>
                <w:color w:val="auto"/>
                <w:highlight w:val="none"/>
              </w:rPr>
              <w:t>HJ2029-2013</w:t>
            </w:r>
            <w:r>
              <w:rPr>
                <w:rFonts w:hint="eastAsia"/>
                <w:color w:val="auto"/>
                <w:highlight w:val="none"/>
                <w:lang w:eastAsia="zh-CN"/>
              </w:rPr>
              <w:t>）</w:t>
            </w:r>
            <w:r>
              <w:rPr>
                <w:rFonts w:hint="eastAsia"/>
                <w:color w:val="auto"/>
                <w:highlight w:val="none"/>
              </w:rPr>
              <w:t>的相关规定，病房用水按400L/</w:t>
            </w:r>
            <w:r>
              <w:rPr>
                <w:rFonts w:hint="eastAsia"/>
                <w:color w:val="auto"/>
                <w:highlight w:val="none"/>
                <w:lang w:val="en-US" w:eastAsia="zh-CN"/>
              </w:rPr>
              <w:t>床·</w:t>
            </w:r>
            <w:r>
              <w:rPr>
                <w:rFonts w:hint="eastAsia"/>
                <w:color w:val="auto"/>
                <w:highlight w:val="none"/>
              </w:rPr>
              <w:t>d计，</w:t>
            </w:r>
            <w:r>
              <w:rPr>
                <w:rFonts w:hint="eastAsia"/>
                <w:color w:val="auto"/>
                <w:highlight w:val="none"/>
                <w:lang w:val="en-US" w:eastAsia="zh-CN"/>
              </w:rPr>
              <w:t>由于项目为迁建项目（以床位270张计），</w:t>
            </w:r>
            <w:r>
              <w:rPr>
                <w:rFonts w:hint="eastAsia"/>
                <w:color w:val="auto"/>
                <w:highlight w:val="none"/>
              </w:rPr>
              <w:t>则病房用水量为</w:t>
            </w:r>
            <w:r>
              <w:rPr>
                <w:rFonts w:hint="eastAsia"/>
                <w:color w:val="auto"/>
                <w:highlight w:val="none"/>
                <w:lang w:val="en-US" w:eastAsia="zh-CN"/>
              </w:rPr>
              <w:t>108</w:t>
            </w:r>
            <w:r>
              <w:rPr>
                <w:rFonts w:hint="eastAsia"/>
                <w:color w:val="auto"/>
                <w:highlight w:val="none"/>
              </w:rPr>
              <w:t>m</w:t>
            </w:r>
            <w:r>
              <w:rPr>
                <w:rFonts w:hint="eastAsia"/>
                <w:color w:val="auto"/>
                <w:highlight w:val="none"/>
                <w:vertAlign w:val="superscript"/>
              </w:rPr>
              <w:t>3</w:t>
            </w:r>
            <w:r>
              <w:rPr>
                <w:rFonts w:hint="eastAsia"/>
                <w:color w:val="auto"/>
                <w:highlight w:val="none"/>
              </w:rPr>
              <w:t>/d</w:t>
            </w:r>
            <w:r>
              <w:rPr>
                <w:rFonts w:hint="eastAsia"/>
                <w:color w:val="auto"/>
                <w:highlight w:val="none"/>
                <w:lang w:eastAsia="zh-CN"/>
              </w:rPr>
              <w:t>（</w:t>
            </w:r>
            <w:r>
              <w:rPr>
                <w:rFonts w:hint="eastAsia"/>
                <w:color w:val="auto"/>
                <w:highlight w:val="none"/>
                <w:lang w:val="en-US" w:eastAsia="zh-CN"/>
              </w:rPr>
              <w:t>39420</w:t>
            </w:r>
            <w:r>
              <w:rPr>
                <w:rFonts w:hint="eastAsia"/>
                <w:color w:val="auto"/>
                <w:highlight w:val="none"/>
              </w:rPr>
              <w:t>m</w:t>
            </w:r>
            <w:r>
              <w:rPr>
                <w:rFonts w:hint="eastAsia"/>
                <w:color w:val="auto"/>
                <w:highlight w:val="none"/>
                <w:vertAlign w:val="superscript"/>
              </w:rPr>
              <w:t>3</w:t>
            </w:r>
            <w:r>
              <w:rPr>
                <w:rFonts w:hint="eastAsia"/>
                <w:color w:val="auto"/>
                <w:highlight w:val="none"/>
              </w:rPr>
              <w:t>/a</w:t>
            </w:r>
            <w:r>
              <w:rPr>
                <w:rFonts w:hint="eastAsia"/>
                <w:color w:val="auto"/>
                <w:highlight w:val="none"/>
                <w:lang w:eastAsia="zh-CN"/>
              </w:rPr>
              <w:t>）</w:t>
            </w:r>
            <w:r>
              <w:rPr>
                <w:rFonts w:hint="eastAsia"/>
                <w:color w:val="auto"/>
                <w:highlight w:val="none"/>
              </w:rPr>
              <w:t>，产污系数取0.85，则本项目新增废水产生量为</w:t>
            </w:r>
            <w:r>
              <w:rPr>
                <w:rFonts w:hint="eastAsia"/>
                <w:color w:val="auto"/>
                <w:highlight w:val="none"/>
                <w:lang w:val="en-US" w:eastAsia="zh-CN"/>
              </w:rPr>
              <w:t>91.8</w:t>
            </w:r>
            <w:r>
              <w:rPr>
                <w:rFonts w:hint="eastAsia"/>
                <w:color w:val="auto"/>
                <w:highlight w:val="none"/>
              </w:rPr>
              <w:t>m</w:t>
            </w:r>
            <w:r>
              <w:rPr>
                <w:rFonts w:hint="eastAsia"/>
                <w:color w:val="auto"/>
                <w:highlight w:val="none"/>
                <w:vertAlign w:val="superscript"/>
              </w:rPr>
              <w:t>3</w:t>
            </w:r>
            <w:r>
              <w:rPr>
                <w:rFonts w:hint="eastAsia"/>
                <w:color w:val="auto"/>
                <w:highlight w:val="none"/>
              </w:rPr>
              <w:t>/d(</w:t>
            </w:r>
            <w:r>
              <w:rPr>
                <w:rFonts w:hint="eastAsia"/>
                <w:color w:val="auto"/>
                <w:highlight w:val="none"/>
                <w:lang w:val="en-US" w:eastAsia="zh-CN"/>
              </w:rPr>
              <w:t>33507</w:t>
            </w:r>
            <w:r>
              <w:rPr>
                <w:rFonts w:hint="eastAsia"/>
                <w:color w:val="auto"/>
                <w:highlight w:val="none"/>
              </w:rPr>
              <w:t>m</w:t>
            </w:r>
            <w:r>
              <w:rPr>
                <w:rFonts w:hint="eastAsia"/>
                <w:color w:val="auto"/>
                <w:highlight w:val="none"/>
                <w:vertAlign w:val="superscript"/>
              </w:rPr>
              <w:t>3</w:t>
            </w:r>
            <w:r>
              <w:rPr>
                <w:rFonts w:hint="eastAsia"/>
                <w:color w:val="auto"/>
                <w:highlight w:val="none"/>
              </w:rPr>
              <w:t>/a</w:t>
            </w:r>
            <w:r>
              <w:rPr>
                <w:rFonts w:hint="eastAsia"/>
                <w:color w:val="auto"/>
                <w:highlight w:val="none"/>
                <w:lang w:eastAsia="zh-CN"/>
              </w:rPr>
              <w:t>）</w:t>
            </w:r>
            <w:r>
              <w:rPr>
                <w:rFonts w:hint="eastAsia"/>
                <w:color w:val="auto"/>
                <w:highlight w:val="none"/>
              </w:rPr>
              <w:t>。</w:t>
            </w:r>
          </w:p>
          <w:p w14:paraId="50C38751">
            <w:pPr>
              <w:pStyle w:val="46"/>
              <w:keepNext w:val="0"/>
              <w:keepLines w:val="0"/>
              <w:pageBreakBefore w:val="0"/>
              <w:widowControl w:val="0"/>
              <w:kinsoku/>
              <w:wordWrap/>
              <w:overflowPunct/>
              <w:topLinePunct w:val="0"/>
              <w:autoSpaceDE w:val="0"/>
              <w:autoSpaceDN w:val="0"/>
              <w:bidi w:val="0"/>
              <w:adjustRightInd/>
              <w:snapToGrid/>
              <w:ind w:firstLine="480"/>
              <w:textAlignment w:val="auto"/>
              <w:rPr>
                <w:rFonts w:hint="eastAsia" w:eastAsia="宋体"/>
                <w:color w:val="auto"/>
                <w:highlight w:val="none"/>
                <w:lang w:eastAsia="zh-CN"/>
              </w:rPr>
            </w:pPr>
            <w:r>
              <w:rPr>
                <w:rFonts w:hint="default" w:ascii="Times New Roman" w:hAnsi="Times New Roman"/>
                <w:color w:val="auto"/>
                <w:highlight w:val="none"/>
              </w:rPr>
              <w:t>③</w:t>
            </w:r>
            <w:r>
              <w:rPr>
                <w:rFonts w:hint="eastAsia"/>
                <w:color w:val="auto"/>
                <w:highlight w:val="none"/>
              </w:rPr>
              <w:t>生活用水W</w:t>
            </w:r>
            <w:r>
              <w:rPr>
                <w:rFonts w:hint="eastAsia"/>
                <w:color w:val="auto"/>
                <w:highlight w:val="none"/>
                <w:lang w:val="en-US" w:eastAsia="zh-CN"/>
              </w:rPr>
              <w:t>3</w:t>
            </w:r>
          </w:p>
          <w:p w14:paraId="10AE56AF">
            <w:pPr>
              <w:pStyle w:val="46"/>
              <w:keepNext w:val="0"/>
              <w:keepLines w:val="0"/>
              <w:pageBreakBefore w:val="0"/>
              <w:widowControl w:val="0"/>
              <w:kinsoku/>
              <w:wordWrap/>
              <w:overflowPunct/>
              <w:topLinePunct w:val="0"/>
              <w:autoSpaceDE w:val="0"/>
              <w:autoSpaceDN w:val="0"/>
              <w:bidi w:val="0"/>
              <w:adjustRightInd/>
              <w:snapToGrid/>
              <w:ind w:firstLine="480"/>
              <w:textAlignment w:val="auto"/>
              <w:rPr>
                <w:rFonts w:hint="eastAsia"/>
                <w:color w:val="auto"/>
                <w:highlight w:val="none"/>
              </w:rPr>
            </w:pPr>
            <w:r>
              <w:rPr>
                <w:rFonts w:hint="eastAsia"/>
                <w:color w:val="auto"/>
                <w:highlight w:val="none"/>
                <w:lang w:eastAsia="zh-CN"/>
              </w:rPr>
              <w:t>根据建设单位提供的信息</w:t>
            </w:r>
            <w:r>
              <w:rPr>
                <w:rFonts w:hint="eastAsia"/>
                <w:color w:val="auto"/>
                <w:highlight w:val="none"/>
              </w:rPr>
              <w:t>，项目</w:t>
            </w:r>
            <w:r>
              <w:rPr>
                <w:rFonts w:hint="eastAsia"/>
                <w:color w:val="auto"/>
                <w:highlight w:val="none"/>
                <w:lang w:val="en-US" w:eastAsia="zh-CN"/>
              </w:rPr>
              <w:t>迁建</w:t>
            </w:r>
            <w:r>
              <w:rPr>
                <w:rFonts w:hint="eastAsia"/>
                <w:color w:val="auto"/>
                <w:highlight w:val="none"/>
              </w:rPr>
              <w:t>后工作人员约</w:t>
            </w:r>
            <w:r>
              <w:rPr>
                <w:rFonts w:hint="eastAsia"/>
                <w:color w:val="auto"/>
                <w:highlight w:val="none"/>
                <w:lang w:val="en-US" w:eastAsia="zh-CN"/>
              </w:rPr>
              <w:t>136</w:t>
            </w:r>
            <w:r>
              <w:rPr>
                <w:rFonts w:hint="eastAsia"/>
                <w:color w:val="auto"/>
                <w:highlight w:val="none"/>
              </w:rPr>
              <w:t>名。参照《</w:t>
            </w:r>
            <w:r>
              <w:rPr>
                <w:rFonts w:hint="eastAsia"/>
                <w:color w:val="auto"/>
                <w:highlight w:val="none"/>
                <w:lang w:eastAsia="zh-CN"/>
              </w:rPr>
              <w:t>综合医院建筑设计标准</w:t>
            </w:r>
            <w:r>
              <w:rPr>
                <w:rFonts w:hint="eastAsia"/>
                <w:color w:val="auto"/>
                <w:highlight w:val="none"/>
              </w:rPr>
              <w:t>》</w:t>
            </w:r>
            <w:r>
              <w:rPr>
                <w:rFonts w:hint="eastAsia"/>
                <w:color w:val="auto"/>
                <w:highlight w:val="none"/>
                <w:lang w:eastAsia="zh-CN"/>
              </w:rPr>
              <w:t>GB 51039-2014</w:t>
            </w:r>
            <w:r>
              <w:rPr>
                <w:rFonts w:hint="eastAsia"/>
                <w:color w:val="auto"/>
                <w:highlight w:val="none"/>
              </w:rPr>
              <w:t>和《医院污水处理工程技术规范》</w:t>
            </w:r>
            <w:r>
              <w:rPr>
                <w:rFonts w:hint="eastAsia"/>
                <w:color w:val="auto"/>
                <w:highlight w:val="none"/>
                <w:lang w:eastAsia="zh-CN"/>
              </w:rPr>
              <w:t>（</w:t>
            </w:r>
            <w:r>
              <w:rPr>
                <w:rFonts w:hint="eastAsia"/>
                <w:color w:val="auto"/>
                <w:highlight w:val="none"/>
              </w:rPr>
              <w:t>HJ2029-2013</w:t>
            </w:r>
            <w:r>
              <w:rPr>
                <w:rFonts w:hint="eastAsia"/>
                <w:color w:val="auto"/>
                <w:highlight w:val="none"/>
                <w:lang w:eastAsia="zh-CN"/>
              </w:rPr>
              <w:t>）</w:t>
            </w:r>
            <w:r>
              <w:rPr>
                <w:rFonts w:hint="eastAsia"/>
                <w:color w:val="auto"/>
                <w:highlight w:val="none"/>
              </w:rPr>
              <w:t>的相关规定。医务人员生活用水按150L/人</w:t>
            </w:r>
            <w:r>
              <w:rPr>
                <w:rFonts w:hint="eastAsia"/>
                <w:color w:val="auto"/>
                <w:highlight w:val="none"/>
                <w:lang w:eastAsia="zh-CN"/>
              </w:rPr>
              <w:t>。</w:t>
            </w:r>
            <w:r>
              <w:rPr>
                <w:rFonts w:hint="eastAsia"/>
                <w:color w:val="auto"/>
                <w:highlight w:val="none"/>
              </w:rPr>
              <w:t>d计，则医务人员生活用水量为</w:t>
            </w:r>
            <w:r>
              <w:rPr>
                <w:rFonts w:hint="eastAsia"/>
                <w:color w:val="auto"/>
                <w:highlight w:val="none"/>
                <w:lang w:val="en-US" w:eastAsia="zh-CN"/>
              </w:rPr>
              <w:t>20.4</w:t>
            </w:r>
            <w:r>
              <w:rPr>
                <w:rFonts w:hint="eastAsia"/>
                <w:color w:val="auto"/>
                <w:highlight w:val="none"/>
              </w:rPr>
              <w:t>m</w:t>
            </w:r>
            <w:r>
              <w:rPr>
                <w:rFonts w:hint="eastAsia"/>
                <w:color w:val="auto"/>
                <w:highlight w:val="none"/>
                <w:vertAlign w:val="superscript"/>
              </w:rPr>
              <w:t>3</w:t>
            </w:r>
            <w:r>
              <w:rPr>
                <w:rFonts w:hint="eastAsia"/>
                <w:color w:val="auto"/>
                <w:highlight w:val="none"/>
              </w:rPr>
              <w:t>/d(</w:t>
            </w:r>
            <w:r>
              <w:rPr>
                <w:rFonts w:hint="eastAsia"/>
                <w:color w:val="auto"/>
                <w:highlight w:val="none"/>
                <w:lang w:val="en-US" w:eastAsia="zh-CN"/>
              </w:rPr>
              <w:t>7446</w:t>
            </w:r>
            <w:r>
              <w:rPr>
                <w:rFonts w:hint="eastAsia"/>
                <w:color w:val="auto"/>
                <w:highlight w:val="none"/>
              </w:rPr>
              <w:t>m</w:t>
            </w:r>
            <w:r>
              <w:rPr>
                <w:rFonts w:hint="eastAsia"/>
                <w:color w:val="auto"/>
                <w:highlight w:val="none"/>
                <w:vertAlign w:val="superscript"/>
              </w:rPr>
              <w:t>3</w:t>
            </w:r>
            <w:r>
              <w:rPr>
                <w:rFonts w:hint="eastAsia"/>
                <w:color w:val="auto"/>
                <w:highlight w:val="none"/>
              </w:rPr>
              <w:t>/a</w:t>
            </w:r>
            <w:r>
              <w:rPr>
                <w:rFonts w:hint="eastAsia"/>
                <w:color w:val="auto"/>
                <w:highlight w:val="none"/>
                <w:lang w:eastAsia="zh-CN"/>
              </w:rPr>
              <w:t>）</w:t>
            </w:r>
            <w:r>
              <w:rPr>
                <w:rFonts w:hint="eastAsia"/>
                <w:color w:val="auto"/>
                <w:highlight w:val="none"/>
              </w:rPr>
              <w:t>，产污系数取0.80，则医务人员生活废水产生量为</w:t>
            </w:r>
            <w:r>
              <w:rPr>
                <w:rFonts w:hint="eastAsia"/>
                <w:color w:val="auto"/>
                <w:highlight w:val="none"/>
                <w:lang w:val="en-US" w:eastAsia="zh-CN"/>
              </w:rPr>
              <w:t>16.32</w:t>
            </w:r>
            <w:r>
              <w:rPr>
                <w:rFonts w:hint="eastAsia"/>
                <w:color w:val="auto"/>
                <w:highlight w:val="none"/>
              </w:rPr>
              <w:t>m</w:t>
            </w:r>
            <w:r>
              <w:rPr>
                <w:rFonts w:hint="eastAsia"/>
                <w:color w:val="auto"/>
                <w:highlight w:val="none"/>
                <w:vertAlign w:val="superscript"/>
              </w:rPr>
              <w:t>3</w:t>
            </w:r>
            <w:r>
              <w:rPr>
                <w:rFonts w:hint="eastAsia"/>
                <w:color w:val="auto"/>
                <w:highlight w:val="none"/>
              </w:rPr>
              <w:t>/d(</w:t>
            </w:r>
            <w:r>
              <w:rPr>
                <w:rFonts w:hint="eastAsia"/>
                <w:color w:val="auto"/>
                <w:highlight w:val="none"/>
                <w:lang w:val="en-US" w:eastAsia="zh-CN"/>
              </w:rPr>
              <w:t>5956.8</w:t>
            </w:r>
            <w:r>
              <w:rPr>
                <w:rFonts w:hint="eastAsia"/>
                <w:color w:val="auto"/>
                <w:highlight w:val="none"/>
              </w:rPr>
              <w:t>m</w:t>
            </w:r>
            <w:r>
              <w:rPr>
                <w:rFonts w:hint="eastAsia"/>
                <w:color w:val="auto"/>
                <w:highlight w:val="none"/>
                <w:vertAlign w:val="superscript"/>
              </w:rPr>
              <w:t>3</w:t>
            </w:r>
            <w:r>
              <w:rPr>
                <w:rFonts w:hint="eastAsia"/>
                <w:color w:val="auto"/>
                <w:highlight w:val="none"/>
              </w:rPr>
              <w:t>/a</w:t>
            </w:r>
            <w:r>
              <w:rPr>
                <w:rFonts w:hint="eastAsia"/>
                <w:color w:val="auto"/>
                <w:highlight w:val="none"/>
                <w:lang w:eastAsia="zh-CN"/>
              </w:rPr>
              <w:t>）</w:t>
            </w:r>
            <w:r>
              <w:rPr>
                <w:rFonts w:hint="eastAsia"/>
                <w:color w:val="auto"/>
                <w:highlight w:val="none"/>
              </w:rPr>
              <w:t>。</w:t>
            </w:r>
          </w:p>
          <w:p w14:paraId="39D7DDB4">
            <w:pPr>
              <w:pStyle w:val="46"/>
              <w:keepNext w:val="0"/>
              <w:keepLines w:val="0"/>
              <w:pageBreakBefore w:val="0"/>
              <w:widowControl w:val="0"/>
              <w:kinsoku/>
              <w:wordWrap/>
              <w:overflowPunct/>
              <w:topLinePunct w:val="0"/>
              <w:autoSpaceDE w:val="0"/>
              <w:autoSpaceDN w:val="0"/>
              <w:bidi w:val="0"/>
              <w:adjustRightInd/>
              <w:snapToGrid/>
              <w:ind w:firstLine="480"/>
              <w:textAlignment w:val="auto"/>
              <w:rPr>
                <w:rFonts w:hint="eastAsia" w:eastAsia="宋体"/>
                <w:color w:val="auto"/>
                <w:highlight w:val="none"/>
                <w:lang w:eastAsia="zh-CN"/>
              </w:rPr>
            </w:pPr>
            <w:r>
              <w:rPr>
                <w:rFonts w:hint="eastAsia"/>
                <w:color w:val="auto"/>
                <w:highlight w:val="none"/>
              </w:rPr>
              <w:t>项目废水经</w:t>
            </w:r>
            <w:r>
              <w:rPr>
                <w:rFonts w:hint="eastAsia"/>
                <w:color w:val="auto"/>
                <w:highlight w:val="none"/>
                <w:lang w:val="en-US" w:eastAsia="zh-CN"/>
              </w:rPr>
              <w:t>污水处理设施</w:t>
            </w:r>
            <w:r>
              <w:rPr>
                <w:rFonts w:hint="eastAsia"/>
                <w:color w:val="auto"/>
                <w:highlight w:val="none"/>
              </w:rPr>
              <w:t>处理后排至罗源县城区污水处理厂深度处理后尾水排入起步溪。污水处理系统采用“生物接触氧化法+沉淀+消毒工艺”处理工艺。本项目水污染物产生排放情况见</w:t>
            </w:r>
            <w:r>
              <w:rPr>
                <w:rFonts w:hint="eastAsia"/>
                <w:color w:val="auto"/>
                <w:highlight w:val="none"/>
                <w:lang w:val="en-US" w:eastAsia="zh-CN"/>
              </w:rPr>
              <w:t>下</w:t>
            </w:r>
            <w:r>
              <w:rPr>
                <w:rFonts w:hint="eastAsia"/>
                <w:color w:val="auto"/>
                <w:highlight w:val="none"/>
              </w:rPr>
              <w:t>表</w:t>
            </w:r>
            <w:r>
              <w:rPr>
                <w:rFonts w:hint="eastAsia"/>
                <w:color w:val="auto"/>
                <w:highlight w:val="none"/>
                <w:lang w:eastAsia="zh-CN"/>
              </w:rPr>
              <w:t>。</w:t>
            </w:r>
          </w:p>
          <w:p w14:paraId="6D09E8DE">
            <w:pPr>
              <w:pStyle w:val="44"/>
              <w:keepNext/>
              <w:keepLines/>
              <w:pageBreakBefore w:val="0"/>
              <w:widowControl w:val="0"/>
              <w:numPr>
                <w:ilvl w:val="7"/>
                <w:numId w:val="1"/>
              </w:numPr>
              <w:kinsoku/>
              <w:wordWrap/>
              <w:overflowPunct/>
              <w:topLinePunct w:val="0"/>
              <w:autoSpaceDE/>
              <w:autoSpaceDN/>
              <w:bidi w:val="0"/>
              <w:adjustRightInd/>
              <w:snapToGrid/>
              <w:spacing w:before="157" w:beforeLines="50" w:after="0"/>
              <w:ind w:left="210" w:leftChars="0" w:firstLine="0" w:firstLineChars="0"/>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项目废水污染物排放情况一览表</w:t>
            </w:r>
          </w:p>
          <w:tbl>
            <w:tblPr>
              <w:tblStyle w:val="34"/>
              <w:tblW w:w="8930" w:type="dxa"/>
              <w:tblInd w:w="-17"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191"/>
              <w:gridCol w:w="751"/>
              <w:gridCol w:w="823"/>
              <w:gridCol w:w="1079"/>
              <w:gridCol w:w="1794"/>
              <w:gridCol w:w="631"/>
              <w:gridCol w:w="1015"/>
              <w:gridCol w:w="631"/>
              <w:gridCol w:w="1015"/>
            </w:tblGrid>
            <w:tr w14:paraId="1049C6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30" w:hRule="atLeast"/>
              </w:trPr>
              <w:tc>
                <w:tcPr>
                  <w:tcW w:w="1210" w:type="dxa"/>
                  <w:vMerge w:val="restart"/>
                  <w:tcBorders>
                    <w:tl2br w:val="nil"/>
                    <w:tr2bl w:val="nil"/>
                  </w:tcBorders>
                  <w:shd w:val="clear" w:color="auto" w:fill="auto"/>
                  <w:vAlign w:val="center"/>
                </w:tcPr>
                <w:p w14:paraId="4D200B10">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排放源</w:t>
                  </w:r>
                </w:p>
              </w:tc>
              <w:tc>
                <w:tcPr>
                  <w:tcW w:w="761" w:type="dxa"/>
                  <w:vMerge w:val="restart"/>
                  <w:tcBorders>
                    <w:tl2br w:val="nil"/>
                    <w:tr2bl w:val="nil"/>
                  </w:tcBorders>
                  <w:shd w:val="clear" w:color="auto" w:fill="auto"/>
                  <w:vAlign w:val="center"/>
                </w:tcPr>
                <w:p w14:paraId="27B8FF8A">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污染物名称</w:t>
                  </w:r>
                </w:p>
              </w:tc>
              <w:tc>
                <w:tcPr>
                  <w:tcW w:w="1929" w:type="dxa"/>
                  <w:gridSpan w:val="2"/>
                  <w:tcBorders>
                    <w:tl2br w:val="nil"/>
                    <w:tr2bl w:val="nil"/>
                  </w:tcBorders>
                  <w:shd w:val="clear" w:color="auto" w:fill="auto"/>
                  <w:vAlign w:val="center"/>
                </w:tcPr>
                <w:p w14:paraId="679B64B3">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产生量</w:t>
                  </w:r>
                </w:p>
              </w:tc>
              <w:tc>
                <w:tcPr>
                  <w:tcW w:w="1694" w:type="dxa"/>
                  <w:vMerge w:val="restart"/>
                  <w:tcBorders>
                    <w:tl2br w:val="nil"/>
                    <w:tr2bl w:val="nil"/>
                  </w:tcBorders>
                  <w:shd w:val="clear" w:color="auto" w:fill="auto"/>
                  <w:vAlign w:val="center"/>
                </w:tcPr>
                <w:p w14:paraId="2DCBE873">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治理措施</w:t>
                  </w:r>
                </w:p>
              </w:tc>
              <w:tc>
                <w:tcPr>
                  <w:tcW w:w="1668" w:type="dxa"/>
                  <w:gridSpan w:val="2"/>
                  <w:tcBorders>
                    <w:tl2br w:val="nil"/>
                    <w:tr2bl w:val="nil"/>
                  </w:tcBorders>
                  <w:shd w:val="clear" w:color="auto" w:fill="auto"/>
                  <w:vAlign w:val="center"/>
                </w:tcPr>
                <w:p w14:paraId="02587581">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院区排放口</w:t>
                  </w:r>
                </w:p>
              </w:tc>
              <w:tc>
                <w:tcPr>
                  <w:tcW w:w="1668" w:type="dxa"/>
                  <w:gridSpan w:val="2"/>
                  <w:tcBorders>
                    <w:tl2br w:val="nil"/>
                    <w:tr2bl w:val="nil"/>
                  </w:tcBorders>
                  <w:shd w:val="clear" w:color="auto" w:fill="auto"/>
                  <w:vAlign w:val="center"/>
                </w:tcPr>
                <w:p w14:paraId="31E73846">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罗源县城区污水处理厂处理</w:t>
                  </w:r>
                  <w:r>
                    <w:rPr>
                      <w:rFonts w:ascii="Times New Roman" w:hAnsi="Times New Roman" w:eastAsia="宋体"/>
                      <w:color w:val="auto"/>
                      <w:spacing w:val="6"/>
                      <w:sz w:val="21"/>
                      <w:szCs w:val="21"/>
                      <w:lang w:val="en-US" w:eastAsia="zh-CN"/>
                    </w:rPr>
                    <w:br w:type="textWrapping"/>
                  </w:r>
                  <w:r>
                    <w:rPr>
                      <w:rFonts w:ascii="Times New Roman" w:hAnsi="Times New Roman" w:eastAsia="宋体"/>
                      <w:color w:val="auto"/>
                      <w:spacing w:val="6"/>
                      <w:sz w:val="21"/>
                      <w:szCs w:val="21"/>
                      <w:lang w:val="en-US" w:eastAsia="zh-CN"/>
                    </w:rPr>
                    <w:t>后</w:t>
                  </w:r>
                </w:p>
              </w:tc>
            </w:tr>
            <w:tr w14:paraId="43653A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20" w:hRule="atLeast"/>
              </w:trPr>
              <w:tc>
                <w:tcPr>
                  <w:tcW w:w="1210" w:type="dxa"/>
                  <w:vMerge w:val="continue"/>
                  <w:tcBorders>
                    <w:tl2br w:val="nil"/>
                    <w:tr2bl w:val="nil"/>
                  </w:tcBorders>
                  <w:shd w:val="clear" w:color="auto" w:fill="auto"/>
                  <w:vAlign w:val="center"/>
                </w:tcPr>
                <w:p w14:paraId="58BA9810">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761" w:type="dxa"/>
                  <w:vMerge w:val="continue"/>
                  <w:tcBorders>
                    <w:tl2br w:val="nil"/>
                    <w:tr2bl w:val="nil"/>
                  </w:tcBorders>
                  <w:shd w:val="clear" w:color="auto" w:fill="auto"/>
                  <w:vAlign w:val="center"/>
                </w:tcPr>
                <w:p w14:paraId="51DE6FB1">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834" w:type="dxa"/>
                  <w:tcBorders>
                    <w:tl2br w:val="nil"/>
                    <w:tr2bl w:val="nil"/>
                  </w:tcBorders>
                  <w:shd w:val="clear" w:color="auto" w:fill="auto"/>
                  <w:vAlign w:val="center"/>
                </w:tcPr>
                <w:p w14:paraId="00E1D766">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浓度</w:t>
                  </w:r>
                  <w:r>
                    <w:rPr>
                      <w:rFonts w:ascii="Times New Roman" w:hAnsi="Times New Roman" w:eastAsia="宋体"/>
                      <w:color w:val="auto"/>
                      <w:spacing w:val="6"/>
                      <w:sz w:val="21"/>
                      <w:szCs w:val="21"/>
                      <w:lang w:val="en-US" w:eastAsia="zh-CN"/>
                    </w:rPr>
                    <w:br w:type="textWrapping"/>
                  </w:r>
                  <w:r>
                    <w:rPr>
                      <w:rFonts w:ascii="Times New Roman" w:hAnsi="Times New Roman" w:eastAsia="宋体"/>
                      <w:color w:val="auto"/>
                      <w:spacing w:val="6"/>
                      <w:sz w:val="21"/>
                      <w:szCs w:val="21"/>
                      <w:lang w:val="en-US" w:eastAsia="zh-CN"/>
                    </w:rPr>
                    <w:t>mg/L</w:t>
                  </w:r>
                </w:p>
              </w:tc>
              <w:tc>
                <w:tcPr>
                  <w:tcW w:w="1095" w:type="dxa"/>
                  <w:tcBorders>
                    <w:tl2br w:val="nil"/>
                    <w:tr2bl w:val="nil"/>
                  </w:tcBorders>
                  <w:shd w:val="clear" w:color="auto" w:fill="auto"/>
                  <w:vAlign w:val="center"/>
                </w:tcPr>
                <w:p w14:paraId="149AF00E">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产生量</w:t>
                  </w:r>
                  <w:r>
                    <w:rPr>
                      <w:rFonts w:ascii="Times New Roman" w:hAnsi="Times New Roman" w:eastAsia="宋体"/>
                      <w:color w:val="auto"/>
                      <w:spacing w:val="6"/>
                      <w:sz w:val="21"/>
                      <w:szCs w:val="21"/>
                      <w:lang w:val="en-US" w:eastAsia="zh-CN"/>
                    </w:rPr>
                    <w:br w:type="textWrapping"/>
                  </w:r>
                  <w:r>
                    <w:rPr>
                      <w:rFonts w:ascii="Times New Roman" w:hAnsi="Times New Roman" w:eastAsia="宋体"/>
                      <w:color w:val="auto"/>
                      <w:spacing w:val="6"/>
                      <w:sz w:val="21"/>
                      <w:szCs w:val="21"/>
                      <w:lang w:val="en-US" w:eastAsia="zh-CN"/>
                    </w:rPr>
                    <w:t>t/a</w:t>
                  </w:r>
                </w:p>
              </w:tc>
              <w:tc>
                <w:tcPr>
                  <w:tcW w:w="1694" w:type="dxa"/>
                  <w:vMerge w:val="continue"/>
                  <w:tcBorders>
                    <w:tl2br w:val="nil"/>
                    <w:tr2bl w:val="nil"/>
                  </w:tcBorders>
                  <w:shd w:val="clear" w:color="auto" w:fill="auto"/>
                  <w:vAlign w:val="center"/>
                </w:tcPr>
                <w:p w14:paraId="48E17521">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638" w:type="dxa"/>
                  <w:tcBorders>
                    <w:tl2br w:val="nil"/>
                    <w:tr2bl w:val="nil"/>
                  </w:tcBorders>
                  <w:shd w:val="clear" w:color="auto" w:fill="auto"/>
                  <w:vAlign w:val="center"/>
                </w:tcPr>
                <w:p w14:paraId="1CD89792">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浓度</w:t>
                  </w:r>
                  <w:r>
                    <w:rPr>
                      <w:rFonts w:ascii="Times New Roman" w:hAnsi="Times New Roman" w:eastAsia="宋体"/>
                      <w:color w:val="auto"/>
                      <w:spacing w:val="6"/>
                      <w:sz w:val="21"/>
                      <w:szCs w:val="21"/>
                      <w:lang w:val="en-US" w:eastAsia="zh-CN"/>
                    </w:rPr>
                    <w:br w:type="textWrapping"/>
                  </w:r>
                  <w:r>
                    <w:rPr>
                      <w:rFonts w:ascii="Times New Roman" w:hAnsi="Times New Roman" w:eastAsia="宋体"/>
                      <w:color w:val="auto"/>
                      <w:spacing w:val="6"/>
                      <w:sz w:val="21"/>
                      <w:szCs w:val="21"/>
                      <w:lang w:val="en-US" w:eastAsia="zh-CN"/>
                    </w:rPr>
                    <w:t>mg/L</w:t>
                  </w:r>
                </w:p>
              </w:tc>
              <w:tc>
                <w:tcPr>
                  <w:tcW w:w="1030" w:type="dxa"/>
                  <w:tcBorders>
                    <w:tl2br w:val="nil"/>
                    <w:tr2bl w:val="nil"/>
                  </w:tcBorders>
                  <w:shd w:val="clear" w:color="auto" w:fill="auto"/>
                  <w:vAlign w:val="center"/>
                </w:tcPr>
                <w:p w14:paraId="58105AF6">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排放</w:t>
                  </w:r>
                  <w:r>
                    <w:rPr>
                      <w:rFonts w:ascii="Times New Roman" w:hAnsi="Times New Roman" w:eastAsia="宋体"/>
                      <w:color w:val="auto"/>
                      <w:spacing w:val="6"/>
                      <w:sz w:val="21"/>
                      <w:szCs w:val="21"/>
                      <w:lang w:val="en-US" w:eastAsia="zh-CN"/>
                    </w:rPr>
                    <w:br w:type="textWrapping"/>
                  </w:r>
                  <w:r>
                    <w:rPr>
                      <w:rFonts w:ascii="Times New Roman" w:hAnsi="Times New Roman" w:eastAsia="宋体"/>
                      <w:color w:val="auto"/>
                      <w:spacing w:val="6"/>
                      <w:sz w:val="21"/>
                      <w:szCs w:val="21"/>
                      <w:lang w:val="en-US" w:eastAsia="zh-CN"/>
                    </w:rPr>
                    <w:t>量t/a</w:t>
                  </w:r>
                </w:p>
              </w:tc>
              <w:tc>
                <w:tcPr>
                  <w:tcW w:w="638" w:type="dxa"/>
                  <w:tcBorders>
                    <w:tl2br w:val="nil"/>
                    <w:tr2bl w:val="nil"/>
                  </w:tcBorders>
                  <w:shd w:val="clear" w:color="auto" w:fill="auto"/>
                  <w:vAlign w:val="center"/>
                </w:tcPr>
                <w:p w14:paraId="2AF6EC1D">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浓度</w:t>
                  </w:r>
                  <w:r>
                    <w:rPr>
                      <w:rFonts w:ascii="Times New Roman" w:hAnsi="Times New Roman" w:eastAsia="宋体"/>
                      <w:color w:val="auto"/>
                      <w:spacing w:val="6"/>
                      <w:sz w:val="21"/>
                      <w:szCs w:val="21"/>
                      <w:lang w:val="en-US" w:eastAsia="zh-CN"/>
                    </w:rPr>
                    <w:br w:type="textWrapping"/>
                  </w:r>
                  <w:r>
                    <w:rPr>
                      <w:rFonts w:ascii="Times New Roman" w:hAnsi="Times New Roman" w:eastAsia="宋体"/>
                      <w:color w:val="auto"/>
                      <w:spacing w:val="6"/>
                      <w:sz w:val="21"/>
                      <w:szCs w:val="21"/>
                      <w:lang w:val="en-US" w:eastAsia="zh-CN"/>
                    </w:rPr>
                    <w:t>mg/L</w:t>
                  </w:r>
                </w:p>
              </w:tc>
              <w:tc>
                <w:tcPr>
                  <w:tcW w:w="1030" w:type="dxa"/>
                  <w:tcBorders>
                    <w:tl2br w:val="nil"/>
                    <w:tr2bl w:val="nil"/>
                  </w:tcBorders>
                  <w:shd w:val="clear" w:color="auto" w:fill="auto"/>
                  <w:vAlign w:val="center"/>
                </w:tcPr>
                <w:p w14:paraId="3D14E90B">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排放量</w:t>
                  </w:r>
                  <w:r>
                    <w:rPr>
                      <w:rFonts w:ascii="Times New Roman" w:hAnsi="Times New Roman" w:eastAsia="宋体"/>
                      <w:color w:val="auto"/>
                      <w:spacing w:val="6"/>
                      <w:sz w:val="21"/>
                      <w:szCs w:val="21"/>
                      <w:lang w:val="en-US" w:eastAsia="zh-CN"/>
                    </w:rPr>
                    <w:br w:type="textWrapping"/>
                  </w:r>
                  <w:r>
                    <w:rPr>
                      <w:rFonts w:ascii="Times New Roman" w:hAnsi="Times New Roman" w:eastAsia="宋体"/>
                      <w:color w:val="auto"/>
                      <w:spacing w:val="6"/>
                      <w:sz w:val="21"/>
                      <w:szCs w:val="21"/>
                      <w:lang w:val="en-US" w:eastAsia="zh-CN"/>
                    </w:rPr>
                    <w:t>t/a</w:t>
                  </w:r>
                </w:p>
              </w:tc>
            </w:tr>
            <w:tr w14:paraId="2AA57C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1210" w:type="dxa"/>
                  <w:vMerge w:val="restart"/>
                  <w:tcBorders>
                    <w:tl2br w:val="nil"/>
                    <w:tr2bl w:val="nil"/>
                  </w:tcBorders>
                  <w:shd w:val="clear" w:color="auto" w:fill="auto"/>
                  <w:vAlign w:val="center"/>
                </w:tcPr>
                <w:p w14:paraId="7AE88FD4">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生活污水</w:t>
                  </w:r>
                  <w:r>
                    <w:rPr>
                      <w:rFonts w:ascii="Times New Roman" w:hAnsi="Times New Roman" w:eastAsia="宋体"/>
                      <w:color w:val="auto"/>
                      <w:spacing w:val="6"/>
                      <w:sz w:val="21"/>
                      <w:szCs w:val="21"/>
                      <w:lang w:val="en-US" w:eastAsia="zh-CN"/>
                    </w:rPr>
                    <w:br w:type="textWrapping"/>
                  </w:r>
                  <w:r>
                    <w:rPr>
                      <w:rFonts w:hint="eastAsia" w:ascii="Times New Roman" w:hAnsi="Times New Roman" w:eastAsia="宋体"/>
                      <w:color w:val="auto"/>
                      <w:spacing w:val="6"/>
                      <w:sz w:val="21"/>
                      <w:szCs w:val="21"/>
                      <w:lang w:val="en-US" w:eastAsia="zh-CN"/>
                    </w:rPr>
                    <w:t>5956.8</w:t>
                  </w:r>
                  <w:r>
                    <w:rPr>
                      <w:rFonts w:ascii="Times New Roman" w:hAnsi="Times New Roman" w:eastAsia="宋体"/>
                      <w:color w:val="auto"/>
                      <w:spacing w:val="6"/>
                      <w:sz w:val="21"/>
                      <w:szCs w:val="21"/>
                      <w:lang w:val="en-US" w:eastAsia="zh-CN"/>
                    </w:rPr>
                    <w:t>m³/a</w:t>
                  </w:r>
                </w:p>
              </w:tc>
              <w:tc>
                <w:tcPr>
                  <w:tcW w:w="761" w:type="dxa"/>
                  <w:tcBorders>
                    <w:tl2br w:val="nil"/>
                    <w:tr2bl w:val="nil"/>
                  </w:tcBorders>
                  <w:shd w:val="clear" w:color="auto" w:fill="auto"/>
                  <w:vAlign w:val="center"/>
                </w:tcPr>
                <w:p w14:paraId="42081E7C">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COD</w:t>
                  </w:r>
                </w:p>
              </w:tc>
              <w:tc>
                <w:tcPr>
                  <w:tcW w:w="834" w:type="dxa"/>
                  <w:tcBorders>
                    <w:tl2br w:val="nil"/>
                    <w:tr2bl w:val="nil"/>
                  </w:tcBorders>
                  <w:shd w:val="clear" w:color="auto" w:fill="auto"/>
                  <w:vAlign w:val="center"/>
                </w:tcPr>
                <w:p w14:paraId="34C50106">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300</w:t>
                  </w:r>
                </w:p>
              </w:tc>
              <w:tc>
                <w:tcPr>
                  <w:tcW w:w="1095" w:type="dxa"/>
                  <w:tcBorders>
                    <w:tl2br w:val="nil"/>
                    <w:tr2bl w:val="nil"/>
                  </w:tcBorders>
                  <w:shd w:val="clear" w:color="auto" w:fill="auto"/>
                  <w:vAlign w:val="center"/>
                </w:tcPr>
                <w:p w14:paraId="262A4D90">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1.787</w:t>
                  </w:r>
                </w:p>
              </w:tc>
              <w:tc>
                <w:tcPr>
                  <w:tcW w:w="1694" w:type="dxa"/>
                  <w:vMerge w:val="restart"/>
                  <w:tcBorders>
                    <w:tl2br w:val="nil"/>
                    <w:tr2bl w:val="nil"/>
                  </w:tcBorders>
                  <w:shd w:val="clear" w:color="auto" w:fill="auto"/>
                  <w:vAlign w:val="center"/>
                </w:tcPr>
                <w:p w14:paraId="49FFEBC5">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经自建污水处理</w:t>
                  </w:r>
                  <w:r>
                    <w:rPr>
                      <w:rFonts w:hint="eastAsia" w:ascii="Times New Roman" w:hAnsi="Times New Roman"/>
                      <w:color w:val="auto"/>
                      <w:spacing w:val="6"/>
                      <w:sz w:val="21"/>
                      <w:szCs w:val="21"/>
                      <w:lang w:val="en-US" w:eastAsia="zh-CN"/>
                    </w:rPr>
                    <w:t>设施</w:t>
                  </w:r>
                  <w:r>
                    <w:rPr>
                      <w:rFonts w:ascii="Times New Roman" w:hAnsi="Times New Roman" w:eastAsia="宋体"/>
                      <w:color w:val="auto"/>
                      <w:spacing w:val="6"/>
                      <w:sz w:val="21"/>
                      <w:szCs w:val="21"/>
                      <w:lang w:val="en-US" w:eastAsia="zh-CN"/>
                    </w:rPr>
                    <w:t>处理后排至罗源</w:t>
                  </w:r>
                  <w:r>
                    <w:rPr>
                      <w:rFonts w:ascii="Times New Roman" w:hAnsi="Times New Roman" w:eastAsia="宋体"/>
                      <w:color w:val="auto"/>
                      <w:spacing w:val="6"/>
                      <w:sz w:val="21"/>
                      <w:szCs w:val="21"/>
                      <w:lang w:val="en-US" w:eastAsia="zh-CN"/>
                    </w:rPr>
                    <w:br w:type="textWrapping"/>
                  </w:r>
                  <w:r>
                    <w:rPr>
                      <w:rFonts w:ascii="Times New Roman" w:hAnsi="Times New Roman" w:eastAsia="宋体"/>
                      <w:color w:val="auto"/>
                      <w:spacing w:val="6"/>
                      <w:sz w:val="21"/>
                      <w:szCs w:val="21"/>
                      <w:lang w:val="en-US" w:eastAsia="zh-CN"/>
                    </w:rPr>
                    <w:t>县污水处理厂深度</w:t>
                  </w:r>
                  <w:r>
                    <w:rPr>
                      <w:rFonts w:hint="eastAsia" w:ascii="Times New Roman" w:hAnsi="Times New Roman"/>
                      <w:color w:val="auto"/>
                      <w:spacing w:val="6"/>
                      <w:sz w:val="21"/>
                      <w:szCs w:val="21"/>
                      <w:lang w:val="en-US" w:eastAsia="zh-CN"/>
                    </w:rPr>
                    <w:t>处理达到《城镇污水</w:t>
                  </w:r>
                  <w:r>
                    <w:rPr>
                      <w:rFonts w:ascii="Times New Roman" w:hAnsi="Times New Roman" w:eastAsia="宋体"/>
                      <w:color w:val="auto"/>
                      <w:spacing w:val="6"/>
                      <w:sz w:val="21"/>
                      <w:szCs w:val="21"/>
                      <w:lang w:val="en-US" w:eastAsia="zh-CN"/>
                    </w:rPr>
                    <w:br w:type="textWrapping"/>
                  </w:r>
                  <w:r>
                    <w:rPr>
                      <w:rFonts w:ascii="Times New Roman" w:hAnsi="Times New Roman" w:eastAsia="宋体"/>
                      <w:color w:val="auto"/>
                      <w:spacing w:val="6"/>
                      <w:sz w:val="21"/>
                      <w:szCs w:val="21"/>
                      <w:lang w:val="en-US" w:eastAsia="zh-CN"/>
                    </w:rPr>
                    <w:t>处理厂污染物排放标准》</w:t>
                  </w:r>
                  <w:r>
                    <w:rPr>
                      <w:rFonts w:ascii="Times New Roman" w:hAnsi="Times New Roman" w:eastAsia="宋体"/>
                      <w:color w:val="auto"/>
                      <w:spacing w:val="6"/>
                      <w:sz w:val="21"/>
                      <w:szCs w:val="21"/>
                      <w:lang w:val="en-US" w:eastAsia="zh-CN"/>
                    </w:rPr>
                    <w:br w:type="textWrapping"/>
                  </w:r>
                  <w:r>
                    <w:rPr>
                      <w:rFonts w:hint="eastAsia" w:ascii="Times New Roman" w:hAnsi="Times New Roman"/>
                      <w:color w:val="auto"/>
                      <w:spacing w:val="6"/>
                      <w:sz w:val="21"/>
                      <w:szCs w:val="21"/>
                      <w:lang w:val="en-US" w:eastAsia="zh-CN"/>
                    </w:rPr>
                    <w:t>（</w:t>
                  </w:r>
                  <w:r>
                    <w:rPr>
                      <w:rFonts w:ascii="Times New Roman" w:hAnsi="Times New Roman" w:eastAsia="宋体"/>
                      <w:color w:val="auto"/>
                      <w:spacing w:val="6"/>
                      <w:sz w:val="21"/>
                      <w:szCs w:val="21"/>
                      <w:lang w:val="en-US" w:eastAsia="zh-CN"/>
                    </w:rPr>
                    <w:t>GB18918-2002</w:t>
                  </w:r>
                  <w:r>
                    <w:rPr>
                      <w:rFonts w:hint="eastAsia" w:ascii="Times New Roman" w:hAnsi="Times New Roman"/>
                      <w:color w:val="auto"/>
                      <w:spacing w:val="6"/>
                      <w:sz w:val="21"/>
                      <w:szCs w:val="21"/>
                      <w:lang w:val="en-US" w:eastAsia="zh-CN"/>
                    </w:rPr>
                    <w:t>）</w:t>
                  </w:r>
                  <w:r>
                    <w:rPr>
                      <w:rFonts w:ascii="Times New Roman" w:hAnsi="Times New Roman" w:eastAsia="宋体"/>
                      <w:color w:val="auto"/>
                      <w:spacing w:val="6"/>
                      <w:sz w:val="21"/>
                      <w:szCs w:val="21"/>
                      <w:lang w:val="en-US" w:eastAsia="zh-CN"/>
                    </w:rPr>
                    <w:t>一级A标准</w:t>
                  </w:r>
                </w:p>
              </w:tc>
              <w:tc>
                <w:tcPr>
                  <w:tcW w:w="638" w:type="dxa"/>
                  <w:tcBorders>
                    <w:tl2br w:val="nil"/>
                    <w:tr2bl w:val="nil"/>
                  </w:tcBorders>
                  <w:shd w:val="clear" w:color="auto" w:fill="auto"/>
                  <w:vAlign w:val="center"/>
                </w:tcPr>
                <w:p w14:paraId="63D1C40F">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250</w:t>
                  </w:r>
                </w:p>
              </w:tc>
              <w:tc>
                <w:tcPr>
                  <w:tcW w:w="1030" w:type="dxa"/>
                  <w:tcBorders>
                    <w:tl2br w:val="nil"/>
                    <w:tr2bl w:val="nil"/>
                  </w:tcBorders>
                  <w:shd w:val="clear" w:color="auto" w:fill="auto"/>
                  <w:vAlign w:val="center"/>
                </w:tcPr>
                <w:p w14:paraId="1719E885">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1.4892</w:t>
                  </w:r>
                </w:p>
              </w:tc>
              <w:tc>
                <w:tcPr>
                  <w:tcW w:w="638" w:type="dxa"/>
                  <w:tcBorders>
                    <w:tl2br w:val="nil"/>
                    <w:tr2bl w:val="nil"/>
                  </w:tcBorders>
                  <w:shd w:val="clear" w:color="auto" w:fill="auto"/>
                  <w:vAlign w:val="center"/>
                </w:tcPr>
                <w:p w14:paraId="277F0779">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50</w:t>
                  </w:r>
                </w:p>
              </w:tc>
              <w:tc>
                <w:tcPr>
                  <w:tcW w:w="1030" w:type="dxa"/>
                  <w:tcBorders>
                    <w:tl2br w:val="nil"/>
                    <w:tr2bl w:val="nil"/>
                  </w:tcBorders>
                  <w:shd w:val="clear" w:color="auto" w:fill="auto"/>
                  <w:vAlign w:val="center"/>
                </w:tcPr>
                <w:p w14:paraId="7A654F39">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0.2978</w:t>
                  </w:r>
                </w:p>
              </w:tc>
            </w:tr>
            <w:tr w14:paraId="448889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1210" w:type="dxa"/>
                  <w:vMerge w:val="continue"/>
                  <w:tcBorders>
                    <w:tl2br w:val="nil"/>
                    <w:tr2bl w:val="nil"/>
                  </w:tcBorders>
                  <w:shd w:val="clear" w:color="auto" w:fill="auto"/>
                  <w:vAlign w:val="center"/>
                </w:tcPr>
                <w:p w14:paraId="17A2119C">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761" w:type="dxa"/>
                  <w:tcBorders>
                    <w:tl2br w:val="nil"/>
                    <w:tr2bl w:val="nil"/>
                  </w:tcBorders>
                  <w:shd w:val="clear" w:color="auto" w:fill="auto"/>
                  <w:vAlign w:val="center"/>
                </w:tcPr>
                <w:p w14:paraId="56CA037A">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BOD</w:t>
                  </w:r>
                  <w:r>
                    <w:rPr>
                      <w:rFonts w:hint="eastAsia" w:ascii="Times New Roman" w:hAnsi="Times New Roman"/>
                      <w:color w:val="auto"/>
                      <w:spacing w:val="6"/>
                      <w:sz w:val="21"/>
                      <w:szCs w:val="21"/>
                      <w:vertAlign w:val="subscript"/>
                      <w:lang w:val="en-US" w:eastAsia="zh-CN"/>
                    </w:rPr>
                    <w:t>5</w:t>
                  </w:r>
                </w:p>
              </w:tc>
              <w:tc>
                <w:tcPr>
                  <w:tcW w:w="834" w:type="dxa"/>
                  <w:tcBorders>
                    <w:tl2br w:val="nil"/>
                    <w:tr2bl w:val="nil"/>
                  </w:tcBorders>
                  <w:shd w:val="clear" w:color="auto" w:fill="auto"/>
                  <w:vAlign w:val="center"/>
                </w:tcPr>
                <w:p w14:paraId="1247446B">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150</w:t>
                  </w:r>
                </w:p>
              </w:tc>
              <w:tc>
                <w:tcPr>
                  <w:tcW w:w="1095" w:type="dxa"/>
                  <w:tcBorders>
                    <w:tl2br w:val="nil"/>
                    <w:tr2bl w:val="nil"/>
                  </w:tcBorders>
                  <w:shd w:val="clear" w:color="auto" w:fill="auto"/>
                  <w:vAlign w:val="center"/>
                </w:tcPr>
                <w:p w14:paraId="7D1E59A2">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0.5935</w:t>
                  </w:r>
                </w:p>
              </w:tc>
              <w:tc>
                <w:tcPr>
                  <w:tcW w:w="1694" w:type="dxa"/>
                  <w:vMerge w:val="continue"/>
                  <w:tcBorders>
                    <w:tl2br w:val="nil"/>
                    <w:tr2bl w:val="nil"/>
                  </w:tcBorders>
                  <w:shd w:val="clear" w:color="auto" w:fill="auto"/>
                  <w:vAlign w:val="center"/>
                </w:tcPr>
                <w:p w14:paraId="00EC7C6E">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638" w:type="dxa"/>
                  <w:tcBorders>
                    <w:tl2br w:val="nil"/>
                    <w:tr2bl w:val="nil"/>
                  </w:tcBorders>
                  <w:shd w:val="clear" w:color="auto" w:fill="auto"/>
                  <w:vAlign w:val="center"/>
                </w:tcPr>
                <w:p w14:paraId="53478E39">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100</w:t>
                  </w:r>
                </w:p>
              </w:tc>
              <w:tc>
                <w:tcPr>
                  <w:tcW w:w="1030" w:type="dxa"/>
                  <w:tcBorders>
                    <w:tl2br w:val="nil"/>
                    <w:tr2bl w:val="nil"/>
                  </w:tcBorders>
                  <w:shd w:val="clear" w:color="auto" w:fill="auto"/>
                  <w:vAlign w:val="center"/>
                </w:tcPr>
                <w:p w14:paraId="7CD2CCF0">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0.5957</w:t>
                  </w:r>
                </w:p>
              </w:tc>
              <w:tc>
                <w:tcPr>
                  <w:tcW w:w="638" w:type="dxa"/>
                  <w:tcBorders>
                    <w:tl2br w:val="nil"/>
                    <w:tr2bl w:val="nil"/>
                  </w:tcBorders>
                  <w:shd w:val="clear" w:color="auto" w:fill="auto"/>
                  <w:vAlign w:val="center"/>
                </w:tcPr>
                <w:p w14:paraId="1A011B23">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10</w:t>
                  </w:r>
                </w:p>
              </w:tc>
              <w:tc>
                <w:tcPr>
                  <w:tcW w:w="1030" w:type="dxa"/>
                  <w:tcBorders>
                    <w:tl2br w:val="nil"/>
                    <w:tr2bl w:val="nil"/>
                  </w:tcBorders>
                  <w:shd w:val="clear" w:color="auto" w:fill="auto"/>
                  <w:vAlign w:val="center"/>
                </w:tcPr>
                <w:p w14:paraId="2B8F8E99">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0.0596</w:t>
                  </w:r>
                </w:p>
              </w:tc>
            </w:tr>
            <w:tr w14:paraId="71DBE2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1210" w:type="dxa"/>
                  <w:vMerge w:val="continue"/>
                  <w:tcBorders>
                    <w:tl2br w:val="nil"/>
                    <w:tr2bl w:val="nil"/>
                  </w:tcBorders>
                  <w:shd w:val="clear" w:color="auto" w:fill="auto"/>
                  <w:vAlign w:val="center"/>
                </w:tcPr>
                <w:p w14:paraId="033E16B3">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761" w:type="dxa"/>
                  <w:tcBorders>
                    <w:tl2br w:val="nil"/>
                    <w:tr2bl w:val="nil"/>
                  </w:tcBorders>
                  <w:shd w:val="clear" w:color="auto" w:fill="auto"/>
                  <w:vAlign w:val="center"/>
                </w:tcPr>
                <w:p w14:paraId="7C94C1ED">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NH₃-N</w:t>
                  </w:r>
                </w:p>
              </w:tc>
              <w:tc>
                <w:tcPr>
                  <w:tcW w:w="834" w:type="dxa"/>
                  <w:tcBorders>
                    <w:tl2br w:val="nil"/>
                    <w:tr2bl w:val="nil"/>
                  </w:tcBorders>
                  <w:shd w:val="clear" w:color="auto" w:fill="auto"/>
                  <w:vAlign w:val="center"/>
                </w:tcPr>
                <w:p w14:paraId="718224B4">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35</w:t>
                  </w:r>
                </w:p>
              </w:tc>
              <w:tc>
                <w:tcPr>
                  <w:tcW w:w="1095" w:type="dxa"/>
                  <w:tcBorders>
                    <w:tl2br w:val="nil"/>
                    <w:tr2bl w:val="nil"/>
                  </w:tcBorders>
                  <w:shd w:val="clear" w:color="auto" w:fill="auto"/>
                  <w:vAlign w:val="center"/>
                </w:tcPr>
                <w:p w14:paraId="4CE17647">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0.2085</w:t>
                  </w:r>
                </w:p>
              </w:tc>
              <w:tc>
                <w:tcPr>
                  <w:tcW w:w="1694" w:type="dxa"/>
                  <w:vMerge w:val="continue"/>
                  <w:tcBorders>
                    <w:tl2br w:val="nil"/>
                    <w:tr2bl w:val="nil"/>
                  </w:tcBorders>
                  <w:shd w:val="clear" w:color="auto" w:fill="auto"/>
                  <w:vAlign w:val="center"/>
                </w:tcPr>
                <w:p w14:paraId="52DF4594">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638" w:type="dxa"/>
                  <w:tcBorders>
                    <w:tl2br w:val="nil"/>
                    <w:tr2bl w:val="nil"/>
                  </w:tcBorders>
                  <w:shd w:val="clear" w:color="auto" w:fill="auto"/>
                  <w:vAlign w:val="center"/>
                </w:tcPr>
                <w:p w14:paraId="75213161">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25</w:t>
                  </w:r>
                </w:p>
              </w:tc>
              <w:tc>
                <w:tcPr>
                  <w:tcW w:w="1030" w:type="dxa"/>
                  <w:tcBorders>
                    <w:tl2br w:val="nil"/>
                    <w:tr2bl w:val="nil"/>
                  </w:tcBorders>
                  <w:shd w:val="clear" w:color="auto" w:fill="auto"/>
                  <w:vAlign w:val="center"/>
                </w:tcPr>
                <w:p w14:paraId="33A0D640">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color w:val="auto"/>
                      <w:spacing w:val="6"/>
                      <w:sz w:val="21"/>
                      <w:szCs w:val="21"/>
                      <w:lang w:val="en-US" w:eastAsia="zh-CN"/>
                    </w:rPr>
                  </w:pPr>
                  <w:r>
                    <w:rPr>
                      <w:rFonts w:hint="default" w:ascii="Times New Roman" w:hAnsi="Times New Roman"/>
                      <w:color w:val="auto"/>
                      <w:spacing w:val="6"/>
                      <w:sz w:val="21"/>
                      <w:szCs w:val="21"/>
                      <w:lang w:val="en-US" w:eastAsia="zh-CN"/>
                    </w:rPr>
                    <w:t>0.1489</w:t>
                  </w:r>
                </w:p>
              </w:tc>
              <w:tc>
                <w:tcPr>
                  <w:tcW w:w="638" w:type="dxa"/>
                  <w:tcBorders>
                    <w:tl2br w:val="nil"/>
                    <w:tr2bl w:val="nil"/>
                  </w:tcBorders>
                  <w:shd w:val="clear" w:color="auto" w:fill="auto"/>
                  <w:vAlign w:val="center"/>
                </w:tcPr>
                <w:p w14:paraId="1DBEE31A">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5</w:t>
                  </w:r>
                </w:p>
              </w:tc>
              <w:tc>
                <w:tcPr>
                  <w:tcW w:w="1030" w:type="dxa"/>
                  <w:tcBorders>
                    <w:tl2br w:val="nil"/>
                    <w:tr2bl w:val="nil"/>
                  </w:tcBorders>
                  <w:shd w:val="clear" w:color="auto" w:fill="auto"/>
                  <w:vAlign w:val="center"/>
                </w:tcPr>
                <w:p w14:paraId="20E65B47">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0.0298</w:t>
                  </w:r>
                </w:p>
              </w:tc>
            </w:tr>
            <w:tr w14:paraId="55525D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1210" w:type="dxa"/>
                  <w:vMerge w:val="continue"/>
                  <w:tcBorders>
                    <w:tl2br w:val="nil"/>
                    <w:tr2bl w:val="nil"/>
                  </w:tcBorders>
                  <w:shd w:val="clear" w:color="auto" w:fill="auto"/>
                  <w:vAlign w:val="center"/>
                </w:tcPr>
                <w:p w14:paraId="6B2855F2">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761" w:type="dxa"/>
                  <w:tcBorders>
                    <w:tl2br w:val="nil"/>
                    <w:tr2bl w:val="nil"/>
                  </w:tcBorders>
                  <w:shd w:val="clear" w:color="auto" w:fill="auto"/>
                  <w:vAlign w:val="center"/>
                </w:tcPr>
                <w:p w14:paraId="5B3E3D52">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SS</w:t>
                  </w:r>
                </w:p>
              </w:tc>
              <w:tc>
                <w:tcPr>
                  <w:tcW w:w="834" w:type="dxa"/>
                  <w:tcBorders>
                    <w:tl2br w:val="nil"/>
                    <w:tr2bl w:val="nil"/>
                  </w:tcBorders>
                  <w:shd w:val="clear" w:color="auto" w:fill="auto"/>
                  <w:vAlign w:val="center"/>
                </w:tcPr>
                <w:p w14:paraId="0995AC91">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150</w:t>
                  </w:r>
                </w:p>
              </w:tc>
              <w:tc>
                <w:tcPr>
                  <w:tcW w:w="1095" w:type="dxa"/>
                  <w:tcBorders>
                    <w:tl2br w:val="nil"/>
                    <w:tr2bl w:val="nil"/>
                  </w:tcBorders>
                  <w:shd w:val="clear" w:color="auto" w:fill="auto"/>
                  <w:vAlign w:val="center"/>
                </w:tcPr>
                <w:p w14:paraId="04509787">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color w:val="auto"/>
                      <w:spacing w:val="6"/>
                      <w:sz w:val="21"/>
                      <w:szCs w:val="21"/>
                      <w:lang w:val="en-US" w:eastAsia="zh-CN"/>
                    </w:rPr>
                  </w:pPr>
                  <w:r>
                    <w:rPr>
                      <w:rFonts w:hint="eastAsia" w:ascii="Times New Roman" w:hAnsi="Times New Roman"/>
                      <w:color w:val="auto"/>
                      <w:spacing w:val="6"/>
                      <w:sz w:val="21"/>
                      <w:szCs w:val="21"/>
                      <w:lang w:val="en-US" w:eastAsia="zh-CN"/>
                    </w:rPr>
                    <w:t>0.8935</w:t>
                  </w:r>
                </w:p>
              </w:tc>
              <w:tc>
                <w:tcPr>
                  <w:tcW w:w="1694" w:type="dxa"/>
                  <w:vMerge w:val="continue"/>
                  <w:tcBorders>
                    <w:tl2br w:val="nil"/>
                    <w:tr2bl w:val="nil"/>
                  </w:tcBorders>
                  <w:shd w:val="clear" w:color="auto" w:fill="auto"/>
                  <w:vAlign w:val="center"/>
                </w:tcPr>
                <w:p w14:paraId="7E309347">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638" w:type="dxa"/>
                  <w:tcBorders>
                    <w:tl2br w:val="nil"/>
                    <w:tr2bl w:val="nil"/>
                  </w:tcBorders>
                  <w:shd w:val="clear" w:color="auto" w:fill="auto"/>
                  <w:vAlign w:val="center"/>
                </w:tcPr>
                <w:p w14:paraId="4F99A047">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90</w:t>
                  </w:r>
                </w:p>
              </w:tc>
              <w:tc>
                <w:tcPr>
                  <w:tcW w:w="1030" w:type="dxa"/>
                  <w:tcBorders>
                    <w:tl2br w:val="nil"/>
                    <w:tr2bl w:val="nil"/>
                  </w:tcBorders>
                  <w:shd w:val="clear" w:color="auto" w:fill="auto"/>
                  <w:vAlign w:val="center"/>
                </w:tcPr>
                <w:p w14:paraId="3636DE46">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color w:val="auto"/>
                      <w:spacing w:val="6"/>
                      <w:sz w:val="21"/>
                      <w:szCs w:val="21"/>
                      <w:lang w:val="en-US" w:eastAsia="zh-CN"/>
                    </w:rPr>
                  </w:pPr>
                  <w:r>
                    <w:rPr>
                      <w:rFonts w:hint="eastAsia" w:ascii="Times New Roman" w:hAnsi="Times New Roman"/>
                      <w:color w:val="auto"/>
                      <w:spacing w:val="6"/>
                      <w:sz w:val="21"/>
                      <w:szCs w:val="21"/>
                      <w:lang w:val="en-US" w:eastAsia="zh-CN"/>
                    </w:rPr>
                    <w:t>0.5361</w:t>
                  </w:r>
                </w:p>
              </w:tc>
              <w:tc>
                <w:tcPr>
                  <w:tcW w:w="638" w:type="dxa"/>
                  <w:tcBorders>
                    <w:tl2br w:val="nil"/>
                    <w:tr2bl w:val="nil"/>
                  </w:tcBorders>
                  <w:shd w:val="clear" w:color="auto" w:fill="auto"/>
                  <w:vAlign w:val="center"/>
                </w:tcPr>
                <w:p w14:paraId="129B591A">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10</w:t>
                  </w:r>
                </w:p>
              </w:tc>
              <w:tc>
                <w:tcPr>
                  <w:tcW w:w="1030" w:type="dxa"/>
                  <w:tcBorders>
                    <w:tl2br w:val="nil"/>
                    <w:tr2bl w:val="nil"/>
                  </w:tcBorders>
                  <w:shd w:val="clear" w:color="auto" w:fill="auto"/>
                  <w:vAlign w:val="center"/>
                </w:tcPr>
                <w:p w14:paraId="52C2783F">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color w:val="auto"/>
                      <w:spacing w:val="6"/>
                      <w:sz w:val="21"/>
                      <w:szCs w:val="21"/>
                      <w:lang w:val="en-US" w:eastAsia="zh-CN"/>
                    </w:rPr>
                  </w:pPr>
                  <w:r>
                    <w:rPr>
                      <w:rFonts w:hint="eastAsia" w:ascii="Times New Roman" w:hAnsi="Times New Roman"/>
                      <w:color w:val="auto"/>
                      <w:spacing w:val="6"/>
                      <w:sz w:val="21"/>
                      <w:szCs w:val="21"/>
                      <w:lang w:val="en-US" w:eastAsia="zh-CN"/>
                    </w:rPr>
                    <w:t>0.0596</w:t>
                  </w:r>
                </w:p>
              </w:tc>
            </w:tr>
            <w:tr w14:paraId="5DBA19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1210" w:type="dxa"/>
                  <w:vMerge w:val="restart"/>
                  <w:tcBorders>
                    <w:tl2br w:val="nil"/>
                    <w:tr2bl w:val="nil"/>
                  </w:tcBorders>
                  <w:shd w:val="clear" w:color="auto" w:fill="auto"/>
                  <w:vAlign w:val="center"/>
                </w:tcPr>
                <w:p w14:paraId="04A42DAA">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门诊废水</w:t>
                  </w:r>
                  <w:r>
                    <w:rPr>
                      <w:rFonts w:ascii="Times New Roman" w:hAnsi="Times New Roman" w:eastAsia="宋体"/>
                      <w:color w:val="auto"/>
                      <w:spacing w:val="6"/>
                      <w:sz w:val="21"/>
                      <w:szCs w:val="21"/>
                      <w:lang w:val="en-US" w:eastAsia="zh-CN"/>
                    </w:rPr>
                    <w:br w:type="textWrapping"/>
                  </w:r>
                  <w:r>
                    <w:rPr>
                      <w:rFonts w:hint="eastAsia" w:ascii="Times New Roman" w:hAnsi="Times New Roman" w:eastAsia="宋体"/>
                      <w:color w:val="auto"/>
                      <w:spacing w:val="6"/>
                      <w:sz w:val="21"/>
                      <w:szCs w:val="21"/>
                      <w:lang w:val="en-US" w:eastAsia="zh-CN"/>
                    </w:rPr>
                    <w:t>2987.71</w:t>
                  </w:r>
                  <w:r>
                    <w:rPr>
                      <w:rFonts w:ascii="Times New Roman" w:hAnsi="Times New Roman" w:eastAsia="宋体"/>
                      <w:color w:val="auto"/>
                      <w:spacing w:val="6"/>
                      <w:sz w:val="21"/>
                      <w:szCs w:val="21"/>
                      <w:lang w:val="en-US" w:eastAsia="zh-CN"/>
                    </w:rPr>
                    <w:t>m³/a</w:t>
                  </w:r>
                </w:p>
              </w:tc>
              <w:tc>
                <w:tcPr>
                  <w:tcW w:w="761" w:type="dxa"/>
                  <w:tcBorders>
                    <w:tl2br w:val="nil"/>
                    <w:tr2bl w:val="nil"/>
                  </w:tcBorders>
                  <w:shd w:val="clear" w:color="auto" w:fill="auto"/>
                  <w:vAlign w:val="center"/>
                </w:tcPr>
                <w:p w14:paraId="3E9776D5">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COD</w:t>
                  </w:r>
                </w:p>
              </w:tc>
              <w:tc>
                <w:tcPr>
                  <w:tcW w:w="834" w:type="dxa"/>
                  <w:tcBorders>
                    <w:tl2br w:val="nil"/>
                    <w:tr2bl w:val="nil"/>
                  </w:tcBorders>
                  <w:shd w:val="clear" w:color="auto" w:fill="auto"/>
                  <w:vAlign w:val="center"/>
                </w:tcPr>
                <w:p w14:paraId="07D4376D">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300</w:t>
                  </w:r>
                </w:p>
              </w:tc>
              <w:tc>
                <w:tcPr>
                  <w:tcW w:w="1095" w:type="dxa"/>
                  <w:tcBorders>
                    <w:tl2br w:val="nil"/>
                    <w:tr2bl w:val="nil"/>
                  </w:tcBorders>
                  <w:shd w:val="clear" w:color="auto" w:fill="auto"/>
                  <w:vAlign w:val="center"/>
                </w:tcPr>
                <w:p w14:paraId="6E310DBF">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0.8963</w:t>
                  </w:r>
                </w:p>
              </w:tc>
              <w:tc>
                <w:tcPr>
                  <w:tcW w:w="1694" w:type="dxa"/>
                  <w:vMerge w:val="continue"/>
                  <w:tcBorders>
                    <w:tl2br w:val="nil"/>
                    <w:tr2bl w:val="nil"/>
                  </w:tcBorders>
                  <w:shd w:val="clear" w:color="auto" w:fill="auto"/>
                  <w:vAlign w:val="center"/>
                </w:tcPr>
                <w:p w14:paraId="503C2DAF">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638" w:type="dxa"/>
                  <w:tcBorders>
                    <w:tl2br w:val="nil"/>
                    <w:tr2bl w:val="nil"/>
                  </w:tcBorders>
                  <w:shd w:val="clear" w:color="auto" w:fill="auto"/>
                  <w:vAlign w:val="center"/>
                </w:tcPr>
                <w:p w14:paraId="6A305F84">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250</w:t>
                  </w:r>
                </w:p>
              </w:tc>
              <w:tc>
                <w:tcPr>
                  <w:tcW w:w="1030" w:type="dxa"/>
                  <w:tcBorders>
                    <w:tl2br w:val="nil"/>
                    <w:tr2bl w:val="nil"/>
                  </w:tcBorders>
                  <w:shd w:val="clear" w:color="auto" w:fill="auto"/>
                  <w:vAlign w:val="center"/>
                </w:tcPr>
                <w:p w14:paraId="6D48905E">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0.7469</w:t>
                  </w:r>
                </w:p>
              </w:tc>
              <w:tc>
                <w:tcPr>
                  <w:tcW w:w="638" w:type="dxa"/>
                  <w:tcBorders>
                    <w:tl2br w:val="nil"/>
                    <w:tr2bl w:val="nil"/>
                  </w:tcBorders>
                  <w:shd w:val="clear" w:color="auto" w:fill="auto"/>
                  <w:vAlign w:val="center"/>
                </w:tcPr>
                <w:p w14:paraId="19FC13A6">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50</w:t>
                  </w:r>
                </w:p>
              </w:tc>
              <w:tc>
                <w:tcPr>
                  <w:tcW w:w="1030" w:type="dxa"/>
                  <w:tcBorders>
                    <w:tl2br w:val="nil"/>
                    <w:tr2bl w:val="nil"/>
                  </w:tcBorders>
                  <w:shd w:val="clear" w:color="auto" w:fill="auto"/>
                  <w:vAlign w:val="center"/>
                </w:tcPr>
                <w:p w14:paraId="5C1640BA">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0.1494</w:t>
                  </w:r>
                </w:p>
              </w:tc>
            </w:tr>
            <w:tr w14:paraId="5C84274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1210" w:type="dxa"/>
                  <w:vMerge w:val="continue"/>
                  <w:tcBorders>
                    <w:tl2br w:val="nil"/>
                    <w:tr2bl w:val="nil"/>
                  </w:tcBorders>
                  <w:shd w:val="clear" w:color="auto" w:fill="auto"/>
                  <w:vAlign w:val="center"/>
                </w:tcPr>
                <w:p w14:paraId="408C6D49">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761" w:type="dxa"/>
                  <w:tcBorders>
                    <w:tl2br w:val="nil"/>
                    <w:tr2bl w:val="nil"/>
                  </w:tcBorders>
                  <w:shd w:val="clear" w:color="auto" w:fill="auto"/>
                  <w:vAlign w:val="center"/>
                </w:tcPr>
                <w:p w14:paraId="1FF72B28">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BOD</w:t>
                  </w:r>
                  <w:r>
                    <w:rPr>
                      <w:rFonts w:hint="eastAsia" w:ascii="Times New Roman" w:hAnsi="Times New Roman"/>
                      <w:color w:val="auto"/>
                      <w:spacing w:val="6"/>
                      <w:sz w:val="21"/>
                      <w:szCs w:val="21"/>
                      <w:vertAlign w:val="subscript"/>
                      <w:lang w:val="en-US" w:eastAsia="zh-CN"/>
                    </w:rPr>
                    <w:t>5</w:t>
                  </w:r>
                </w:p>
              </w:tc>
              <w:tc>
                <w:tcPr>
                  <w:tcW w:w="834" w:type="dxa"/>
                  <w:tcBorders>
                    <w:tl2br w:val="nil"/>
                    <w:tr2bl w:val="nil"/>
                  </w:tcBorders>
                  <w:shd w:val="clear" w:color="auto" w:fill="auto"/>
                  <w:vAlign w:val="center"/>
                </w:tcPr>
                <w:p w14:paraId="21D7EF1C">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150</w:t>
                  </w:r>
                </w:p>
              </w:tc>
              <w:tc>
                <w:tcPr>
                  <w:tcW w:w="1095" w:type="dxa"/>
                  <w:tcBorders>
                    <w:tl2br w:val="nil"/>
                    <w:tr2bl w:val="nil"/>
                  </w:tcBorders>
                  <w:shd w:val="clear" w:color="auto" w:fill="auto"/>
                  <w:vAlign w:val="center"/>
                </w:tcPr>
                <w:p w14:paraId="293A4F8E">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0.4482</w:t>
                  </w:r>
                </w:p>
              </w:tc>
              <w:tc>
                <w:tcPr>
                  <w:tcW w:w="1694" w:type="dxa"/>
                  <w:vMerge w:val="continue"/>
                  <w:tcBorders>
                    <w:tl2br w:val="nil"/>
                    <w:tr2bl w:val="nil"/>
                  </w:tcBorders>
                  <w:shd w:val="clear" w:color="auto" w:fill="auto"/>
                  <w:vAlign w:val="center"/>
                </w:tcPr>
                <w:p w14:paraId="4126F9E2">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638" w:type="dxa"/>
                  <w:tcBorders>
                    <w:tl2br w:val="nil"/>
                    <w:tr2bl w:val="nil"/>
                  </w:tcBorders>
                  <w:shd w:val="clear" w:color="auto" w:fill="auto"/>
                  <w:vAlign w:val="center"/>
                </w:tcPr>
                <w:p w14:paraId="2E6E1444">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100</w:t>
                  </w:r>
                </w:p>
              </w:tc>
              <w:tc>
                <w:tcPr>
                  <w:tcW w:w="1030" w:type="dxa"/>
                  <w:tcBorders>
                    <w:tl2br w:val="nil"/>
                    <w:tr2bl w:val="nil"/>
                  </w:tcBorders>
                  <w:shd w:val="clear" w:color="auto" w:fill="auto"/>
                  <w:vAlign w:val="center"/>
                </w:tcPr>
                <w:p w14:paraId="4D9EDCA2">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0.2988</w:t>
                  </w:r>
                </w:p>
              </w:tc>
              <w:tc>
                <w:tcPr>
                  <w:tcW w:w="638" w:type="dxa"/>
                  <w:tcBorders>
                    <w:tl2br w:val="nil"/>
                    <w:tr2bl w:val="nil"/>
                  </w:tcBorders>
                  <w:shd w:val="clear" w:color="auto" w:fill="auto"/>
                  <w:vAlign w:val="center"/>
                </w:tcPr>
                <w:p w14:paraId="7CA5987F">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10</w:t>
                  </w:r>
                </w:p>
              </w:tc>
              <w:tc>
                <w:tcPr>
                  <w:tcW w:w="1030" w:type="dxa"/>
                  <w:tcBorders>
                    <w:tl2br w:val="nil"/>
                    <w:tr2bl w:val="nil"/>
                  </w:tcBorders>
                  <w:shd w:val="clear" w:color="auto" w:fill="auto"/>
                  <w:vAlign w:val="center"/>
                </w:tcPr>
                <w:p w14:paraId="15A20719">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0.0299</w:t>
                  </w:r>
                </w:p>
              </w:tc>
            </w:tr>
            <w:tr w14:paraId="506A1A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1210" w:type="dxa"/>
                  <w:vMerge w:val="continue"/>
                  <w:tcBorders>
                    <w:tl2br w:val="nil"/>
                    <w:tr2bl w:val="nil"/>
                  </w:tcBorders>
                  <w:shd w:val="clear" w:color="auto" w:fill="auto"/>
                  <w:vAlign w:val="center"/>
                </w:tcPr>
                <w:p w14:paraId="48192295">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761" w:type="dxa"/>
                  <w:tcBorders>
                    <w:tl2br w:val="nil"/>
                    <w:tr2bl w:val="nil"/>
                  </w:tcBorders>
                  <w:shd w:val="clear" w:color="auto" w:fill="auto"/>
                  <w:vAlign w:val="center"/>
                </w:tcPr>
                <w:p w14:paraId="69EF2481">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NH₃-N</w:t>
                  </w:r>
                </w:p>
              </w:tc>
              <w:tc>
                <w:tcPr>
                  <w:tcW w:w="834" w:type="dxa"/>
                  <w:tcBorders>
                    <w:tl2br w:val="nil"/>
                    <w:tr2bl w:val="nil"/>
                  </w:tcBorders>
                  <w:shd w:val="clear" w:color="auto" w:fill="auto"/>
                  <w:vAlign w:val="center"/>
                </w:tcPr>
                <w:p w14:paraId="47168EE1">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30</w:t>
                  </w:r>
                </w:p>
              </w:tc>
              <w:tc>
                <w:tcPr>
                  <w:tcW w:w="1095" w:type="dxa"/>
                  <w:tcBorders>
                    <w:tl2br w:val="nil"/>
                    <w:tr2bl w:val="nil"/>
                  </w:tcBorders>
                  <w:shd w:val="clear" w:color="auto" w:fill="auto"/>
                  <w:vAlign w:val="center"/>
                </w:tcPr>
                <w:p w14:paraId="6DAAD645">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0.0896</w:t>
                  </w:r>
                </w:p>
              </w:tc>
              <w:tc>
                <w:tcPr>
                  <w:tcW w:w="1694" w:type="dxa"/>
                  <w:vMerge w:val="continue"/>
                  <w:tcBorders>
                    <w:tl2br w:val="nil"/>
                    <w:tr2bl w:val="nil"/>
                  </w:tcBorders>
                  <w:shd w:val="clear" w:color="auto" w:fill="auto"/>
                  <w:vAlign w:val="center"/>
                </w:tcPr>
                <w:p w14:paraId="536DD1D1">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638" w:type="dxa"/>
                  <w:tcBorders>
                    <w:tl2br w:val="nil"/>
                    <w:tr2bl w:val="nil"/>
                  </w:tcBorders>
                  <w:shd w:val="clear" w:color="auto" w:fill="auto"/>
                  <w:vAlign w:val="center"/>
                </w:tcPr>
                <w:p w14:paraId="59754ABE">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25</w:t>
                  </w:r>
                </w:p>
              </w:tc>
              <w:tc>
                <w:tcPr>
                  <w:tcW w:w="1030" w:type="dxa"/>
                  <w:tcBorders>
                    <w:tl2br w:val="nil"/>
                    <w:tr2bl w:val="nil"/>
                  </w:tcBorders>
                  <w:shd w:val="clear" w:color="auto" w:fill="auto"/>
                  <w:vAlign w:val="center"/>
                </w:tcPr>
                <w:p w14:paraId="155E80DF">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0.0747</w:t>
                  </w:r>
                </w:p>
              </w:tc>
              <w:tc>
                <w:tcPr>
                  <w:tcW w:w="638" w:type="dxa"/>
                  <w:tcBorders>
                    <w:tl2br w:val="nil"/>
                    <w:tr2bl w:val="nil"/>
                  </w:tcBorders>
                  <w:shd w:val="clear" w:color="auto" w:fill="auto"/>
                  <w:vAlign w:val="center"/>
                </w:tcPr>
                <w:p w14:paraId="3196A7CE">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5</w:t>
                  </w:r>
                </w:p>
              </w:tc>
              <w:tc>
                <w:tcPr>
                  <w:tcW w:w="1030" w:type="dxa"/>
                  <w:tcBorders>
                    <w:tl2br w:val="nil"/>
                    <w:tr2bl w:val="nil"/>
                  </w:tcBorders>
                  <w:shd w:val="clear" w:color="auto" w:fill="auto"/>
                  <w:vAlign w:val="center"/>
                </w:tcPr>
                <w:p w14:paraId="675D89E1">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0.0149</w:t>
                  </w:r>
                </w:p>
              </w:tc>
            </w:tr>
            <w:tr w14:paraId="0E03E8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1210" w:type="dxa"/>
                  <w:vMerge w:val="continue"/>
                  <w:tcBorders>
                    <w:tl2br w:val="nil"/>
                    <w:tr2bl w:val="nil"/>
                  </w:tcBorders>
                  <w:shd w:val="clear" w:color="auto" w:fill="auto"/>
                  <w:vAlign w:val="center"/>
                </w:tcPr>
                <w:p w14:paraId="5D49B8AC">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761" w:type="dxa"/>
                  <w:tcBorders>
                    <w:tl2br w:val="nil"/>
                    <w:tr2bl w:val="nil"/>
                  </w:tcBorders>
                  <w:shd w:val="clear" w:color="auto" w:fill="auto"/>
                  <w:vAlign w:val="center"/>
                </w:tcPr>
                <w:p w14:paraId="306E1940">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eastAsia="宋体"/>
                      <w:color w:val="auto"/>
                      <w:spacing w:val="6"/>
                      <w:sz w:val="21"/>
                      <w:szCs w:val="21"/>
                      <w:lang w:val="en-US" w:eastAsia="zh-CN"/>
                    </w:rPr>
                    <w:t>粪大肠菌群</w:t>
                  </w:r>
                </w:p>
              </w:tc>
              <w:tc>
                <w:tcPr>
                  <w:tcW w:w="834" w:type="dxa"/>
                  <w:tcBorders>
                    <w:tl2br w:val="nil"/>
                    <w:tr2bl w:val="nil"/>
                  </w:tcBorders>
                  <w:shd w:val="clear" w:color="auto" w:fill="auto"/>
                  <w:vAlign w:val="center"/>
                </w:tcPr>
                <w:p w14:paraId="2940D044">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hint="default" w:ascii="Times New Roman" w:hAnsi="Times New Roman" w:eastAsia="宋体"/>
                      <w:color w:val="auto"/>
                      <w:spacing w:val="6"/>
                      <w:sz w:val="21"/>
                      <w:szCs w:val="21"/>
                      <w:lang w:val="en-US" w:eastAsia="zh-CN"/>
                    </w:rPr>
                    <w:t>1.6×10</w:t>
                  </w:r>
                  <w:r>
                    <w:rPr>
                      <w:rFonts w:hint="default" w:ascii="Times New Roman" w:hAnsi="Times New Roman" w:eastAsia="宋体"/>
                      <w:color w:val="auto"/>
                      <w:spacing w:val="6"/>
                      <w:sz w:val="21"/>
                      <w:szCs w:val="21"/>
                      <w:vertAlign w:val="superscript"/>
                      <w:lang w:val="en-US" w:eastAsia="zh-CN"/>
                    </w:rPr>
                    <w:t>8</w:t>
                  </w:r>
                  <w:r>
                    <w:rPr>
                      <w:rFonts w:hint="eastAsia" w:ascii="Times New Roman" w:hAnsi="Times New Roman" w:eastAsia="宋体"/>
                      <w:color w:val="auto"/>
                      <w:spacing w:val="6"/>
                      <w:sz w:val="21"/>
                      <w:szCs w:val="21"/>
                      <w:lang w:val="en-US" w:eastAsia="zh-CN"/>
                    </w:rPr>
                    <w:t>个</w:t>
                  </w:r>
                  <w:r>
                    <w:rPr>
                      <w:rFonts w:hint="default" w:ascii="Times New Roman" w:hAnsi="Times New Roman" w:eastAsia="宋体"/>
                      <w:color w:val="auto"/>
                      <w:spacing w:val="6"/>
                      <w:sz w:val="21"/>
                      <w:szCs w:val="21"/>
                      <w:lang w:val="en-US" w:eastAsia="zh-CN"/>
                    </w:rPr>
                    <w:t>/L</w:t>
                  </w:r>
                </w:p>
              </w:tc>
              <w:tc>
                <w:tcPr>
                  <w:tcW w:w="1095" w:type="dxa"/>
                  <w:tcBorders>
                    <w:tl2br w:val="nil"/>
                    <w:tr2bl w:val="nil"/>
                  </w:tcBorders>
                  <w:shd w:val="clear" w:color="auto" w:fill="auto"/>
                  <w:vAlign w:val="center"/>
                </w:tcPr>
                <w:p w14:paraId="4F5FEA08">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4.78</w:t>
                  </w:r>
                  <w:r>
                    <w:rPr>
                      <w:rFonts w:hint="default" w:ascii="Times New Roman" w:hAnsi="Times New Roman" w:eastAsia="宋体"/>
                      <w:color w:val="auto"/>
                      <w:spacing w:val="6"/>
                      <w:sz w:val="21"/>
                      <w:szCs w:val="21"/>
                      <w:lang w:val="en-US" w:eastAsia="zh-CN"/>
                    </w:rPr>
                    <w:t>×10</w:t>
                  </w:r>
                  <w:r>
                    <w:rPr>
                      <w:rFonts w:hint="eastAsia" w:ascii="Times New Roman" w:hAnsi="Times New Roman"/>
                      <w:color w:val="auto"/>
                      <w:spacing w:val="6"/>
                      <w:sz w:val="21"/>
                      <w:szCs w:val="21"/>
                      <w:vertAlign w:val="superscript"/>
                      <w:lang w:val="en-US" w:eastAsia="zh-CN"/>
                    </w:rPr>
                    <w:t>14</w:t>
                  </w:r>
                  <w:r>
                    <w:rPr>
                      <w:rFonts w:hint="eastAsia" w:ascii="Times New Roman" w:hAnsi="Times New Roman" w:eastAsia="宋体"/>
                      <w:color w:val="auto"/>
                      <w:spacing w:val="6"/>
                      <w:sz w:val="21"/>
                      <w:szCs w:val="21"/>
                      <w:lang w:val="en-US" w:eastAsia="zh-CN"/>
                    </w:rPr>
                    <w:t>个</w:t>
                  </w:r>
                  <w:r>
                    <w:rPr>
                      <w:rFonts w:hint="default" w:ascii="Times New Roman" w:hAnsi="Times New Roman" w:eastAsia="宋体"/>
                      <w:color w:val="auto"/>
                      <w:spacing w:val="6"/>
                      <w:sz w:val="21"/>
                      <w:szCs w:val="21"/>
                      <w:lang w:val="en-US" w:eastAsia="zh-CN"/>
                    </w:rPr>
                    <w:t>/</w:t>
                  </w:r>
                  <w:r>
                    <w:rPr>
                      <w:rFonts w:hint="eastAsia" w:ascii="Times New Roman" w:hAnsi="Times New Roman"/>
                      <w:color w:val="auto"/>
                      <w:spacing w:val="6"/>
                      <w:sz w:val="21"/>
                      <w:szCs w:val="21"/>
                      <w:lang w:val="en-US" w:eastAsia="zh-CN"/>
                    </w:rPr>
                    <w:t>a</w:t>
                  </w:r>
                </w:p>
              </w:tc>
              <w:tc>
                <w:tcPr>
                  <w:tcW w:w="1694" w:type="dxa"/>
                  <w:vMerge w:val="continue"/>
                  <w:tcBorders>
                    <w:tl2br w:val="nil"/>
                    <w:tr2bl w:val="nil"/>
                  </w:tcBorders>
                  <w:shd w:val="clear" w:color="auto" w:fill="auto"/>
                  <w:vAlign w:val="center"/>
                </w:tcPr>
                <w:p w14:paraId="03A40D46">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638" w:type="dxa"/>
                  <w:tcBorders>
                    <w:tl2br w:val="nil"/>
                    <w:tr2bl w:val="nil"/>
                  </w:tcBorders>
                  <w:shd w:val="clear" w:color="auto" w:fill="auto"/>
                  <w:vAlign w:val="center"/>
                </w:tcPr>
                <w:p w14:paraId="0FBD990C">
                  <w:pPr>
                    <w:keepNext w:val="0"/>
                    <w:keepLines w:val="0"/>
                    <w:pageBreakBefore w:val="0"/>
                    <w:widowControl/>
                    <w:suppressLineNumbers w:val="0"/>
                    <w:kinsoku w:val="0"/>
                    <w:wordWrap/>
                    <w:overflowPunct w:val="0"/>
                    <w:topLinePunct w:val="0"/>
                    <w:autoSpaceDE/>
                    <w:autoSpaceDN/>
                    <w:bidi w:val="0"/>
                    <w:adjustRightInd/>
                    <w:snapToGrid/>
                    <w:jc w:val="left"/>
                    <w:textAlignment w:val="auto"/>
                    <w:rPr>
                      <w:rFonts w:ascii="Times New Roman" w:hAnsi="Times New Roman" w:eastAsia="宋体"/>
                      <w:color w:val="auto"/>
                      <w:spacing w:val="6"/>
                      <w:sz w:val="21"/>
                      <w:szCs w:val="21"/>
                      <w:lang w:val="en-US" w:eastAsia="zh-CN"/>
                    </w:rPr>
                  </w:pPr>
                  <w:r>
                    <w:rPr>
                      <w:rFonts w:hint="default" w:ascii="Times New Roman" w:hAnsi="Times New Roman" w:eastAsia="宋体" w:cs="Times New Roman"/>
                      <w:color w:val="auto"/>
                      <w:kern w:val="0"/>
                      <w:sz w:val="20"/>
                      <w:szCs w:val="20"/>
                      <w:lang w:val="en-US" w:eastAsia="zh-CN" w:bidi="ar"/>
                    </w:rPr>
                    <w:t>5000</w:t>
                  </w:r>
                  <w:r>
                    <w:rPr>
                      <w:rFonts w:hint="eastAsia" w:ascii="宋体" w:hAnsi="宋体" w:eastAsia="宋体" w:cs="宋体"/>
                      <w:color w:val="auto"/>
                      <w:kern w:val="0"/>
                      <w:sz w:val="20"/>
                      <w:szCs w:val="20"/>
                      <w:lang w:val="en-US" w:eastAsia="zh-CN" w:bidi="ar"/>
                    </w:rPr>
                    <w:t>个</w:t>
                  </w:r>
                  <w:r>
                    <w:rPr>
                      <w:rFonts w:hint="default" w:ascii="Times New Roman" w:hAnsi="Times New Roman" w:eastAsia="宋体" w:cs="Times New Roman"/>
                      <w:color w:val="auto"/>
                      <w:kern w:val="0"/>
                      <w:sz w:val="20"/>
                      <w:szCs w:val="20"/>
                      <w:lang w:val="en-US" w:eastAsia="zh-CN" w:bidi="ar"/>
                    </w:rPr>
                    <w:t>/L</w:t>
                  </w:r>
                </w:p>
              </w:tc>
              <w:tc>
                <w:tcPr>
                  <w:tcW w:w="1030" w:type="dxa"/>
                  <w:tcBorders>
                    <w:tl2br w:val="nil"/>
                    <w:tr2bl w:val="nil"/>
                  </w:tcBorders>
                  <w:shd w:val="clear" w:color="auto" w:fill="auto"/>
                  <w:vAlign w:val="center"/>
                </w:tcPr>
                <w:p w14:paraId="6A42D0AE">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both"/>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1.49</w:t>
                  </w:r>
                  <w:r>
                    <w:rPr>
                      <w:rFonts w:hint="default" w:ascii="Times New Roman" w:hAnsi="Times New Roman" w:eastAsia="宋体"/>
                      <w:color w:val="auto"/>
                      <w:spacing w:val="6"/>
                      <w:sz w:val="21"/>
                      <w:szCs w:val="21"/>
                      <w:lang w:val="en-US" w:eastAsia="zh-CN"/>
                    </w:rPr>
                    <w:t>×10</w:t>
                  </w:r>
                  <w:r>
                    <w:rPr>
                      <w:rFonts w:hint="eastAsia" w:ascii="Times New Roman" w:hAnsi="Times New Roman"/>
                      <w:color w:val="auto"/>
                      <w:spacing w:val="6"/>
                      <w:sz w:val="21"/>
                      <w:szCs w:val="21"/>
                      <w:vertAlign w:val="superscript"/>
                      <w:lang w:val="en-US" w:eastAsia="zh-CN"/>
                    </w:rPr>
                    <w:t>10</w:t>
                  </w:r>
                  <w:r>
                    <w:rPr>
                      <w:rFonts w:hint="eastAsia" w:ascii="Times New Roman" w:hAnsi="Times New Roman" w:eastAsia="宋体"/>
                      <w:color w:val="auto"/>
                      <w:spacing w:val="6"/>
                      <w:sz w:val="21"/>
                      <w:szCs w:val="21"/>
                      <w:lang w:val="en-US" w:eastAsia="zh-CN"/>
                    </w:rPr>
                    <w:t>个</w:t>
                  </w:r>
                  <w:r>
                    <w:rPr>
                      <w:rFonts w:hint="default" w:ascii="Times New Roman" w:hAnsi="Times New Roman" w:eastAsia="宋体"/>
                      <w:color w:val="auto"/>
                      <w:spacing w:val="6"/>
                      <w:sz w:val="21"/>
                      <w:szCs w:val="21"/>
                      <w:lang w:val="en-US" w:eastAsia="zh-CN"/>
                    </w:rPr>
                    <w:t>/</w:t>
                  </w:r>
                  <w:r>
                    <w:rPr>
                      <w:rFonts w:hint="eastAsia" w:ascii="Times New Roman" w:hAnsi="Times New Roman"/>
                      <w:color w:val="auto"/>
                      <w:spacing w:val="6"/>
                      <w:sz w:val="21"/>
                      <w:szCs w:val="21"/>
                      <w:lang w:val="en-US" w:eastAsia="zh-CN"/>
                    </w:rPr>
                    <w:t>a</w:t>
                  </w:r>
                </w:p>
              </w:tc>
              <w:tc>
                <w:tcPr>
                  <w:tcW w:w="638" w:type="dxa"/>
                  <w:tcBorders>
                    <w:tl2br w:val="nil"/>
                    <w:tr2bl w:val="nil"/>
                  </w:tcBorders>
                  <w:shd w:val="clear" w:color="auto" w:fill="auto"/>
                  <w:vAlign w:val="center"/>
                </w:tcPr>
                <w:p w14:paraId="3D5DF8B7">
                  <w:pPr>
                    <w:keepNext w:val="0"/>
                    <w:keepLines w:val="0"/>
                    <w:pageBreakBefore w:val="0"/>
                    <w:widowControl/>
                    <w:suppressLineNumbers w:val="0"/>
                    <w:kinsoku w:val="0"/>
                    <w:wordWrap/>
                    <w:overflowPunct w:val="0"/>
                    <w:topLinePunct w:val="0"/>
                    <w:autoSpaceDE/>
                    <w:autoSpaceDN/>
                    <w:bidi w:val="0"/>
                    <w:adjustRightInd/>
                    <w:snapToGrid/>
                    <w:jc w:val="left"/>
                    <w:textAlignment w:val="auto"/>
                    <w:rPr>
                      <w:color w:val="auto"/>
                    </w:rPr>
                  </w:pPr>
                  <w:r>
                    <w:rPr>
                      <w:rFonts w:hint="default" w:ascii="Times New Roman" w:hAnsi="Times New Roman" w:eastAsia="宋体" w:cs="Times New Roman"/>
                      <w:color w:val="auto"/>
                      <w:kern w:val="0"/>
                      <w:sz w:val="20"/>
                      <w:szCs w:val="20"/>
                      <w:lang w:val="en-US" w:eastAsia="zh-CN" w:bidi="ar"/>
                    </w:rPr>
                    <w:t>1000</w:t>
                  </w:r>
                </w:p>
                <w:p w14:paraId="65FA88D5">
                  <w:pPr>
                    <w:keepNext w:val="0"/>
                    <w:keepLines w:val="0"/>
                    <w:pageBreakBefore w:val="0"/>
                    <w:widowControl/>
                    <w:suppressLineNumbers w:val="0"/>
                    <w:kinsoku w:val="0"/>
                    <w:wordWrap/>
                    <w:overflowPunct w:val="0"/>
                    <w:topLinePunct w:val="0"/>
                    <w:autoSpaceDE/>
                    <w:autoSpaceDN/>
                    <w:bidi w:val="0"/>
                    <w:adjustRightInd/>
                    <w:snapToGrid/>
                    <w:jc w:val="left"/>
                    <w:textAlignment w:val="auto"/>
                    <w:rPr>
                      <w:rFonts w:ascii="Times New Roman" w:hAnsi="Times New Roman" w:eastAsia="宋体"/>
                      <w:color w:val="auto"/>
                      <w:spacing w:val="6"/>
                      <w:sz w:val="21"/>
                      <w:szCs w:val="21"/>
                      <w:lang w:val="en-US" w:eastAsia="zh-CN"/>
                    </w:rPr>
                  </w:pPr>
                  <w:r>
                    <w:rPr>
                      <w:rFonts w:hint="eastAsia" w:ascii="宋体" w:hAnsi="宋体" w:eastAsia="宋体" w:cs="宋体"/>
                      <w:color w:val="auto"/>
                      <w:kern w:val="0"/>
                      <w:sz w:val="20"/>
                      <w:szCs w:val="20"/>
                      <w:lang w:val="en-US" w:eastAsia="zh-CN" w:bidi="ar"/>
                    </w:rPr>
                    <w:t>个</w:t>
                  </w:r>
                  <w:r>
                    <w:rPr>
                      <w:rFonts w:hint="default" w:ascii="Times New Roman" w:hAnsi="Times New Roman" w:eastAsia="宋体" w:cs="Times New Roman"/>
                      <w:color w:val="auto"/>
                      <w:kern w:val="0"/>
                      <w:sz w:val="20"/>
                      <w:szCs w:val="20"/>
                      <w:lang w:val="en-US" w:eastAsia="zh-CN" w:bidi="ar"/>
                    </w:rPr>
                    <w:t>/L</w:t>
                  </w:r>
                </w:p>
              </w:tc>
              <w:tc>
                <w:tcPr>
                  <w:tcW w:w="1030" w:type="dxa"/>
                  <w:tcBorders>
                    <w:tl2br w:val="nil"/>
                    <w:tr2bl w:val="nil"/>
                  </w:tcBorders>
                  <w:shd w:val="clear" w:color="auto" w:fill="auto"/>
                  <w:vAlign w:val="center"/>
                </w:tcPr>
                <w:p w14:paraId="4BF4CEEF">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2.99</w:t>
                  </w:r>
                  <w:r>
                    <w:rPr>
                      <w:rFonts w:hint="default" w:ascii="Times New Roman" w:hAnsi="Times New Roman" w:eastAsia="宋体"/>
                      <w:color w:val="auto"/>
                      <w:spacing w:val="6"/>
                      <w:sz w:val="21"/>
                      <w:szCs w:val="21"/>
                      <w:lang w:val="en-US" w:eastAsia="zh-CN"/>
                    </w:rPr>
                    <w:t>×10</w:t>
                  </w:r>
                  <w:r>
                    <w:rPr>
                      <w:rFonts w:hint="eastAsia" w:ascii="Times New Roman" w:hAnsi="Times New Roman"/>
                      <w:color w:val="auto"/>
                      <w:spacing w:val="6"/>
                      <w:sz w:val="21"/>
                      <w:szCs w:val="21"/>
                      <w:vertAlign w:val="superscript"/>
                      <w:lang w:val="en-US" w:eastAsia="zh-CN"/>
                    </w:rPr>
                    <w:t>9</w:t>
                  </w:r>
                  <w:r>
                    <w:rPr>
                      <w:rFonts w:hint="eastAsia" w:ascii="Times New Roman" w:hAnsi="Times New Roman" w:eastAsia="宋体"/>
                      <w:color w:val="auto"/>
                      <w:spacing w:val="6"/>
                      <w:sz w:val="21"/>
                      <w:szCs w:val="21"/>
                      <w:lang w:val="en-US" w:eastAsia="zh-CN"/>
                    </w:rPr>
                    <w:t>个</w:t>
                  </w:r>
                  <w:r>
                    <w:rPr>
                      <w:rFonts w:hint="default" w:ascii="Times New Roman" w:hAnsi="Times New Roman" w:eastAsia="宋体"/>
                      <w:color w:val="auto"/>
                      <w:spacing w:val="6"/>
                      <w:sz w:val="21"/>
                      <w:szCs w:val="21"/>
                      <w:lang w:val="en-US" w:eastAsia="zh-CN"/>
                    </w:rPr>
                    <w:t>/</w:t>
                  </w:r>
                  <w:r>
                    <w:rPr>
                      <w:rFonts w:hint="eastAsia" w:ascii="Times New Roman" w:hAnsi="Times New Roman"/>
                      <w:color w:val="auto"/>
                      <w:spacing w:val="6"/>
                      <w:sz w:val="21"/>
                      <w:szCs w:val="21"/>
                      <w:lang w:val="en-US" w:eastAsia="zh-CN"/>
                    </w:rPr>
                    <w:t>a</w:t>
                  </w:r>
                </w:p>
              </w:tc>
            </w:tr>
            <w:tr w14:paraId="4B080E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0" w:hRule="atLeast"/>
              </w:trPr>
              <w:tc>
                <w:tcPr>
                  <w:tcW w:w="1210" w:type="dxa"/>
                  <w:vMerge w:val="continue"/>
                  <w:tcBorders>
                    <w:tl2br w:val="nil"/>
                    <w:tr2bl w:val="nil"/>
                  </w:tcBorders>
                  <w:shd w:val="clear" w:color="auto" w:fill="auto"/>
                  <w:vAlign w:val="center"/>
                </w:tcPr>
                <w:p w14:paraId="423C608B">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761" w:type="dxa"/>
                  <w:tcBorders>
                    <w:tl2br w:val="nil"/>
                    <w:tr2bl w:val="nil"/>
                  </w:tcBorders>
                  <w:shd w:val="clear" w:color="auto" w:fill="auto"/>
                  <w:vAlign w:val="center"/>
                </w:tcPr>
                <w:p w14:paraId="67032365">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SS</w:t>
                  </w:r>
                </w:p>
              </w:tc>
              <w:tc>
                <w:tcPr>
                  <w:tcW w:w="834" w:type="dxa"/>
                  <w:tcBorders>
                    <w:tl2br w:val="nil"/>
                    <w:tr2bl w:val="nil"/>
                  </w:tcBorders>
                  <w:shd w:val="clear" w:color="auto" w:fill="auto"/>
                  <w:vAlign w:val="center"/>
                </w:tcPr>
                <w:p w14:paraId="6B657560">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120</w:t>
                  </w:r>
                </w:p>
              </w:tc>
              <w:tc>
                <w:tcPr>
                  <w:tcW w:w="1095" w:type="dxa"/>
                  <w:tcBorders>
                    <w:tl2br w:val="nil"/>
                    <w:tr2bl w:val="nil"/>
                  </w:tcBorders>
                  <w:shd w:val="clear" w:color="auto" w:fill="auto"/>
                  <w:vAlign w:val="center"/>
                </w:tcPr>
                <w:p w14:paraId="620390F8">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color w:val="auto"/>
                      <w:spacing w:val="6"/>
                      <w:sz w:val="21"/>
                      <w:szCs w:val="21"/>
                      <w:lang w:val="en-US" w:eastAsia="zh-CN"/>
                    </w:rPr>
                  </w:pPr>
                  <w:r>
                    <w:rPr>
                      <w:rFonts w:hint="eastAsia" w:ascii="Times New Roman" w:hAnsi="Times New Roman"/>
                      <w:color w:val="auto"/>
                      <w:spacing w:val="6"/>
                      <w:sz w:val="21"/>
                      <w:szCs w:val="21"/>
                      <w:lang w:val="en-US" w:eastAsia="zh-CN"/>
                    </w:rPr>
                    <w:t>0.3585</w:t>
                  </w:r>
                </w:p>
              </w:tc>
              <w:tc>
                <w:tcPr>
                  <w:tcW w:w="1694" w:type="dxa"/>
                  <w:vMerge w:val="continue"/>
                  <w:tcBorders>
                    <w:tl2br w:val="nil"/>
                    <w:tr2bl w:val="nil"/>
                  </w:tcBorders>
                  <w:shd w:val="clear" w:color="auto" w:fill="auto"/>
                  <w:vAlign w:val="center"/>
                </w:tcPr>
                <w:p w14:paraId="2227956F">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638" w:type="dxa"/>
                  <w:tcBorders>
                    <w:tl2br w:val="nil"/>
                    <w:tr2bl w:val="nil"/>
                  </w:tcBorders>
                  <w:shd w:val="clear" w:color="auto" w:fill="auto"/>
                  <w:vAlign w:val="center"/>
                </w:tcPr>
                <w:p w14:paraId="76732826">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eastAsia="宋体"/>
                      <w:color w:val="auto"/>
                      <w:spacing w:val="6"/>
                      <w:sz w:val="21"/>
                      <w:szCs w:val="21"/>
                      <w:lang w:val="en-US" w:eastAsia="zh-CN"/>
                    </w:rPr>
                    <w:t>72</w:t>
                  </w:r>
                </w:p>
              </w:tc>
              <w:tc>
                <w:tcPr>
                  <w:tcW w:w="1030" w:type="dxa"/>
                  <w:tcBorders>
                    <w:tl2br w:val="nil"/>
                    <w:tr2bl w:val="nil"/>
                  </w:tcBorders>
                  <w:shd w:val="clear" w:color="auto" w:fill="auto"/>
                  <w:vAlign w:val="center"/>
                </w:tcPr>
                <w:p w14:paraId="673AEFC5">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eastAsia="宋体"/>
                      <w:color w:val="auto"/>
                      <w:spacing w:val="6"/>
                      <w:sz w:val="21"/>
                      <w:szCs w:val="21"/>
                      <w:lang w:val="en-US" w:eastAsia="zh-CN"/>
                    </w:rPr>
                    <w:t>0.2151</w:t>
                  </w:r>
                </w:p>
              </w:tc>
              <w:tc>
                <w:tcPr>
                  <w:tcW w:w="638" w:type="dxa"/>
                  <w:tcBorders>
                    <w:tl2br w:val="nil"/>
                    <w:tr2bl w:val="nil"/>
                  </w:tcBorders>
                  <w:shd w:val="clear" w:color="auto" w:fill="auto"/>
                  <w:vAlign w:val="center"/>
                </w:tcPr>
                <w:p w14:paraId="711E7BF4">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eastAsia="宋体"/>
                      <w:color w:val="auto"/>
                      <w:spacing w:val="6"/>
                      <w:sz w:val="21"/>
                      <w:szCs w:val="21"/>
                      <w:lang w:val="en-US" w:eastAsia="zh-CN"/>
                    </w:rPr>
                    <w:t>10</w:t>
                  </w:r>
                </w:p>
              </w:tc>
              <w:tc>
                <w:tcPr>
                  <w:tcW w:w="1030" w:type="dxa"/>
                  <w:tcBorders>
                    <w:tl2br w:val="nil"/>
                    <w:tr2bl w:val="nil"/>
                  </w:tcBorders>
                  <w:shd w:val="clear" w:color="auto" w:fill="auto"/>
                  <w:vAlign w:val="center"/>
                </w:tcPr>
                <w:p w14:paraId="3D36239F">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eastAsia="宋体"/>
                      <w:color w:val="auto"/>
                      <w:spacing w:val="6"/>
                      <w:sz w:val="21"/>
                      <w:szCs w:val="21"/>
                      <w:lang w:val="en-US" w:eastAsia="zh-CN"/>
                    </w:rPr>
                    <w:t>0.0299</w:t>
                  </w:r>
                </w:p>
              </w:tc>
            </w:tr>
            <w:tr w14:paraId="029D55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5" w:hRule="atLeast"/>
              </w:trPr>
              <w:tc>
                <w:tcPr>
                  <w:tcW w:w="1210" w:type="dxa"/>
                  <w:vMerge w:val="restart"/>
                  <w:tcBorders>
                    <w:tl2br w:val="nil"/>
                    <w:tr2bl w:val="nil"/>
                  </w:tcBorders>
                  <w:shd w:val="clear" w:color="auto" w:fill="auto"/>
                  <w:vAlign w:val="center"/>
                </w:tcPr>
                <w:p w14:paraId="67B5CA83">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病房废水</w:t>
                  </w:r>
                  <w:r>
                    <w:rPr>
                      <w:rFonts w:ascii="Times New Roman" w:hAnsi="Times New Roman" w:eastAsia="宋体"/>
                      <w:color w:val="auto"/>
                      <w:spacing w:val="6"/>
                      <w:sz w:val="21"/>
                      <w:szCs w:val="21"/>
                      <w:lang w:val="en-US" w:eastAsia="zh-CN"/>
                    </w:rPr>
                    <w:br w:type="textWrapping"/>
                  </w:r>
                  <w:r>
                    <w:rPr>
                      <w:rFonts w:hint="eastAsia" w:ascii="Times New Roman" w:hAnsi="Times New Roman" w:eastAsia="宋体"/>
                      <w:color w:val="auto"/>
                      <w:spacing w:val="6"/>
                      <w:sz w:val="21"/>
                      <w:szCs w:val="21"/>
                      <w:lang w:val="en-US" w:eastAsia="zh-CN"/>
                    </w:rPr>
                    <w:t>33507</w:t>
                  </w:r>
                  <w:r>
                    <w:rPr>
                      <w:rFonts w:ascii="Times New Roman" w:hAnsi="Times New Roman" w:eastAsia="宋体"/>
                      <w:color w:val="auto"/>
                      <w:spacing w:val="6"/>
                      <w:sz w:val="21"/>
                      <w:szCs w:val="21"/>
                      <w:lang w:val="en-US" w:eastAsia="zh-CN"/>
                    </w:rPr>
                    <w:t>m³/a</w:t>
                  </w:r>
                </w:p>
              </w:tc>
              <w:tc>
                <w:tcPr>
                  <w:tcW w:w="761" w:type="dxa"/>
                  <w:tcBorders>
                    <w:tl2br w:val="nil"/>
                    <w:tr2bl w:val="nil"/>
                  </w:tcBorders>
                  <w:shd w:val="clear" w:color="auto" w:fill="auto"/>
                  <w:vAlign w:val="center"/>
                </w:tcPr>
                <w:p w14:paraId="347360D3">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COD</w:t>
                  </w:r>
                </w:p>
              </w:tc>
              <w:tc>
                <w:tcPr>
                  <w:tcW w:w="834" w:type="dxa"/>
                  <w:tcBorders>
                    <w:tl2br w:val="nil"/>
                    <w:tr2bl w:val="nil"/>
                  </w:tcBorders>
                  <w:shd w:val="clear" w:color="auto" w:fill="auto"/>
                  <w:vAlign w:val="center"/>
                </w:tcPr>
                <w:p w14:paraId="1BBBB734">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300</w:t>
                  </w:r>
                </w:p>
              </w:tc>
              <w:tc>
                <w:tcPr>
                  <w:tcW w:w="1095" w:type="dxa"/>
                  <w:tcBorders>
                    <w:tl2br w:val="nil"/>
                    <w:tr2bl w:val="nil"/>
                  </w:tcBorders>
                  <w:shd w:val="clear" w:color="auto" w:fill="auto"/>
                  <w:vAlign w:val="center"/>
                </w:tcPr>
                <w:p w14:paraId="42C4D2F0">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10.0521</w:t>
                  </w:r>
                </w:p>
              </w:tc>
              <w:tc>
                <w:tcPr>
                  <w:tcW w:w="1694" w:type="dxa"/>
                  <w:vMerge w:val="continue"/>
                  <w:tcBorders>
                    <w:tl2br w:val="nil"/>
                    <w:tr2bl w:val="nil"/>
                  </w:tcBorders>
                  <w:shd w:val="clear" w:color="auto" w:fill="auto"/>
                  <w:vAlign w:val="center"/>
                </w:tcPr>
                <w:p w14:paraId="4476FE6F">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638" w:type="dxa"/>
                  <w:tcBorders>
                    <w:tl2br w:val="nil"/>
                    <w:tr2bl w:val="nil"/>
                  </w:tcBorders>
                  <w:shd w:val="clear" w:color="auto" w:fill="auto"/>
                  <w:vAlign w:val="center"/>
                </w:tcPr>
                <w:p w14:paraId="3370877D">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250</w:t>
                  </w:r>
                </w:p>
              </w:tc>
              <w:tc>
                <w:tcPr>
                  <w:tcW w:w="1030" w:type="dxa"/>
                  <w:tcBorders>
                    <w:tl2br w:val="nil"/>
                    <w:tr2bl w:val="nil"/>
                  </w:tcBorders>
                  <w:shd w:val="clear" w:color="auto" w:fill="auto"/>
                  <w:vAlign w:val="center"/>
                </w:tcPr>
                <w:p w14:paraId="4E2D9918">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eastAsia="宋体"/>
                      <w:color w:val="auto"/>
                      <w:spacing w:val="6"/>
                      <w:sz w:val="21"/>
                      <w:szCs w:val="21"/>
                      <w:lang w:val="en-US" w:eastAsia="zh-CN"/>
                    </w:rPr>
                    <w:t>8.3768</w:t>
                  </w:r>
                </w:p>
              </w:tc>
              <w:tc>
                <w:tcPr>
                  <w:tcW w:w="638" w:type="dxa"/>
                  <w:tcBorders>
                    <w:tl2br w:val="nil"/>
                    <w:tr2bl w:val="nil"/>
                  </w:tcBorders>
                  <w:shd w:val="clear" w:color="auto" w:fill="auto"/>
                  <w:vAlign w:val="center"/>
                </w:tcPr>
                <w:p w14:paraId="7958897F">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50</w:t>
                  </w:r>
                </w:p>
              </w:tc>
              <w:tc>
                <w:tcPr>
                  <w:tcW w:w="1030" w:type="dxa"/>
                  <w:tcBorders>
                    <w:tl2br w:val="nil"/>
                    <w:tr2bl w:val="nil"/>
                  </w:tcBorders>
                  <w:shd w:val="clear" w:color="auto" w:fill="auto"/>
                  <w:vAlign w:val="center"/>
                </w:tcPr>
                <w:p w14:paraId="48FF85AD">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eastAsia="宋体"/>
                      <w:color w:val="auto"/>
                      <w:spacing w:val="6"/>
                      <w:sz w:val="21"/>
                      <w:szCs w:val="21"/>
                      <w:lang w:val="en-US" w:eastAsia="zh-CN"/>
                    </w:rPr>
                    <w:t>1.6754</w:t>
                  </w:r>
                </w:p>
              </w:tc>
            </w:tr>
            <w:tr w14:paraId="1B357E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1210" w:type="dxa"/>
                  <w:vMerge w:val="continue"/>
                  <w:tcBorders>
                    <w:tl2br w:val="nil"/>
                    <w:tr2bl w:val="nil"/>
                  </w:tcBorders>
                  <w:shd w:val="clear" w:color="auto" w:fill="auto"/>
                  <w:vAlign w:val="center"/>
                </w:tcPr>
                <w:p w14:paraId="139589A6">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761" w:type="dxa"/>
                  <w:tcBorders>
                    <w:tl2br w:val="nil"/>
                    <w:tr2bl w:val="nil"/>
                  </w:tcBorders>
                  <w:shd w:val="clear" w:color="auto" w:fill="auto"/>
                  <w:vAlign w:val="center"/>
                </w:tcPr>
                <w:p w14:paraId="60A78B03">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BOD</w:t>
                  </w:r>
                  <w:r>
                    <w:rPr>
                      <w:rFonts w:hint="eastAsia" w:ascii="Times New Roman" w:hAnsi="Times New Roman"/>
                      <w:color w:val="auto"/>
                      <w:spacing w:val="6"/>
                      <w:sz w:val="21"/>
                      <w:szCs w:val="21"/>
                      <w:vertAlign w:val="subscript"/>
                      <w:lang w:val="en-US" w:eastAsia="zh-CN"/>
                    </w:rPr>
                    <w:t>5</w:t>
                  </w:r>
                </w:p>
              </w:tc>
              <w:tc>
                <w:tcPr>
                  <w:tcW w:w="834" w:type="dxa"/>
                  <w:tcBorders>
                    <w:tl2br w:val="nil"/>
                    <w:tr2bl w:val="nil"/>
                  </w:tcBorders>
                  <w:shd w:val="clear" w:color="auto" w:fill="auto"/>
                  <w:vAlign w:val="center"/>
                </w:tcPr>
                <w:p w14:paraId="183A48FC">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150</w:t>
                  </w:r>
                </w:p>
              </w:tc>
              <w:tc>
                <w:tcPr>
                  <w:tcW w:w="1095" w:type="dxa"/>
                  <w:tcBorders>
                    <w:tl2br w:val="nil"/>
                    <w:tr2bl w:val="nil"/>
                  </w:tcBorders>
                  <w:shd w:val="clear" w:color="auto" w:fill="auto"/>
                  <w:vAlign w:val="center"/>
                </w:tcPr>
                <w:p w14:paraId="32A7660C">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5.0261</w:t>
                  </w:r>
                </w:p>
              </w:tc>
              <w:tc>
                <w:tcPr>
                  <w:tcW w:w="1694" w:type="dxa"/>
                  <w:vMerge w:val="continue"/>
                  <w:tcBorders>
                    <w:tl2br w:val="nil"/>
                    <w:tr2bl w:val="nil"/>
                  </w:tcBorders>
                  <w:shd w:val="clear" w:color="auto" w:fill="auto"/>
                  <w:vAlign w:val="center"/>
                </w:tcPr>
                <w:p w14:paraId="237A7907">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638" w:type="dxa"/>
                  <w:tcBorders>
                    <w:tl2br w:val="nil"/>
                    <w:tr2bl w:val="nil"/>
                  </w:tcBorders>
                  <w:shd w:val="clear" w:color="auto" w:fill="auto"/>
                  <w:vAlign w:val="center"/>
                </w:tcPr>
                <w:p w14:paraId="5C50966A">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100</w:t>
                  </w:r>
                </w:p>
              </w:tc>
              <w:tc>
                <w:tcPr>
                  <w:tcW w:w="1030" w:type="dxa"/>
                  <w:tcBorders>
                    <w:tl2br w:val="nil"/>
                    <w:tr2bl w:val="nil"/>
                  </w:tcBorders>
                  <w:shd w:val="clear" w:color="auto" w:fill="auto"/>
                  <w:vAlign w:val="center"/>
                </w:tcPr>
                <w:p w14:paraId="191DECDA">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eastAsia="宋体"/>
                      <w:color w:val="auto"/>
                      <w:spacing w:val="6"/>
                      <w:sz w:val="21"/>
                      <w:szCs w:val="21"/>
                      <w:lang w:val="en-US" w:eastAsia="zh-CN"/>
                    </w:rPr>
                    <w:t>3.3507</w:t>
                  </w:r>
                </w:p>
              </w:tc>
              <w:tc>
                <w:tcPr>
                  <w:tcW w:w="638" w:type="dxa"/>
                  <w:tcBorders>
                    <w:tl2br w:val="nil"/>
                    <w:tr2bl w:val="nil"/>
                  </w:tcBorders>
                  <w:shd w:val="clear" w:color="auto" w:fill="auto"/>
                  <w:vAlign w:val="center"/>
                </w:tcPr>
                <w:p w14:paraId="6501D097">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10</w:t>
                  </w:r>
                </w:p>
              </w:tc>
              <w:tc>
                <w:tcPr>
                  <w:tcW w:w="1030" w:type="dxa"/>
                  <w:tcBorders>
                    <w:tl2br w:val="nil"/>
                    <w:tr2bl w:val="nil"/>
                  </w:tcBorders>
                  <w:shd w:val="clear" w:color="auto" w:fill="auto"/>
                  <w:vAlign w:val="center"/>
                </w:tcPr>
                <w:p w14:paraId="23E16CB6">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eastAsia="宋体"/>
                      <w:color w:val="auto"/>
                      <w:spacing w:val="6"/>
                      <w:sz w:val="21"/>
                      <w:szCs w:val="21"/>
                      <w:lang w:val="en-US" w:eastAsia="zh-CN"/>
                    </w:rPr>
                    <w:t>0.3351</w:t>
                  </w:r>
                </w:p>
              </w:tc>
            </w:tr>
            <w:tr w14:paraId="2216E2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1210" w:type="dxa"/>
                  <w:vMerge w:val="continue"/>
                  <w:tcBorders>
                    <w:tl2br w:val="nil"/>
                    <w:tr2bl w:val="nil"/>
                  </w:tcBorders>
                  <w:shd w:val="clear" w:color="auto" w:fill="auto"/>
                  <w:vAlign w:val="center"/>
                </w:tcPr>
                <w:p w14:paraId="5CADA641">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761" w:type="dxa"/>
                  <w:tcBorders>
                    <w:tl2br w:val="nil"/>
                    <w:tr2bl w:val="nil"/>
                  </w:tcBorders>
                  <w:shd w:val="clear" w:color="auto" w:fill="auto"/>
                  <w:vAlign w:val="center"/>
                </w:tcPr>
                <w:p w14:paraId="669F23A9">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NH₃-N</w:t>
                  </w:r>
                </w:p>
              </w:tc>
              <w:tc>
                <w:tcPr>
                  <w:tcW w:w="834" w:type="dxa"/>
                  <w:tcBorders>
                    <w:tl2br w:val="nil"/>
                    <w:tr2bl w:val="nil"/>
                  </w:tcBorders>
                  <w:shd w:val="clear" w:color="auto" w:fill="auto"/>
                  <w:vAlign w:val="center"/>
                </w:tcPr>
                <w:p w14:paraId="04D6C658">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30</w:t>
                  </w:r>
                </w:p>
              </w:tc>
              <w:tc>
                <w:tcPr>
                  <w:tcW w:w="1095" w:type="dxa"/>
                  <w:tcBorders>
                    <w:tl2br w:val="nil"/>
                    <w:tr2bl w:val="nil"/>
                  </w:tcBorders>
                  <w:shd w:val="clear" w:color="auto" w:fill="auto"/>
                  <w:vAlign w:val="center"/>
                </w:tcPr>
                <w:p w14:paraId="7FF0B084">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1.0052</w:t>
                  </w:r>
                </w:p>
              </w:tc>
              <w:tc>
                <w:tcPr>
                  <w:tcW w:w="1694" w:type="dxa"/>
                  <w:vMerge w:val="continue"/>
                  <w:tcBorders>
                    <w:tl2br w:val="nil"/>
                    <w:tr2bl w:val="nil"/>
                  </w:tcBorders>
                  <w:shd w:val="clear" w:color="auto" w:fill="auto"/>
                  <w:vAlign w:val="center"/>
                </w:tcPr>
                <w:p w14:paraId="13B89F21">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638" w:type="dxa"/>
                  <w:tcBorders>
                    <w:tl2br w:val="nil"/>
                    <w:tr2bl w:val="nil"/>
                  </w:tcBorders>
                  <w:shd w:val="clear" w:color="auto" w:fill="auto"/>
                  <w:vAlign w:val="center"/>
                </w:tcPr>
                <w:p w14:paraId="73348C8D">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25</w:t>
                  </w:r>
                </w:p>
              </w:tc>
              <w:tc>
                <w:tcPr>
                  <w:tcW w:w="1030" w:type="dxa"/>
                  <w:tcBorders>
                    <w:tl2br w:val="nil"/>
                    <w:tr2bl w:val="nil"/>
                  </w:tcBorders>
                  <w:shd w:val="clear" w:color="auto" w:fill="auto"/>
                  <w:vAlign w:val="center"/>
                </w:tcPr>
                <w:p w14:paraId="601A4E83">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0.8377</w:t>
                  </w:r>
                </w:p>
              </w:tc>
              <w:tc>
                <w:tcPr>
                  <w:tcW w:w="638" w:type="dxa"/>
                  <w:tcBorders>
                    <w:tl2br w:val="nil"/>
                    <w:tr2bl w:val="nil"/>
                  </w:tcBorders>
                  <w:shd w:val="clear" w:color="auto" w:fill="auto"/>
                  <w:vAlign w:val="center"/>
                </w:tcPr>
                <w:p w14:paraId="0014C645">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ascii="Times New Roman" w:hAnsi="Times New Roman" w:eastAsia="宋体"/>
                      <w:color w:val="auto"/>
                      <w:spacing w:val="6"/>
                      <w:sz w:val="21"/>
                      <w:szCs w:val="21"/>
                      <w:lang w:val="en-US" w:eastAsia="zh-CN"/>
                    </w:rPr>
                    <w:t>5</w:t>
                  </w:r>
                </w:p>
              </w:tc>
              <w:tc>
                <w:tcPr>
                  <w:tcW w:w="1030" w:type="dxa"/>
                  <w:tcBorders>
                    <w:tl2br w:val="nil"/>
                    <w:tr2bl w:val="nil"/>
                  </w:tcBorders>
                  <w:shd w:val="clear" w:color="auto" w:fill="auto"/>
                  <w:vAlign w:val="center"/>
                </w:tcPr>
                <w:p w14:paraId="366E9ACE">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0.1675</w:t>
                  </w:r>
                </w:p>
              </w:tc>
            </w:tr>
            <w:tr w14:paraId="426891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1210" w:type="dxa"/>
                  <w:vMerge w:val="continue"/>
                  <w:tcBorders>
                    <w:tl2br w:val="nil"/>
                    <w:tr2bl w:val="nil"/>
                  </w:tcBorders>
                  <w:shd w:val="clear" w:color="auto" w:fill="auto"/>
                  <w:vAlign w:val="center"/>
                </w:tcPr>
                <w:p w14:paraId="087E625B">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761" w:type="dxa"/>
                  <w:tcBorders>
                    <w:tl2br w:val="nil"/>
                    <w:tr2bl w:val="nil"/>
                  </w:tcBorders>
                  <w:shd w:val="clear" w:color="auto" w:fill="auto"/>
                  <w:vAlign w:val="center"/>
                </w:tcPr>
                <w:p w14:paraId="2EFC7BDE">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粪大肠菌群</w:t>
                  </w:r>
                </w:p>
              </w:tc>
              <w:tc>
                <w:tcPr>
                  <w:tcW w:w="834" w:type="dxa"/>
                  <w:tcBorders>
                    <w:tl2br w:val="nil"/>
                    <w:tr2bl w:val="nil"/>
                  </w:tcBorders>
                  <w:shd w:val="clear" w:color="auto" w:fill="auto"/>
                  <w:vAlign w:val="center"/>
                </w:tcPr>
                <w:p w14:paraId="59CAA5E9">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hint="default" w:ascii="Times New Roman" w:hAnsi="Times New Roman" w:eastAsia="宋体"/>
                      <w:color w:val="auto"/>
                      <w:spacing w:val="6"/>
                      <w:sz w:val="21"/>
                      <w:szCs w:val="21"/>
                      <w:lang w:val="en-US" w:eastAsia="zh-CN"/>
                    </w:rPr>
                    <w:t>1.</w:t>
                  </w:r>
                  <w:r>
                    <w:rPr>
                      <w:rFonts w:hint="eastAsia" w:ascii="Times New Roman" w:hAnsi="Times New Roman"/>
                      <w:color w:val="auto"/>
                      <w:spacing w:val="6"/>
                      <w:sz w:val="21"/>
                      <w:szCs w:val="21"/>
                      <w:lang w:val="en-US" w:eastAsia="zh-CN"/>
                    </w:rPr>
                    <w:t>3</w:t>
                  </w:r>
                  <w:r>
                    <w:rPr>
                      <w:rFonts w:hint="default" w:ascii="Times New Roman" w:hAnsi="Times New Roman" w:eastAsia="宋体"/>
                      <w:color w:val="auto"/>
                      <w:spacing w:val="6"/>
                      <w:sz w:val="21"/>
                      <w:szCs w:val="21"/>
                      <w:lang w:val="en-US" w:eastAsia="zh-CN"/>
                    </w:rPr>
                    <w:t>×10</w:t>
                  </w:r>
                  <w:r>
                    <w:rPr>
                      <w:rFonts w:hint="default" w:ascii="Times New Roman" w:hAnsi="Times New Roman" w:eastAsia="宋体"/>
                      <w:color w:val="auto"/>
                      <w:spacing w:val="6"/>
                      <w:sz w:val="21"/>
                      <w:szCs w:val="21"/>
                      <w:vertAlign w:val="superscript"/>
                      <w:lang w:val="en-US" w:eastAsia="zh-CN"/>
                    </w:rPr>
                    <w:t>8</w:t>
                  </w:r>
                  <w:r>
                    <w:rPr>
                      <w:rFonts w:hint="eastAsia" w:ascii="Times New Roman" w:hAnsi="Times New Roman" w:eastAsia="宋体"/>
                      <w:color w:val="auto"/>
                      <w:spacing w:val="6"/>
                      <w:sz w:val="21"/>
                      <w:szCs w:val="21"/>
                      <w:lang w:val="en-US" w:eastAsia="zh-CN"/>
                    </w:rPr>
                    <w:t>个</w:t>
                  </w:r>
                  <w:r>
                    <w:rPr>
                      <w:rFonts w:hint="default" w:ascii="Times New Roman" w:hAnsi="Times New Roman" w:eastAsia="宋体"/>
                      <w:color w:val="auto"/>
                      <w:spacing w:val="6"/>
                      <w:sz w:val="21"/>
                      <w:szCs w:val="21"/>
                      <w:lang w:val="en-US" w:eastAsia="zh-CN"/>
                    </w:rPr>
                    <w:t>/L</w:t>
                  </w:r>
                </w:p>
              </w:tc>
              <w:tc>
                <w:tcPr>
                  <w:tcW w:w="1095" w:type="dxa"/>
                  <w:tcBorders>
                    <w:tl2br w:val="nil"/>
                    <w:tr2bl w:val="nil"/>
                  </w:tcBorders>
                  <w:shd w:val="clear" w:color="auto" w:fill="auto"/>
                  <w:vAlign w:val="center"/>
                </w:tcPr>
                <w:p w14:paraId="240CDBEC">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4.356</w:t>
                  </w:r>
                  <w:r>
                    <w:rPr>
                      <w:rFonts w:hint="default" w:ascii="Times New Roman" w:hAnsi="Times New Roman" w:eastAsia="宋体"/>
                      <w:color w:val="auto"/>
                      <w:spacing w:val="6"/>
                      <w:sz w:val="21"/>
                      <w:szCs w:val="21"/>
                      <w:lang w:val="en-US" w:eastAsia="zh-CN"/>
                    </w:rPr>
                    <w:t>×10</w:t>
                  </w:r>
                  <w:r>
                    <w:rPr>
                      <w:rFonts w:hint="eastAsia" w:ascii="Times New Roman" w:hAnsi="Times New Roman"/>
                      <w:color w:val="auto"/>
                      <w:spacing w:val="6"/>
                      <w:sz w:val="21"/>
                      <w:szCs w:val="21"/>
                      <w:vertAlign w:val="superscript"/>
                      <w:lang w:val="en-US" w:eastAsia="zh-CN"/>
                    </w:rPr>
                    <w:t>12</w:t>
                  </w:r>
                  <w:r>
                    <w:rPr>
                      <w:rFonts w:hint="eastAsia" w:ascii="Times New Roman" w:hAnsi="Times New Roman" w:eastAsia="宋体"/>
                      <w:color w:val="auto"/>
                      <w:spacing w:val="6"/>
                      <w:sz w:val="21"/>
                      <w:szCs w:val="21"/>
                      <w:lang w:val="en-US" w:eastAsia="zh-CN"/>
                    </w:rPr>
                    <w:t>个</w:t>
                  </w:r>
                  <w:r>
                    <w:rPr>
                      <w:rFonts w:hint="default" w:ascii="Times New Roman" w:hAnsi="Times New Roman" w:eastAsia="宋体"/>
                      <w:color w:val="auto"/>
                      <w:spacing w:val="6"/>
                      <w:sz w:val="21"/>
                      <w:szCs w:val="21"/>
                      <w:lang w:val="en-US" w:eastAsia="zh-CN"/>
                    </w:rPr>
                    <w:t>/</w:t>
                  </w:r>
                  <w:r>
                    <w:rPr>
                      <w:rFonts w:hint="eastAsia" w:ascii="Times New Roman" w:hAnsi="Times New Roman"/>
                      <w:color w:val="auto"/>
                      <w:spacing w:val="6"/>
                      <w:sz w:val="21"/>
                      <w:szCs w:val="21"/>
                      <w:lang w:val="en-US" w:eastAsia="zh-CN"/>
                    </w:rPr>
                    <w:t>a</w:t>
                  </w:r>
                </w:p>
              </w:tc>
              <w:tc>
                <w:tcPr>
                  <w:tcW w:w="1694" w:type="dxa"/>
                  <w:vMerge w:val="continue"/>
                  <w:tcBorders>
                    <w:tl2br w:val="nil"/>
                    <w:tr2bl w:val="nil"/>
                  </w:tcBorders>
                  <w:shd w:val="clear" w:color="auto" w:fill="auto"/>
                  <w:vAlign w:val="center"/>
                </w:tcPr>
                <w:p w14:paraId="36358BC6">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638" w:type="dxa"/>
                  <w:tcBorders>
                    <w:tl2br w:val="nil"/>
                    <w:tr2bl w:val="nil"/>
                  </w:tcBorders>
                  <w:shd w:val="clear" w:color="auto" w:fill="auto"/>
                  <w:vAlign w:val="center"/>
                </w:tcPr>
                <w:p w14:paraId="2FAEA8B2">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ascii="Times New Roman" w:hAnsi="Times New Roman" w:eastAsia="宋体"/>
                      <w:color w:val="auto"/>
                      <w:spacing w:val="6"/>
                      <w:sz w:val="21"/>
                      <w:szCs w:val="21"/>
                      <w:lang w:val="en-US" w:eastAsia="zh-CN"/>
                    </w:rPr>
                  </w:pPr>
                  <w:r>
                    <w:rPr>
                      <w:rFonts w:hint="default" w:ascii="Times New Roman" w:hAnsi="Times New Roman" w:eastAsia="宋体" w:cs="Times New Roman"/>
                      <w:color w:val="auto"/>
                      <w:kern w:val="0"/>
                      <w:sz w:val="20"/>
                      <w:szCs w:val="20"/>
                      <w:lang w:val="en-US" w:eastAsia="zh-CN" w:bidi="ar"/>
                    </w:rPr>
                    <w:t>5000</w:t>
                  </w:r>
                  <w:r>
                    <w:rPr>
                      <w:rFonts w:hint="eastAsia" w:ascii="宋体" w:hAnsi="宋体" w:eastAsia="宋体" w:cs="宋体"/>
                      <w:color w:val="auto"/>
                      <w:kern w:val="0"/>
                      <w:sz w:val="20"/>
                      <w:szCs w:val="20"/>
                      <w:lang w:val="en-US" w:eastAsia="zh-CN" w:bidi="ar"/>
                    </w:rPr>
                    <w:t>个</w:t>
                  </w:r>
                  <w:r>
                    <w:rPr>
                      <w:rFonts w:hint="default" w:ascii="Times New Roman" w:hAnsi="Times New Roman" w:eastAsia="宋体" w:cs="Times New Roman"/>
                      <w:color w:val="auto"/>
                      <w:kern w:val="0"/>
                      <w:sz w:val="20"/>
                      <w:szCs w:val="20"/>
                      <w:lang w:val="en-US" w:eastAsia="zh-CN" w:bidi="ar"/>
                    </w:rPr>
                    <w:t>/L</w:t>
                  </w:r>
                </w:p>
              </w:tc>
              <w:tc>
                <w:tcPr>
                  <w:tcW w:w="1030" w:type="dxa"/>
                  <w:tcBorders>
                    <w:tl2br w:val="nil"/>
                    <w:tr2bl w:val="nil"/>
                  </w:tcBorders>
                  <w:shd w:val="clear" w:color="auto" w:fill="auto"/>
                  <w:vAlign w:val="center"/>
                </w:tcPr>
                <w:p w14:paraId="782C1C60">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1.675</w:t>
                  </w:r>
                  <w:r>
                    <w:rPr>
                      <w:rFonts w:hint="default" w:ascii="Times New Roman" w:hAnsi="Times New Roman" w:eastAsia="宋体"/>
                      <w:color w:val="auto"/>
                      <w:spacing w:val="6"/>
                      <w:sz w:val="21"/>
                      <w:szCs w:val="21"/>
                      <w:lang w:val="en-US" w:eastAsia="zh-CN"/>
                    </w:rPr>
                    <w:t>×10</w:t>
                  </w:r>
                  <w:r>
                    <w:rPr>
                      <w:rFonts w:hint="default" w:ascii="Times New Roman" w:hAnsi="Times New Roman" w:eastAsia="宋体"/>
                      <w:color w:val="auto"/>
                      <w:spacing w:val="6"/>
                      <w:sz w:val="21"/>
                      <w:szCs w:val="21"/>
                      <w:vertAlign w:val="superscript"/>
                      <w:lang w:val="en-US" w:eastAsia="zh-CN"/>
                    </w:rPr>
                    <w:t>8</w:t>
                  </w:r>
                  <w:r>
                    <w:rPr>
                      <w:rFonts w:hint="eastAsia" w:ascii="Times New Roman" w:hAnsi="Times New Roman" w:eastAsia="宋体"/>
                      <w:color w:val="auto"/>
                      <w:spacing w:val="6"/>
                      <w:sz w:val="21"/>
                      <w:szCs w:val="21"/>
                      <w:lang w:val="en-US" w:eastAsia="zh-CN"/>
                    </w:rPr>
                    <w:t>个</w:t>
                  </w:r>
                  <w:r>
                    <w:rPr>
                      <w:rFonts w:hint="default" w:ascii="Times New Roman" w:hAnsi="Times New Roman" w:eastAsia="宋体"/>
                      <w:color w:val="auto"/>
                      <w:spacing w:val="6"/>
                      <w:sz w:val="21"/>
                      <w:szCs w:val="21"/>
                      <w:lang w:val="en-US" w:eastAsia="zh-CN"/>
                    </w:rPr>
                    <w:t>/</w:t>
                  </w:r>
                  <w:r>
                    <w:rPr>
                      <w:rFonts w:hint="eastAsia" w:ascii="Times New Roman" w:hAnsi="Times New Roman"/>
                      <w:color w:val="auto"/>
                      <w:spacing w:val="6"/>
                      <w:sz w:val="21"/>
                      <w:szCs w:val="21"/>
                      <w:lang w:val="en-US" w:eastAsia="zh-CN"/>
                    </w:rPr>
                    <w:t>a</w:t>
                  </w:r>
                </w:p>
              </w:tc>
              <w:tc>
                <w:tcPr>
                  <w:tcW w:w="638" w:type="dxa"/>
                  <w:tcBorders>
                    <w:tl2br w:val="nil"/>
                    <w:tr2bl w:val="nil"/>
                  </w:tcBorders>
                  <w:shd w:val="clear" w:color="auto" w:fill="auto"/>
                  <w:vAlign w:val="center"/>
                </w:tcPr>
                <w:p w14:paraId="68C2CB21">
                  <w:pPr>
                    <w:keepNext w:val="0"/>
                    <w:keepLines w:val="0"/>
                    <w:pageBreakBefore w:val="0"/>
                    <w:widowControl/>
                    <w:suppressLineNumbers w:val="0"/>
                    <w:kinsoku w:val="0"/>
                    <w:wordWrap/>
                    <w:overflowPunct w:val="0"/>
                    <w:topLinePunct w:val="0"/>
                    <w:autoSpaceDE/>
                    <w:autoSpaceDN/>
                    <w:bidi w:val="0"/>
                    <w:adjustRightInd/>
                    <w:snapToGrid/>
                    <w:jc w:val="left"/>
                    <w:textAlignment w:val="auto"/>
                    <w:rPr>
                      <w:color w:val="auto"/>
                    </w:rPr>
                  </w:pPr>
                  <w:r>
                    <w:rPr>
                      <w:rFonts w:hint="default" w:ascii="Times New Roman" w:hAnsi="Times New Roman" w:eastAsia="宋体" w:cs="Times New Roman"/>
                      <w:color w:val="auto"/>
                      <w:kern w:val="0"/>
                      <w:sz w:val="20"/>
                      <w:szCs w:val="20"/>
                      <w:lang w:val="en-US" w:eastAsia="zh-CN" w:bidi="ar"/>
                    </w:rPr>
                    <w:t>1000</w:t>
                  </w:r>
                </w:p>
                <w:p w14:paraId="741FA237">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both"/>
                    <w:textAlignment w:val="auto"/>
                    <w:rPr>
                      <w:rFonts w:ascii="Times New Roman" w:hAnsi="Times New Roman" w:eastAsia="宋体"/>
                      <w:color w:val="auto"/>
                      <w:spacing w:val="6"/>
                      <w:sz w:val="21"/>
                      <w:szCs w:val="21"/>
                      <w:lang w:val="en-US" w:eastAsia="zh-CN"/>
                    </w:rPr>
                  </w:pPr>
                  <w:r>
                    <w:rPr>
                      <w:rFonts w:hint="eastAsia" w:ascii="宋体" w:hAnsi="宋体" w:eastAsia="宋体" w:cs="宋体"/>
                      <w:color w:val="auto"/>
                      <w:kern w:val="0"/>
                      <w:sz w:val="20"/>
                      <w:szCs w:val="20"/>
                      <w:lang w:val="en-US" w:eastAsia="zh-CN" w:bidi="ar"/>
                    </w:rPr>
                    <w:t>个</w:t>
                  </w:r>
                  <w:r>
                    <w:rPr>
                      <w:rFonts w:hint="default" w:ascii="Times New Roman" w:hAnsi="Times New Roman" w:eastAsia="宋体" w:cs="Times New Roman"/>
                      <w:color w:val="auto"/>
                      <w:kern w:val="0"/>
                      <w:sz w:val="20"/>
                      <w:szCs w:val="20"/>
                      <w:lang w:val="en-US" w:eastAsia="zh-CN" w:bidi="ar"/>
                    </w:rPr>
                    <w:t>/L</w:t>
                  </w:r>
                </w:p>
              </w:tc>
              <w:tc>
                <w:tcPr>
                  <w:tcW w:w="1030" w:type="dxa"/>
                  <w:tcBorders>
                    <w:tl2br w:val="nil"/>
                    <w:tr2bl w:val="nil"/>
                  </w:tcBorders>
                  <w:shd w:val="clear" w:color="auto" w:fill="auto"/>
                  <w:vAlign w:val="center"/>
                </w:tcPr>
                <w:p w14:paraId="3EC549A1">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3.351</w:t>
                  </w:r>
                  <w:r>
                    <w:rPr>
                      <w:rFonts w:hint="default" w:ascii="Times New Roman" w:hAnsi="Times New Roman" w:eastAsia="宋体"/>
                      <w:color w:val="auto"/>
                      <w:spacing w:val="6"/>
                      <w:sz w:val="21"/>
                      <w:szCs w:val="21"/>
                      <w:lang w:val="en-US" w:eastAsia="zh-CN"/>
                    </w:rPr>
                    <w:t>×10</w:t>
                  </w:r>
                  <w:r>
                    <w:rPr>
                      <w:rFonts w:hint="eastAsia" w:ascii="Times New Roman" w:hAnsi="Times New Roman"/>
                      <w:color w:val="auto"/>
                      <w:spacing w:val="6"/>
                      <w:sz w:val="21"/>
                      <w:szCs w:val="21"/>
                      <w:vertAlign w:val="superscript"/>
                      <w:lang w:val="en-US" w:eastAsia="zh-CN"/>
                    </w:rPr>
                    <w:t>7</w:t>
                  </w:r>
                  <w:r>
                    <w:rPr>
                      <w:rFonts w:hint="eastAsia" w:ascii="Times New Roman" w:hAnsi="Times New Roman" w:eastAsia="宋体"/>
                      <w:color w:val="auto"/>
                      <w:spacing w:val="6"/>
                      <w:sz w:val="21"/>
                      <w:szCs w:val="21"/>
                      <w:lang w:val="en-US" w:eastAsia="zh-CN"/>
                    </w:rPr>
                    <w:t>个</w:t>
                  </w:r>
                  <w:r>
                    <w:rPr>
                      <w:rFonts w:hint="default" w:ascii="Times New Roman" w:hAnsi="Times New Roman" w:eastAsia="宋体"/>
                      <w:color w:val="auto"/>
                      <w:spacing w:val="6"/>
                      <w:sz w:val="21"/>
                      <w:szCs w:val="21"/>
                      <w:lang w:val="en-US" w:eastAsia="zh-CN"/>
                    </w:rPr>
                    <w:t>/</w:t>
                  </w:r>
                  <w:r>
                    <w:rPr>
                      <w:rFonts w:hint="eastAsia" w:ascii="Times New Roman" w:hAnsi="Times New Roman"/>
                      <w:color w:val="auto"/>
                      <w:spacing w:val="6"/>
                      <w:sz w:val="21"/>
                      <w:szCs w:val="21"/>
                      <w:lang w:val="en-US" w:eastAsia="zh-CN"/>
                    </w:rPr>
                    <w:t>a</w:t>
                  </w:r>
                </w:p>
              </w:tc>
            </w:tr>
            <w:tr w14:paraId="00E3C6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0" w:hRule="atLeast"/>
              </w:trPr>
              <w:tc>
                <w:tcPr>
                  <w:tcW w:w="1210" w:type="dxa"/>
                  <w:vMerge w:val="continue"/>
                  <w:tcBorders>
                    <w:tl2br w:val="nil"/>
                    <w:tr2bl w:val="nil"/>
                  </w:tcBorders>
                  <w:shd w:val="clear" w:color="auto" w:fill="auto"/>
                  <w:vAlign w:val="center"/>
                </w:tcPr>
                <w:p w14:paraId="45515AB8">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761" w:type="dxa"/>
                  <w:tcBorders>
                    <w:tl2br w:val="nil"/>
                    <w:tr2bl w:val="nil"/>
                  </w:tcBorders>
                  <w:shd w:val="clear" w:color="auto" w:fill="auto"/>
                  <w:vAlign w:val="center"/>
                </w:tcPr>
                <w:p w14:paraId="53A808EF">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color w:val="auto"/>
                      <w:spacing w:val="6"/>
                      <w:sz w:val="21"/>
                      <w:szCs w:val="21"/>
                      <w:lang w:val="en-US" w:eastAsia="zh-CN"/>
                    </w:rPr>
                  </w:pPr>
                  <w:r>
                    <w:rPr>
                      <w:rFonts w:hint="eastAsia" w:ascii="Times New Roman" w:hAnsi="Times New Roman"/>
                      <w:color w:val="auto"/>
                      <w:spacing w:val="6"/>
                      <w:sz w:val="21"/>
                      <w:szCs w:val="21"/>
                      <w:lang w:val="en-US" w:eastAsia="zh-CN"/>
                    </w:rPr>
                    <w:t>SS</w:t>
                  </w:r>
                </w:p>
              </w:tc>
              <w:tc>
                <w:tcPr>
                  <w:tcW w:w="834" w:type="dxa"/>
                  <w:tcBorders>
                    <w:tl2br w:val="nil"/>
                    <w:tr2bl w:val="nil"/>
                  </w:tcBorders>
                  <w:shd w:val="clear" w:color="auto" w:fill="auto"/>
                  <w:vAlign w:val="center"/>
                </w:tcPr>
                <w:p w14:paraId="2FA9BA70">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olor w:val="auto"/>
                      <w:spacing w:val="6"/>
                      <w:sz w:val="21"/>
                      <w:szCs w:val="21"/>
                      <w:lang w:val="en-US" w:eastAsia="zh-CN"/>
                    </w:rPr>
                  </w:pPr>
                  <w:r>
                    <w:rPr>
                      <w:rFonts w:hint="eastAsia" w:ascii="Times New Roman" w:hAnsi="Times New Roman"/>
                      <w:color w:val="auto"/>
                      <w:spacing w:val="6"/>
                      <w:sz w:val="21"/>
                      <w:szCs w:val="21"/>
                      <w:lang w:val="en-US" w:eastAsia="zh-CN"/>
                    </w:rPr>
                    <w:t>150</w:t>
                  </w:r>
                </w:p>
              </w:tc>
              <w:tc>
                <w:tcPr>
                  <w:tcW w:w="1095" w:type="dxa"/>
                  <w:tcBorders>
                    <w:tl2br w:val="nil"/>
                    <w:tr2bl w:val="nil"/>
                  </w:tcBorders>
                  <w:shd w:val="clear" w:color="auto" w:fill="auto"/>
                  <w:vAlign w:val="center"/>
                </w:tcPr>
                <w:p w14:paraId="13D1C600">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color w:val="auto"/>
                      <w:spacing w:val="6"/>
                      <w:sz w:val="21"/>
                      <w:szCs w:val="21"/>
                      <w:lang w:val="en-US" w:eastAsia="zh-CN"/>
                    </w:rPr>
                  </w:pPr>
                  <w:r>
                    <w:rPr>
                      <w:rFonts w:hint="eastAsia" w:ascii="Times New Roman" w:hAnsi="Times New Roman"/>
                      <w:color w:val="auto"/>
                      <w:spacing w:val="6"/>
                      <w:sz w:val="21"/>
                      <w:szCs w:val="21"/>
                      <w:lang w:val="en-US" w:eastAsia="zh-CN"/>
                    </w:rPr>
                    <w:t>5.0261</w:t>
                  </w:r>
                </w:p>
              </w:tc>
              <w:tc>
                <w:tcPr>
                  <w:tcW w:w="1694" w:type="dxa"/>
                  <w:vMerge w:val="continue"/>
                  <w:tcBorders>
                    <w:tl2br w:val="nil"/>
                    <w:tr2bl w:val="nil"/>
                  </w:tcBorders>
                  <w:shd w:val="clear" w:color="auto" w:fill="auto"/>
                  <w:vAlign w:val="center"/>
                </w:tcPr>
                <w:p w14:paraId="572A3B75">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color w:val="auto"/>
                      <w:spacing w:val="6"/>
                      <w:sz w:val="21"/>
                      <w:szCs w:val="21"/>
                      <w:lang w:val="en-US" w:eastAsia="zh-CN"/>
                    </w:rPr>
                  </w:pPr>
                </w:p>
              </w:tc>
              <w:tc>
                <w:tcPr>
                  <w:tcW w:w="638" w:type="dxa"/>
                  <w:tcBorders>
                    <w:tl2br w:val="nil"/>
                    <w:tr2bl w:val="nil"/>
                  </w:tcBorders>
                  <w:shd w:val="clear" w:color="auto" w:fill="auto"/>
                  <w:vAlign w:val="center"/>
                </w:tcPr>
                <w:p w14:paraId="757084E4">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0"/>
                      <w:sz w:val="20"/>
                      <w:szCs w:val="20"/>
                      <w:lang w:val="en-US" w:eastAsia="zh-CN" w:bidi="ar"/>
                    </w:rPr>
                  </w:pPr>
                  <w:r>
                    <w:rPr>
                      <w:rFonts w:hint="eastAsia" w:ascii="Times New Roman" w:hAnsi="Times New Roman" w:cs="Times New Roman"/>
                      <w:color w:val="auto"/>
                      <w:kern w:val="0"/>
                      <w:sz w:val="20"/>
                      <w:szCs w:val="20"/>
                      <w:lang w:val="en-US" w:eastAsia="zh-CN" w:bidi="ar"/>
                    </w:rPr>
                    <w:t>90</w:t>
                  </w:r>
                </w:p>
              </w:tc>
              <w:tc>
                <w:tcPr>
                  <w:tcW w:w="1030" w:type="dxa"/>
                  <w:tcBorders>
                    <w:tl2br w:val="nil"/>
                    <w:tr2bl w:val="nil"/>
                  </w:tcBorders>
                  <w:shd w:val="clear" w:color="auto" w:fill="auto"/>
                  <w:vAlign w:val="center"/>
                </w:tcPr>
                <w:p w14:paraId="01C9A3EB">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color w:val="auto"/>
                      <w:spacing w:val="6"/>
                      <w:sz w:val="21"/>
                      <w:szCs w:val="21"/>
                      <w:lang w:val="en-US" w:eastAsia="zh-CN"/>
                    </w:rPr>
                  </w:pPr>
                  <w:r>
                    <w:rPr>
                      <w:rFonts w:hint="eastAsia" w:ascii="Times New Roman" w:hAnsi="Times New Roman"/>
                      <w:color w:val="auto"/>
                      <w:spacing w:val="6"/>
                      <w:sz w:val="21"/>
                      <w:szCs w:val="21"/>
                      <w:lang w:val="en-US" w:eastAsia="zh-CN"/>
                    </w:rPr>
                    <w:t>3.0156</w:t>
                  </w:r>
                </w:p>
              </w:tc>
              <w:tc>
                <w:tcPr>
                  <w:tcW w:w="638" w:type="dxa"/>
                  <w:tcBorders>
                    <w:tl2br w:val="nil"/>
                    <w:tr2bl w:val="nil"/>
                  </w:tcBorders>
                  <w:shd w:val="clear" w:color="auto" w:fill="auto"/>
                  <w:vAlign w:val="center"/>
                </w:tcPr>
                <w:p w14:paraId="55AAF907">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宋体" w:hAnsi="宋体" w:eastAsia="宋体" w:cs="宋体"/>
                      <w:color w:val="auto"/>
                      <w:kern w:val="0"/>
                      <w:sz w:val="20"/>
                      <w:szCs w:val="20"/>
                      <w:lang w:val="en-US" w:eastAsia="zh-CN" w:bidi="ar"/>
                    </w:rPr>
                  </w:pPr>
                  <w:r>
                    <w:rPr>
                      <w:rFonts w:hint="eastAsia" w:ascii="Times New Roman" w:hAnsi="Times New Roman" w:eastAsia="宋体"/>
                      <w:color w:val="auto"/>
                      <w:spacing w:val="6"/>
                      <w:sz w:val="21"/>
                      <w:szCs w:val="21"/>
                      <w:lang w:val="en-US" w:eastAsia="zh-CN"/>
                    </w:rPr>
                    <w:t>10</w:t>
                  </w:r>
                </w:p>
              </w:tc>
              <w:tc>
                <w:tcPr>
                  <w:tcW w:w="1030" w:type="dxa"/>
                  <w:tcBorders>
                    <w:tl2br w:val="nil"/>
                    <w:tr2bl w:val="nil"/>
                  </w:tcBorders>
                  <w:shd w:val="clear" w:color="auto" w:fill="auto"/>
                  <w:vAlign w:val="center"/>
                </w:tcPr>
                <w:p w14:paraId="2CC58163">
                  <w:pPr>
                    <w:pStyle w:val="115"/>
                    <w:keepNext w:val="0"/>
                    <w:keepLines w:val="0"/>
                    <w:pageBreakBefore w:val="0"/>
                    <w:widowControl w:val="0"/>
                    <w:kinsoku w:val="0"/>
                    <w:wordWrap/>
                    <w:overflowPunct w:val="0"/>
                    <w:topLinePunct w:val="0"/>
                    <w:autoSpaceDE/>
                    <w:autoSpaceDN/>
                    <w:bidi w:val="0"/>
                    <w:adjustRightInd/>
                    <w:snapToGrid/>
                    <w:spacing w:line="240" w:lineRule="auto"/>
                    <w:ind w:left="0" w:right="0" w:firstLine="0" w:firstLineChars="0"/>
                    <w:jc w:val="center"/>
                    <w:textAlignment w:val="auto"/>
                    <w:rPr>
                      <w:rFonts w:hint="default" w:ascii="Times New Roman" w:hAnsi="Times New Roman"/>
                      <w:color w:val="auto"/>
                      <w:spacing w:val="6"/>
                      <w:sz w:val="21"/>
                      <w:szCs w:val="21"/>
                      <w:lang w:val="en-US" w:eastAsia="zh-CN"/>
                    </w:rPr>
                  </w:pPr>
                  <w:r>
                    <w:rPr>
                      <w:rFonts w:hint="eastAsia" w:ascii="Times New Roman" w:hAnsi="Times New Roman"/>
                      <w:color w:val="auto"/>
                      <w:spacing w:val="6"/>
                      <w:sz w:val="21"/>
                      <w:szCs w:val="21"/>
                      <w:lang w:val="en-US" w:eastAsia="zh-CN"/>
                    </w:rPr>
                    <w:t>0.3351</w:t>
                  </w:r>
                </w:p>
              </w:tc>
            </w:tr>
          </w:tbl>
          <w:p w14:paraId="026D5DA7">
            <w:pPr>
              <w:pStyle w:val="44"/>
              <w:keepNext/>
              <w:keepLines/>
              <w:pageBreakBefore w:val="0"/>
              <w:widowControl w:val="0"/>
              <w:numPr>
                <w:ilvl w:val="7"/>
                <w:numId w:val="1"/>
              </w:numPr>
              <w:kinsoku/>
              <w:wordWrap/>
              <w:overflowPunct/>
              <w:topLinePunct w:val="0"/>
              <w:autoSpaceDE/>
              <w:autoSpaceDN/>
              <w:bidi w:val="0"/>
              <w:adjustRightInd/>
              <w:snapToGrid/>
              <w:spacing w:before="157" w:beforeLines="50" w:after="0"/>
              <w:ind w:left="210" w:leftChars="0" w:firstLine="0" w:firstLineChars="0"/>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项目废水最终排放情况</w:t>
            </w:r>
          </w:p>
          <w:tbl>
            <w:tblPr>
              <w:tblStyle w:val="35"/>
              <w:tblW w:w="87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7"/>
              <w:gridCol w:w="2188"/>
              <w:gridCol w:w="2188"/>
              <w:gridCol w:w="2188"/>
            </w:tblGrid>
            <w:tr w14:paraId="1BB2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7" w:type="dxa"/>
                  <w:tcBorders>
                    <w:top w:val="single" w:color="auto" w:sz="12" w:space="0"/>
                    <w:bottom w:val="single" w:color="000000" w:sz="12" w:space="0"/>
                  </w:tcBorders>
                  <w:vAlign w:val="center"/>
                </w:tcPr>
                <w:p w14:paraId="193C20B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项目</w:t>
                  </w:r>
                </w:p>
              </w:tc>
              <w:tc>
                <w:tcPr>
                  <w:tcW w:w="2188" w:type="dxa"/>
                  <w:tcBorders>
                    <w:top w:val="single" w:color="auto" w:sz="12" w:space="0"/>
                    <w:bottom w:val="single" w:color="000000" w:sz="12" w:space="0"/>
                  </w:tcBorders>
                  <w:vAlign w:val="center"/>
                </w:tcPr>
                <w:p w14:paraId="02C2C26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产生量（t/a）</w:t>
                  </w:r>
                </w:p>
              </w:tc>
              <w:tc>
                <w:tcPr>
                  <w:tcW w:w="2188" w:type="dxa"/>
                  <w:tcBorders>
                    <w:top w:val="single" w:color="auto" w:sz="12" w:space="0"/>
                    <w:bottom w:val="single" w:color="000000" w:sz="12" w:space="0"/>
                  </w:tcBorders>
                  <w:vAlign w:val="center"/>
                </w:tcPr>
                <w:p w14:paraId="457ADED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排入污水处理厂的量（t/a）</w:t>
                  </w:r>
                </w:p>
              </w:tc>
              <w:tc>
                <w:tcPr>
                  <w:tcW w:w="2188" w:type="dxa"/>
                  <w:tcBorders>
                    <w:top w:val="single" w:color="auto" w:sz="12" w:space="0"/>
                    <w:bottom w:val="single" w:color="000000" w:sz="12" w:space="0"/>
                    <w:right w:val="nil"/>
                  </w:tcBorders>
                  <w:vAlign w:val="center"/>
                </w:tcPr>
                <w:p w14:paraId="0A366F7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vertAlign w:val="baseline"/>
                      <w:lang w:val="en-US" w:eastAsia="zh-CN"/>
                    </w:rPr>
                  </w:pPr>
                  <w:r>
                    <w:rPr>
                      <w:rFonts w:hint="eastAsia"/>
                      <w:color w:val="auto"/>
                      <w:sz w:val="21"/>
                      <w:vertAlign w:val="baseline"/>
                      <w:lang w:val="en-US" w:eastAsia="zh-CN"/>
                    </w:rPr>
                    <w:t>污水处理厂</w:t>
                  </w:r>
                  <w:r>
                    <w:rPr>
                      <w:rFonts w:hint="default" w:ascii="Times New Roman" w:hAnsi="Times New Roman" w:eastAsia="宋体"/>
                      <w:color w:val="auto"/>
                      <w:sz w:val="21"/>
                      <w:vertAlign w:val="baseline"/>
                      <w:lang w:val="en-US" w:eastAsia="zh-CN"/>
                    </w:rPr>
                    <w:t>处理后排放量（t/a）</w:t>
                  </w:r>
                </w:p>
              </w:tc>
            </w:tr>
            <w:tr w14:paraId="1FE32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7" w:type="dxa"/>
                  <w:tcBorders>
                    <w:top w:val="single" w:color="000000" w:sz="12" w:space="0"/>
                    <w:left w:val="nil"/>
                  </w:tcBorders>
                  <w:vAlign w:val="center"/>
                </w:tcPr>
                <w:p w14:paraId="1A7CEB04">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废水量</w:t>
                  </w:r>
                </w:p>
              </w:tc>
              <w:tc>
                <w:tcPr>
                  <w:tcW w:w="2188" w:type="dxa"/>
                  <w:tcBorders>
                    <w:top w:val="single" w:color="000000" w:sz="12" w:space="0"/>
                  </w:tcBorders>
                  <w:vAlign w:val="center"/>
                </w:tcPr>
                <w:p w14:paraId="337CBF9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vertAlign w:val="baseline"/>
                      <w:lang w:val="en-US" w:eastAsia="zh-CN"/>
                    </w:rPr>
                  </w:pPr>
                  <w:r>
                    <w:rPr>
                      <w:rFonts w:hint="default" w:ascii="Times New Roman" w:hAnsi="Times New Roman" w:eastAsia="宋体"/>
                      <w:color w:val="auto"/>
                      <w:sz w:val="21"/>
                      <w:vertAlign w:val="baseline"/>
                      <w:lang w:val="en-US" w:eastAsia="zh-CN"/>
                    </w:rPr>
                    <w:t>42451.51‬</w:t>
                  </w:r>
                </w:p>
              </w:tc>
              <w:tc>
                <w:tcPr>
                  <w:tcW w:w="2188" w:type="dxa"/>
                  <w:tcBorders>
                    <w:top w:val="single" w:color="000000" w:sz="12" w:space="0"/>
                  </w:tcBorders>
                  <w:vAlign w:val="center"/>
                </w:tcPr>
                <w:p w14:paraId="0347D28D">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vertAlign w:val="baseline"/>
                      <w:lang w:val="en-US" w:eastAsia="zh-CN"/>
                    </w:rPr>
                  </w:pPr>
                  <w:r>
                    <w:rPr>
                      <w:rFonts w:hint="default" w:ascii="Times New Roman" w:hAnsi="Times New Roman" w:eastAsia="宋体"/>
                      <w:color w:val="auto"/>
                      <w:sz w:val="21"/>
                      <w:vertAlign w:val="baseline"/>
                      <w:lang w:val="en-US" w:eastAsia="zh-CN"/>
                    </w:rPr>
                    <w:t>42451.51</w:t>
                  </w:r>
                </w:p>
              </w:tc>
              <w:tc>
                <w:tcPr>
                  <w:tcW w:w="2188" w:type="dxa"/>
                  <w:tcBorders>
                    <w:top w:val="single" w:color="000000" w:sz="12" w:space="0"/>
                    <w:right w:val="nil"/>
                  </w:tcBorders>
                  <w:vAlign w:val="center"/>
                </w:tcPr>
                <w:p w14:paraId="3B67A4A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vertAlign w:val="baseline"/>
                      <w:lang w:val="en-US" w:eastAsia="zh-CN"/>
                    </w:rPr>
                  </w:pPr>
                  <w:r>
                    <w:rPr>
                      <w:rFonts w:hint="default" w:ascii="Times New Roman" w:hAnsi="Times New Roman" w:eastAsia="宋体"/>
                      <w:color w:val="auto"/>
                      <w:sz w:val="21"/>
                      <w:vertAlign w:val="baseline"/>
                      <w:lang w:val="en-US" w:eastAsia="zh-CN"/>
                    </w:rPr>
                    <w:t>42451.51</w:t>
                  </w:r>
                </w:p>
              </w:tc>
            </w:tr>
            <w:tr w14:paraId="2323D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7" w:type="dxa"/>
                  <w:tcBorders>
                    <w:left w:val="nil"/>
                  </w:tcBorders>
                  <w:vAlign w:val="center"/>
                </w:tcPr>
                <w:p w14:paraId="6FCFE74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vertAlign w:val="baseline"/>
                      <w:lang w:val="en-US" w:eastAsia="zh-CN"/>
                    </w:rPr>
                  </w:pPr>
                  <w:r>
                    <w:rPr>
                      <w:rFonts w:hint="eastAsia" w:ascii="Times New Roman" w:hAnsi="Times New Roman" w:eastAsia="宋体"/>
                      <w:color w:val="auto"/>
                      <w:sz w:val="21"/>
                      <w:vertAlign w:val="baseline"/>
                      <w:lang w:val="en-US" w:eastAsia="zh-CN"/>
                    </w:rPr>
                    <w:t>COD</w:t>
                  </w:r>
                </w:p>
              </w:tc>
              <w:tc>
                <w:tcPr>
                  <w:tcW w:w="2188" w:type="dxa"/>
                  <w:vAlign w:val="center"/>
                </w:tcPr>
                <w:p w14:paraId="7D01EDD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vertAlign w:val="baseline"/>
                      <w:lang w:val="en-US" w:eastAsia="zh-CN"/>
                    </w:rPr>
                  </w:pPr>
                  <w:r>
                    <w:rPr>
                      <w:rFonts w:hint="eastAsia"/>
                      <w:color w:val="auto"/>
                      <w:sz w:val="21"/>
                      <w:vertAlign w:val="baseline"/>
                      <w:lang w:val="en-US" w:eastAsia="zh-CN"/>
                    </w:rPr>
                    <w:t>12.7354</w:t>
                  </w:r>
                </w:p>
              </w:tc>
              <w:tc>
                <w:tcPr>
                  <w:tcW w:w="2188" w:type="dxa"/>
                  <w:vAlign w:val="center"/>
                </w:tcPr>
                <w:p w14:paraId="7E9D6E87">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vertAlign w:val="baseline"/>
                      <w:lang w:val="en-US" w:eastAsia="zh-CN"/>
                    </w:rPr>
                  </w:pPr>
                  <w:r>
                    <w:rPr>
                      <w:rFonts w:hint="eastAsia"/>
                      <w:color w:val="auto"/>
                      <w:sz w:val="21"/>
                      <w:vertAlign w:val="baseline"/>
                      <w:lang w:val="en-US" w:eastAsia="zh-CN"/>
                    </w:rPr>
                    <w:t>10.6129</w:t>
                  </w:r>
                </w:p>
              </w:tc>
              <w:tc>
                <w:tcPr>
                  <w:tcW w:w="2188" w:type="dxa"/>
                  <w:tcBorders>
                    <w:right w:val="nil"/>
                  </w:tcBorders>
                  <w:vAlign w:val="center"/>
                </w:tcPr>
                <w:p w14:paraId="176B631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vertAlign w:val="baseline"/>
                      <w:lang w:val="en-US" w:eastAsia="zh-CN"/>
                    </w:rPr>
                  </w:pPr>
                  <w:r>
                    <w:rPr>
                      <w:rFonts w:hint="eastAsia"/>
                      <w:color w:val="auto"/>
                      <w:sz w:val="21"/>
                      <w:vertAlign w:val="baseline"/>
                      <w:lang w:val="en-US" w:eastAsia="zh-CN"/>
                    </w:rPr>
                    <w:t>2.1226</w:t>
                  </w:r>
                </w:p>
              </w:tc>
            </w:tr>
            <w:tr w14:paraId="45A2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7" w:type="dxa"/>
                  <w:tcBorders>
                    <w:left w:val="nil"/>
                  </w:tcBorders>
                  <w:shd w:val="clear" w:color="auto" w:fill="auto"/>
                  <w:vAlign w:val="center"/>
                </w:tcPr>
                <w:p w14:paraId="5AAB8C03">
                  <w:pPr>
                    <w:pStyle w:val="115"/>
                    <w:keepNext w:val="0"/>
                    <w:keepLines w:val="0"/>
                    <w:pageBreakBefore w:val="0"/>
                    <w:widowControl w:val="0"/>
                    <w:kinsoku w:val="0"/>
                    <w:wordWrap/>
                    <w:overflowPunct w:val="0"/>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宋体"/>
                      <w:color w:val="auto"/>
                      <w:spacing w:val="6"/>
                      <w:kern w:val="2"/>
                      <w:sz w:val="21"/>
                      <w:szCs w:val="21"/>
                      <w:lang w:val="en-US" w:eastAsia="zh-CN" w:bidi="ar-SA"/>
                    </w:rPr>
                  </w:pPr>
                  <w:r>
                    <w:rPr>
                      <w:rFonts w:ascii="Times New Roman" w:hAnsi="Times New Roman" w:eastAsia="宋体"/>
                      <w:color w:val="auto"/>
                      <w:spacing w:val="6"/>
                      <w:sz w:val="21"/>
                      <w:szCs w:val="21"/>
                      <w:lang w:val="en-US" w:eastAsia="zh-CN"/>
                    </w:rPr>
                    <w:t>BOD</w:t>
                  </w:r>
                  <w:r>
                    <w:rPr>
                      <w:rFonts w:hint="eastAsia" w:ascii="Times New Roman" w:hAnsi="Times New Roman"/>
                      <w:color w:val="auto"/>
                      <w:spacing w:val="6"/>
                      <w:sz w:val="21"/>
                      <w:szCs w:val="21"/>
                      <w:vertAlign w:val="subscript"/>
                      <w:lang w:val="en-US" w:eastAsia="zh-CN"/>
                    </w:rPr>
                    <w:t>5</w:t>
                  </w:r>
                </w:p>
              </w:tc>
              <w:tc>
                <w:tcPr>
                  <w:tcW w:w="2188" w:type="dxa"/>
                  <w:vAlign w:val="center"/>
                </w:tcPr>
                <w:p w14:paraId="14A17A2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vertAlign w:val="baseline"/>
                      <w:lang w:val="en-US" w:eastAsia="zh-CN"/>
                    </w:rPr>
                  </w:pPr>
                  <w:r>
                    <w:rPr>
                      <w:rFonts w:hint="eastAsia"/>
                      <w:color w:val="auto"/>
                      <w:sz w:val="21"/>
                      <w:vertAlign w:val="baseline"/>
                      <w:lang w:val="en-US" w:eastAsia="zh-CN"/>
                    </w:rPr>
                    <w:t>6.0678</w:t>
                  </w:r>
                </w:p>
              </w:tc>
              <w:tc>
                <w:tcPr>
                  <w:tcW w:w="2188" w:type="dxa"/>
                  <w:vAlign w:val="center"/>
                </w:tcPr>
                <w:p w14:paraId="22F34CD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vertAlign w:val="baseline"/>
                      <w:lang w:val="en-US" w:eastAsia="zh-CN"/>
                    </w:rPr>
                  </w:pPr>
                  <w:r>
                    <w:rPr>
                      <w:rFonts w:hint="eastAsia"/>
                      <w:color w:val="auto"/>
                      <w:sz w:val="21"/>
                      <w:vertAlign w:val="baseline"/>
                      <w:lang w:val="en-US" w:eastAsia="zh-CN"/>
                    </w:rPr>
                    <w:t>4.2452</w:t>
                  </w:r>
                </w:p>
              </w:tc>
              <w:tc>
                <w:tcPr>
                  <w:tcW w:w="2188" w:type="dxa"/>
                  <w:tcBorders>
                    <w:right w:val="nil"/>
                  </w:tcBorders>
                  <w:vAlign w:val="center"/>
                </w:tcPr>
                <w:p w14:paraId="23596691">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vertAlign w:val="baseline"/>
                      <w:lang w:val="en-US" w:eastAsia="zh-CN"/>
                    </w:rPr>
                  </w:pPr>
                  <w:r>
                    <w:rPr>
                      <w:rFonts w:hint="eastAsia"/>
                      <w:color w:val="auto"/>
                      <w:sz w:val="21"/>
                      <w:vertAlign w:val="baseline"/>
                      <w:lang w:val="en-US" w:eastAsia="zh-CN"/>
                    </w:rPr>
                    <w:t>0.4246</w:t>
                  </w:r>
                </w:p>
              </w:tc>
            </w:tr>
            <w:tr w14:paraId="1318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7" w:type="dxa"/>
                  <w:tcBorders>
                    <w:left w:val="nil"/>
                  </w:tcBorders>
                  <w:shd w:val="clear" w:color="auto" w:fill="auto"/>
                  <w:vAlign w:val="center"/>
                </w:tcPr>
                <w:p w14:paraId="2B4DA4D1">
                  <w:pPr>
                    <w:pStyle w:val="115"/>
                    <w:keepNext w:val="0"/>
                    <w:keepLines w:val="0"/>
                    <w:pageBreakBefore w:val="0"/>
                    <w:widowControl w:val="0"/>
                    <w:kinsoku w:val="0"/>
                    <w:wordWrap/>
                    <w:overflowPunct w:val="0"/>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宋体"/>
                      <w:color w:val="auto"/>
                      <w:spacing w:val="6"/>
                      <w:kern w:val="2"/>
                      <w:sz w:val="21"/>
                      <w:szCs w:val="21"/>
                      <w:lang w:val="en-US" w:eastAsia="zh-CN" w:bidi="ar-SA"/>
                    </w:rPr>
                  </w:pPr>
                  <w:r>
                    <w:rPr>
                      <w:rFonts w:ascii="Times New Roman" w:hAnsi="Times New Roman" w:eastAsia="宋体"/>
                      <w:color w:val="auto"/>
                      <w:spacing w:val="6"/>
                      <w:sz w:val="21"/>
                      <w:szCs w:val="21"/>
                      <w:lang w:val="en-US" w:eastAsia="zh-CN"/>
                    </w:rPr>
                    <w:t>NH₃-N</w:t>
                  </w:r>
                </w:p>
              </w:tc>
              <w:tc>
                <w:tcPr>
                  <w:tcW w:w="2188" w:type="dxa"/>
                  <w:vAlign w:val="center"/>
                </w:tcPr>
                <w:p w14:paraId="32C52DB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vertAlign w:val="baseline"/>
                      <w:lang w:val="en-US" w:eastAsia="zh-CN"/>
                    </w:rPr>
                  </w:pPr>
                  <w:r>
                    <w:rPr>
                      <w:rFonts w:hint="eastAsia"/>
                      <w:color w:val="auto"/>
                      <w:sz w:val="21"/>
                      <w:vertAlign w:val="baseline"/>
                      <w:lang w:val="en-US" w:eastAsia="zh-CN"/>
                    </w:rPr>
                    <w:t>1.3033</w:t>
                  </w:r>
                </w:p>
              </w:tc>
              <w:tc>
                <w:tcPr>
                  <w:tcW w:w="2188" w:type="dxa"/>
                  <w:vAlign w:val="center"/>
                </w:tcPr>
                <w:p w14:paraId="60E5339F">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vertAlign w:val="baseline"/>
                      <w:lang w:val="en-US" w:eastAsia="zh-CN"/>
                    </w:rPr>
                  </w:pPr>
                  <w:r>
                    <w:rPr>
                      <w:rFonts w:hint="eastAsia"/>
                      <w:color w:val="auto"/>
                      <w:sz w:val="21"/>
                      <w:vertAlign w:val="baseline"/>
                      <w:lang w:val="en-US" w:eastAsia="zh-CN"/>
                    </w:rPr>
                    <w:t>1.0613</w:t>
                  </w:r>
                </w:p>
              </w:tc>
              <w:tc>
                <w:tcPr>
                  <w:tcW w:w="2188" w:type="dxa"/>
                  <w:tcBorders>
                    <w:right w:val="nil"/>
                  </w:tcBorders>
                  <w:vAlign w:val="center"/>
                </w:tcPr>
                <w:p w14:paraId="73D9FA5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vertAlign w:val="baseline"/>
                      <w:lang w:val="en-US" w:eastAsia="zh-CN"/>
                    </w:rPr>
                  </w:pPr>
                  <w:r>
                    <w:rPr>
                      <w:rFonts w:hint="eastAsia"/>
                      <w:color w:val="auto"/>
                      <w:sz w:val="21"/>
                      <w:vertAlign w:val="baseline"/>
                      <w:lang w:val="en-US" w:eastAsia="zh-CN"/>
                    </w:rPr>
                    <w:t>0.2122</w:t>
                  </w:r>
                </w:p>
              </w:tc>
            </w:tr>
            <w:tr w14:paraId="59818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7" w:type="dxa"/>
                  <w:tcBorders>
                    <w:left w:val="nil"/>
                  </w:tcBorders>
                  <w:vAlign w:val="center"/>
                </w:tcPr>
                <w:p w14:paraId="6F4E64F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vertAlign w:val="baseline"/>
                      <w:lang w:val="en-US" w:eastAsia="zh-CN"/>
                    </w:rPr>
                  </w:pPr>
                  <w:r>
                    <w:rPr>
                      <w:rFonts w:hint="eastAsia" w:ascii="Times New Roman" w:hAnsi="Times New Roman" w:eastAsia="宋体"/>
                      <w:color w:val="auto"/>
                      <w:spacing w:val="6"/>
                      <w:sz w:val="21"/>
                      <w:szCs w:val="21"/>
                      <w:lang w:val="en-US" w:eastAsia="zh-CN"/>
                    </w:rPr>
                    <w:t>粪大肠菌群</w:t>
                  </w:r>
                </w:p>
              </w:tc>
              <w:tc>
                <w:tcPr>
                  <w:tcW w:w="2188" w:type="dxa"/>
                  <w:vAlign w:val="center"/>
                </w:tcPr>
                <w:p w14:paraId="3D3B0CEE">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vertAlign w:val="baseline"/>
                      <w:lang w:val="en-US" w:eastAsia="zh-CN"/>
                    </w:rPr>
                  </w:pPr>
                  <w:r>
                    <w:rPr>
                      <w:rFonts w:hint="eastAsia"/>
                      <w:color w:val="auto"/>
                      <w:sz w:val="21"/>
                      <w:vertAlign w:val="baseline"/>
                      <w:lang w:val="en-US" w:eastAsia="zh-CN"/>
                    </w:rPr>
                    <w:t>4.824</w:t>
                  </w:r>
                  <w:r>
                    <w:rPr>
                      <w:rFonts w:hint="default" w:ascii="Times New Roman" w:hAnsi="Times New Roman" w:eastAsia="宋体"/>
                      <w:color w:val="auto"/>
                      <w:spacing w:val="6"/>
                      <w:sz w:val="21"/>
                      <w:szCs w:val="21"/>
                      <w:lang w:val="en-US" w:eastAsia="zh-CN"/>
                    </w:rPr>
                    <w:t>×10</w:t>
                  </w:r>
                  <w:r>
                    <w:rPr>
                      <w:rFonts w:hint="eastAsia"/>
                      <w:color w:val="auto"/>
                      <w:spacing w:val="6"/>
                      <w:sz w:val="21"/>
                      <w:szCs w:val="21"/>
                      <w:vertAlign w:val="superscript"/>
                      <w:lang w:val="en-US" w:eastAsia="zh-CN"/>
                    </w:rPr>
                    <w:t>14</w:t>
                  </w:r>
                  <w:r>
                    <w:rPr>
                      <w:rFonts w:hint="eastAsia" w:ascii="Times New Roman" w:hAnsi="Times New Roman" w:eastAsia="宋体"/>
                      <w:color w:val="auto"/>
                      <w:spacing w:val="6"/>
                      <w:sz w:val="21"/>
                      <w:szCs w:val="21"/>
                      <w:lang w:val="en-US" w:eastAsia="zh-CN"/>
                    </w:rPr>
                    <w:t>个</w:t>
                  </w:r>
                  <w:r>
                    <w:rPr>
                      <w:rFonts w:hint="eastAsia"/>
                      <w:color w:val="auto"/>
                      <w:spacing w:val="6"/>
                      <w:sz w:val="21"/>
                      <w:szCs w:val="21"/>
                      <w:lang w:val="en-US" w:eastAsia="zh-CN"/>
                    </w:rPr>
                    <w:t>/a</w:t>
                  </w:r>
                </w:p>
              </w:tc>
              <w:tc>
                <w:tcPr>
                  <w:tcW w:w="2188" w:type="dxa"/>
                  <w:vAlign w:val="center"/>
                </w:tcPr>
                <w:p w14:paraId="73217B9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vertAlign w:val="baseline"/>
                      <w:lang w:val="en-US" w:eastAsia="zh-CN"/>
                    </w:rPr>
                  </w:pPr>
                  <w:r>
                    <w:rPr>
                      <w:rFonts w:hint="eastAsia"/>
                      <w:color w:val="auto"/>
                      <w:sz w:val="21"/>
                      <w:vertAlign w:val="baseline"/>
                      <w:lang w:val="en-US" w:eastAsia="zh-CN"/>
                    </w:rPr>
                    <w:t>1.507</w:t>
                  </w:r>
                  <w:r>
                    <w:rPr>
                      <w:rFonts w:hint="default" w:ascii="Times New Roman" w:hAnsi="Times New Roman" w:eastAsia="宋体"/>
                      <w:color w:val="auto"/>
                      <w:spacing w:val="6"/>
                      <w:sz w:val="21"/>
                      <w:szCs w:val="21"/>
                      <w:lang w:val="en-US" w:eastAsia="zh-CN"/>
                    </w:rPr>
                    <w:t>×10</w:t>
                  </w:r>
                  <w:r>
                    <w:rPr>
                      <w:rFonts w:hint="eastAsia"/>
                      <w:color w:val="auto"/>
                      <w:spacing w:val="6"/>
                      <w:sz w:val="21"/>
                      <w:szCs w:val="21"/>
                      <w:vertAlign w:val="superscript"/>
                      <w:lang w:val="en-US" w:eastAsia="zh-CN"/>
                    </w:rPr>
                    <w:t>10</w:t>
                  </w:r>
                  <w:r>
                    <w:rPr>
                      <w:rFonts w:hint="eastAsia" w:ascii="Times New Roman" w:hAnsi="Times New Roman" w:eastAsia="宋体"/>
                      <w:color w:val="auto"/>
                      <w:spacing w:val="6"/>
                      <w:sz w:val="21"/>
                      <w:szCs w:val="21"/>
                      <w:lang w:val="en-US" w:eastAsia="zh-CN"/>
                    </w:rPr>
                    <w:t>个</w:t>
                  </w:r>
                  <w:r>
                    <w:rPr>
                      <w:rFonts w:hint="eastAsia"/>
                      <w:color w:val="auto"/>
                      <w:spacing w:val="6"/>
                      <w:sz w:val="21"/>
                      <w:szCs w:val="21"/>
                      <w:lang w:val="en-US" w:eastAsia="zh-CN"/>
                    </w:rPr>
                    <w:t>/a</w:t>
                  </w:r>
                </w:p>
              </w:tc>
              <w:tc>
                <w:tcPr>
                  <w:tcW w:w="2188" w:type="dxa"/>
                  <w:tcBorders>
                    <w:right w:val="nil"/>
                  </w:tcBorders>
                  <w:vAlign w:val="center"/>
                </w:tcPr>
                <w:p w14:paraId="1FDB0D3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vertAlign w:val="baseline"/>
                      <w:lang w:val="en-US" w:eastAsia="zh-CN"/>
                    </w:rPr>
                  </w:pPr>
                  <w:r>
                    <w:rPr>
                      <w:rFonts w:hint="eastAsia"/>
                      <w:color w:val="auto"/>
                      <w:sz w:val="21"/>
                      <w:vertAlign w:val="baseline"/>
                      <w:lang w:val="en-US" w:eastAsia="zh-CN"/>
                    </w:rPr>
                    <w:t>3.024</w:t>
                  </w:r>
                  <w:r>
                    <w:rPr>
                      <w:rFonts w:hint="default" w:ascii="Times New Roman" w:hAnsi="Times New Roman" w:eastAsia="宋体"/>
                      <w:color w:val="auto"/>
                      <w:spacing w:val="6"/>
                      <w:sz w:val="21"/>
                      <w:szCs w:val="21"/>
                      <w:lang w:val="en-US" w:eastAsia="zh-CN"/>
                    </w:rPr>
                    <w:t>×10</w:t>
                  </w:r>
                  <w:r>
                    <w:rPr>
                      <w:rFonts w:hint="eastAsia"/>
                      <w:color w:val="auto"/>
                      <w:spacing w:val="6"/>
                      <w:sz w:val="21"/>
                      <w:szCs w:val="21"/>
                      <w:vertAlign w:val="superscript"/>
                      <w:lang w:val="en-US" w:eastAsia="zh-CN"/>
                    </w:rPr>
                    <w:t>9</w:t>
                  </w:r>
                  <w:r>
                    <w:rPr>
                      <w:rFonts w:hint="eastAsia" w:ascii="Times New Roman" w:hAnsi="Times New Roman" w:eastAsia="宋体"/>
                      <w:color w:val="auto"/>
                      <w:spacing w:val="6"/>
                      <w:sz w:val="21"/>
                      <w:szCs w:val="21"/>
                      <w:lang w:val="en-US" w:eastAsia="zh-CN"/>
                    </w:rPr>
                    <w:t>个</w:t>
                  </w:r>
                  <w:r>
                    <w:rPr>
                      <w:rFonts w:hint="eastAsia"/>
                      <w:color w:val="auto"/>
                      <w:spacing w:val="6"/>
                      <w:sz w:val="21"/>
                      <w:szCs w:val="21"/>
                      <w:lang w:val="en-US" w:eastAsia="zh-CN"/>
                    </w:rPr>
                    <w:t>/a</w:t>
                  </w:r>
                </w:p>
              </w:tc>
            </w:tr>
            <w:tr w14:paraId="22F1B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7" w:type="dxa"/>
                  <w:tcBorders>
                    <w:left w:val="nil"/>
                    <w:bottom w:val="single" w:color="auto" w:sz="12" w:space="0"/>
                  </w:tcBorders>
                  <w:vAlign w:val="center"/>
                </w:tcPr>
                <w:p w14:paraId="5A8227B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pacing w:val="6"/>
                      <w:sz w:val="21"/>
                      <w:szCs w:val="21"/>
                      <w:lang w:val="en-US" w:eastAsia="zh-CN"/>
                    </w:rPr>
                  </w:pPr>
                  <w:r>
                    <w:rPr>
                      <w:rFonts w:hint="eastAsia"/>
                      <w:color w:val="auto"/>
                      <w:spacing w:val="6"/>
                      <w:sz w:val="21"/>
                      <w:szCs w:val="21"/>
                      <w:lang w:val="en-US" w:eastAsia="zh-CN"/>
                    </w:rPr>
                    <w:t>SS</w:t>
                  </w:r>
                </w:p>
              </w:tc>
              <w:tc>
                <w:tcPr>
                  <w:tcW w:w="2188" w:type="dxa"/>
                  <w:tcBorders>
                    <w:bottom w:val="single" w:color="auto" w:sz="12" w:space="0"/>
                  </w:tcBorders>
                  <w:vAlign w:val="center"/>
                </w:tcPr>
                <w:p w14:paraId="7E4B525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vertAlign w:val="baseline"/>
                      <w:lang w:val="en-US" w:eastAsia="zh-CN"/>
                    </w:rPr>
                  </w:pPr>
                  <w:r>
                    <w:rPr>
                      <w:rFonts w:hint="eastAsia"/>
                      <w:color w:val="auto"/>
                      <w:sz w:val="21"/>
                      <w:vertAlign w:val="baseline"/>
                      <w:lang w:val="en-US" w:eastAsia="zh-CN"/>
                    </w:rPr>
                    <w:t>6.2781</w:t>
                  </w:r>
                </w:p>
              </w:tc>
              <w:tc>
                <w:tcPr>
                  <w:tcW w:w="2188" w:type="dxa"/>
                  <w:tcBorders>
                    <w:bottom w:val="single" w:color="auto" w:sz="12" w:space="0"/>
                  </w:tcBorders>
                  <w:vAlign w:val="center"/>
                </w:tcPr>
                <w:p w14:paraId="3986AAA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olor w:val="auto"/>
                      <w:sz w:val="21"/>
                      <w:vertAlign w:val="baseline"/>
                      <w:lang w:val="en-US" w:eastAsia="zh-CN"/>
                    </w:rPr>
                  </w:pPr>
                  <w:r>
                    <w:rPr>
                      <w:rFonts w:hint="eastAsia"/>
                      <w:color w:val="auto"/>
                      <w:sz w:val="21"/>
                      <w:vertAlign w:val="baseline"/>
                      <w:lang w:val="en-US" w:eastAsia="zh-CN"/>
                    </w:rPr>
                    <w:t>3.7668</w:t>
                  </w:r>
                </w:p>
              </w:tc>
              <w:tc>
                <w:tcPr>
                  <w:tcW w:w="2188" w:type="dxa"/>
                  <w:tcBorders>
                    <w:bottom w:val="single" w:color="auto" w:sz="12" w:space="0"/>
                    <w:right w:val="nil"/>
                  </w:tcBorders>
                  <w:vAlign w:val="center"/>
                </w:tcPr>
                <w:p w14:paraId="74A9FDD6">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vertAlign w:val="baseline"/>
                      <w:lang w:val="en-US" w:eastAsia="zh-CN"/>
                    </w:rPr>
                  </w:pPr>
                  <w:r>
                    <w:rPr>
                      <w:rFonts w:hint="eastAsia"/>
                      <w:color w:val="auto"/>
                      <w:sz w:val="21"/>
                      <w:vertAlign w:val="baseline"/>
                      <w:lang w:val="en-US" w:eastAsia="zh-CN"/>
                    </w:rPr>
                    <w:t>0.4246</w:t>
                  </w:r>
                </w:p>
              </w:tc>
            </w:tr>
          </w:tbl>
          <w:p w14:paraId="24F74999">
            <w:pPr>
              <w:pStyle w:val="5"/>
              <w:numPr>
                <w:ilvl w:val="3"/>
                <w:numId w:val="12"/>
              </w:numPr>
              <w:tabs>
                <w:tab w:val="left" w:pos="0"/>
              </w:tabs>
              <w:bidi w:val="0"/>
              <w:ind w:left="864" w:leftChars="0" w:hanging="864" w:firstLineChars="0"/>
              <w:rPr>
                <w:rFonts w:hint="eastAsia" w:ascii="Times New Roman" w:hAnsi="Times New Roman" w:eastAsia="宋体" w:cs="Times New Roman"/>
                <w:color w:val="auto"/>
                <w:highlight w:val="none"/>
                <w:vertAlign w:val="baseline"/>
                <w:lang w:val="en-US" w:eastAsia="zh-CN"/>
              </w:rPr>
            </w:pPr>
            <w:r>
              <w:rPr>
                <w:rFonts w:hint="eastAsia" w:ascii="Times New Roman" w:hAnsi="Times New Roman" w:eastAsia="宋体" w:cs="Times New Roman"/>
                <w:color w:val="auto"/>
                <w:highlight w:val="none"/>
                <w:vertAlign w:val="baseline"/>
                <w:lang w:val="en-US" w:eastAsia="zh-CN"/>
              </w:rPr>
              <w:t>运营期水环境影响分析</w:t>
            </w:r>
          </w:p>
          <w:p w14:paraId="363159FD">
            <w:pPr>
              <w:pStyle w:val="46"/>
              <w:ind w:firstLine="480"/>
              <w:rPr>
                <w:rFonts w:hint="eastAsia"/>
                <w:color w:val="auto"/>
                <w:highlight w:val="none"/>
                <w:lang w:val="en-US" w:eastAsia="zh-CN"/>
              </w:rPr>
            </w:pPr>
            <w:r>
              <w:rPr>
                <w:rFonts w:hint="eastAsia"/>
                <w:color w:val="auto"/>
                <w:highlight w:val="none"/>
                <w:lang w:val="en-US" w:eastAsia="zh-CN"/>
              </w:rPr>
              <w:t>项目运营期的废水总量为42451.51m</w:t>
            </w:r>
            <w:r>
              <w:rPr>
                <w:rFonts w:hint="eastAsia"/>
                <w:color w:val="auto"/>
                <w:highlight w:val="none"/>
                <w:vertAlign w:val="superscript"/>
                <w:lang w:val="en-US" w:eastAsia="zh-CN"/>
              </w:rPr>
              <w:t>3</w:t>
            </w:r>
            <w:r>
              <w:rPr>
                <w:rFonts w:hint="eastAsia"/>
                <w:color w:val="auto"/>
                <w:highlight w:val="none"/>
                <w:lang w:val="en-US" w:eastAsia="zh-CN"/>
              </w:rPr>
              <w:t>/a，迁建后全院废水总量最大为42451.51m</w:t>
            </w:r>
            <w:r>
              <w:rPr>
                <w:rFonts w:hint="eastAsia"/>
                <w:color w:val="auto"/>
                <w:highlight w:val="none"/>
                <w:vertAlign w:val="superscript"/>
                <w:lang w:val="en-US" w:eastAsia="zh-CN"/>
              </w:rPr>
              <w:t>3</w:t>
            </w:r>
            <w:r>
              <w:rPr>
                <w:rFonts w:hint="eastAsia"/>
                <w:color w:val="auto"/>
                <w:highlight w:val="none"/>
                <w:lang w:val="en-US" w:eastAsia="zh-CN"/>
              </w:rPr>
              <w:t>/a，污染物主要为COD、SS、氨氮等污染物质。项目生活污水、医疗废水经过化粪池预处理后排入污水处理设施处理后排至罗源县污水处理厂深度处理达到《城镇污水处理厂污染物排放标准》（GB18918-2002）一级A标准，对周边水环境的影响较小。</w:t>
            </w:r>
          </w:p>
          <w:p w14:paraId="7150751A">
            <w:pPr>
              <w:pStyle w:val="5"/>
              <w:numPr>
                <w:ilvl w:val="3"/>
                <w:numId w:val="12"/>
              </w:numPr>
              <w:tabs>
                <w:tab w:val="left" w:pos="0"/>
              </w:tabs>
              <w:bidi w:val="0"/>
              <w:ind w:left="864" w:leftChars="0" w:hanging="864" w:firstLineChars="0"/>
              <w:rPr>
                <w:rFonts w:hint="eastAsia" w:ascii="Times New Roman" w:hAnsi="Times New Roman" w:eastAsia="宋体" w:cs="Times New Roman"/>
                <w:color w:val="auto"/>
                <w:highlight w:val="none"/>
                <w:vertAlign w:val="baseline"/>
                <w:lang w:val="en-US" w:eastAsia="zh-CN"/>
              </w:rPr>
            </w:pPr>
            <w:r>
              <w:rPr>
                <w:rFonts w:hint="eastAsia" w:cs="Times New Roman"/>
                <w:color w:val="auto"/>
                <w:highlight w:val="none"/>
                <w:vertAlign w:val="baseline"/>
                <w:lang w:val="en-US" w:eastAsia="zh-CN"/>
              </w:rPr>
              <w:t>运营期废水防治措施可行性分析</w:t>
            </w:r>
          </w:p>
          <w:p w14:paraId="6C3B3BA6">
            <w:pPr>
              <w:pStyle w:val="46"/>
              <w:ind w:firstLine="480"/>
              <w:rPr>
                <w:rFonts w:hint="eastAsia"/>
                <w:color w:val="auto"/>
                <w:highlight w:val="none"/>
              </w:rPr>
            </w:pPr>
            <w:r>
              <w:rPr>
                <w:rFonts w:hint="eastAsia"/>
                <w:color w:val="auto"/>
                <w:highlight w:val="none"/>
              </w:rPr>
              <w:t>（1）污水处理措施</w:t>
            </w:r>
          </w:p>
          <w:p w14:paraId="3AE4632F">
            <w:pPr>
              <w:pStyle w:val="46"/>
              <w:ind w:firstLine="480"/>
              <w:rPr>
                <w:rFonts w:hint="eastAsia"/>
                <w:color w:val="auto"/>
                <w:highlight w:val="none"/>
              </w:rPr>
            </w:pPr>
            <w:r>
              <w:rPr>
                <w:rFonts w:hint="eastAsia"/>
                <w:color w:val="auto"/>
                <w:highlight w:val="none"/>
              </w:rPr>
              <w:t>罗源县</w:t>
            </w:r>
            <w:r>
              <w:rPr>
                <w:rFonts w:hint="eastAsia"/>
                <w:color w:val="auto"/>
                <w:highlight w:val="none"/>
                <w:lang w:val="en-US" w:eastAsia="zh-CN"/>
              </w:rPr>
              <w:t>中</w:t>
            </w:r>
            <w:r>
              <w:rPr>
                <w:rFonts w:hint="eastAsia"/>
                <w:color w:val="auto"/>
                <w:highlight w:val="none"/>
              </w:rPr>
              <w:t>医院全院目前产生的废水种类主要有：医疗废水、生活废水以及检验科产生的少量冲洗废液。其中，医疗废水和生活废水又分为传染病区和非传染病区废水。</w:t>
            </w:r>
          </w:p>
          <w:p w14:paraId="6B7AAAD7">
            <w:pPr>
              <w:pStyle w:val="46"/>
              <w:ind w:firstLine="480"/>
              <w:rPr>
                <w:rFonts w:hint="eastAsia"/>
                <w:color w:val="auto"/>
                <w:highlight w:val="none"/>
                <w:lang w:val="en-US" w:eastAsia="zh-CN"/>
              </w:rPr>
            </w:pPr>
            <w:r>
              <w:rPr>
                <w:rFonts w:hint="eastAsia"/>
                <w:color w:val="auto"/>
                <w:highlight w:val="none"/>
                <w:lang w:val="en-US" w:eastAsia="zh-CN"/>
              </w:rPr>
              <w:t>原罗源县医院排水尚未采取病区与非病区、传染病区与非传染病区的污水分流，病区与非病区污水统一收集后，经化粪池预处理后排入院内污水处理设施；传染病区污水收集后，经化粪池预处理后排入院内污水处理设施，但在排入前未进行消毒处理；根据《医疗机构污水处理工程技术标准》中的7.1.4非传染病医疗机构污水需要先经过化粪池预处理后再排入污水处理设施处理。检验科产生的冲洗废液、病理检验过程中使用的废弃商品试剂等，分别单独收集，委托有危废资质的单位处置。</w:t>
            </w:r>
          </w:p>
          <w:p w14:paraId="785DD95B">
            <w:pPr>
              <w:pStyle w:val="46"/>
              <w:ind w:firstLine="480"/>
              <w:rPr>
                <w:rFonts w:hint="eastAsia"/>
                <w:color w:val="auto"/>
                <w:highlight w:val="none"/>
                <w:lang w:val="en-US" w:eastAsia="zh-CN"/>
              </w:rPr>
            </w:pPr>
            <w:r>
              <w:rPr>
                <w:rFonts w:hint="eastAsia"/>
                <w:color w:val="auto"/>
                <w:highlight w:val="none"/>
                <w:lang w:val="en-US" w:eastAsia="zh-CN"/>
              </w:rPr>
              <w:t>本项目利用原罗源县医院已建污水处理设施（该污水处理设施于2023年5月25日通过竣工环保验收，验收意见详见附件13），该设施现由罗源县中医院接管（该设施现由中医院负责运行管理），设计处理能力为140t/d，处理工艺为“生物接触氧化法+沉淀+消毒工艺”。本项目废水经污水处理系统处理后排至罗源县污水处理厂深度处理达到《城镇污水处理厂污染物排放标准》（GB18918-2002）一级A标准。</w:t>
            </w:r>
          </w:p>
          <w:p w14:paraId="6F3E054C">
            <w:pPr>
              <w:pStyle w:val="46"/>
              <w:ind w:firstLine="480"/>
              <w:rPr>
                <w:rFonts w:hint="eastAsia"/>
                <w:color w:val="auto"/>
                <w:highlight w:val="none"/>
                <w:lang w:val="en-US" w:eastAsia="zh-CN"/>
              </w:rPr>
            </w:pPr>
            <w:r>
              <w:rPr>
                <w:rFonts w:hint="eastAsia"/>
                <w:color w:val="auto"/>
                <w:highlight w:val="none"/>
                <w:lang w:val="en-US" w:eastAsia="zh-CN"/>
              </w:rPr>
              <w:t>污水处理设施位于厂区南侧，污水处理系统采用“生物接触氧化法+沉淀+消毒工艺”处理工艺，污水处理设施密闭加盖处理，污水处理设施废气收集后经活性炭吸附除臭工艺处理后通过15m排气筒（DA001）排放。污水处理设施处理工艺如下图。</w:t>
            </w:r>
          </w:p>
          <w:p w14:paraId="3D45A685">
            <w:pPr>
              <w:pStyle w:val="46"/>
              <w:ind w:left="0" w:leftChars="0" w:firstLine="0" w:firstLineChars="0"/>
              <w:rPr>
                <w:color w:val="auto"/>
              </w:rPr>
            </w:pPr>
            <w:r>
              <w:rPr>
                <w:color w:val="auto"/>
              </w:rPr>
              <w:drawing>
                <wp:inline distT="0" distB="0" distL="114300" distR="114300">
                  <wp:extent cx="5553075" cy="2221230"/>
                  <wp:effectExtent l="0" t="0" r="9525" b="7620"/>
                  <wp:docPr id="18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1"/>
                          <pic:cNvPicPr>
                            <a:picLocks noChangeAspect="1"/>
                          </pic:cNvPicPr>
                        </pic:nvPicPr>
                        <pic:blipFill>
                          <a:blip r:embed="rId17"/>
                          <a:stretch>
                            <a:fillRect/>
                          </a:stretch>
                        </pic:blipFill>
                        <pic:spPr>
                          <a:xfrm>
                            <a:off x="0" y="0"/>
                            <a:ext cx="5553075" cy="2221230"/>
                          </a:xfrm>
                          <a:prstGeom prst="rect">
                            <a:avLst/>
                          </a:prstGeom>
                          <a:noFill/>
                          <a:ln>
                            <a:noFill/>
                          </a:ln>
                        </pic:spPr>
                      </pic:pic>
                    </a:graphicData>
                  </a:graphic>
                </wp:inline>
              </w:drawing>
            </w:r>
          </w:p>
          <w:p w14:paraId="40C685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center"/>
              <w:textAlignment w:val="auto"/>
              <w:rPr>
                <w:rFonts w:hint="eastAsia" w:ascii="Times New Roman" w:hAnsi="Times New Roman" w:cs="Times New Roman"/>
                <w:b/>
                <w:bCs/>
                <w:color w:val="auto"/>
                <w:kern w:val="2"/>
                <w:sz w:val="24"/>
                <w:szCs w:val="20"/>
                <w:highlight w:val="none"/>
                <w:lang w:val="en-US" w:eastAsia="zh-CN" w:bidi="ar-SA"/>
              </w:rPr>
            </w:pPr>
            <w:r>
              <w:rPr>
                <w:rFonts w:hint="eastAsia" w:ascii="Times New Roman" w:hAnsi="Times New Roman" w:cs="Times New Roman"/>
                <w:b/>
                <w:bCs/>
                <w:color w:val="auto"/>
                <w:kern w:val="2"/>
                <w:sz w:val="24"/>
                <w:szCs w:val="20"/>
                <w:highlight w:val="none"/>
                <w:lang w:val="en-US" w:eastAsia="zh-CN" w:bidi="ar-SA"/>
              </w:rPr>
              <w:t>图</w:t>
            </w:r>
            <w:r>
              <w:rPr>
                <w:rFonts w:hint="default" w:ascii="Times New Roman" w:hAnsi="Times New Roman" w:cs="Times New Roman"/>
                <w:b/>
                <w:bCs/>
                <w:color w:val="auto"/>
                <w:kern w:val="2"/>
                <w:sz w:val="24"/>
                <w:szCs w:val="20"/>
                <w:highlight w:val="none"/>
                <w:lang w:val="en-US" w:eastAsia="zh-CN" w:bidi="ar-SA"/>
              </w:rPr>
              <w:t>4.</w:t>
            </w:r>
            <w:r>
              <w:rPr>
                <w:rFonts w:hint="eastAsia" w:ascii="Times New Roman" w:hAnsi="Times New Roman" w:cs="Times New Roman"/>
                <w:b/>
                <w:bCs/>
                <w:color w:val="auto"/>
                <w:kern w:val="2"/>
                <w:sz w:val="24"/>
                <w:szCs w:val="20"/>
                <w:highlight w:val="none"/>
                <w:lang w:val="en-US" w:eastAsia="zh-CN" w:bidi="ar-SA"/>
              </w:rPr>
              <w:t>3</w:t>
            </w:r>
            <w:r>
              <w:rPr>
                <w:rFonts w:hint="default" w:ascii="Times New Roman" w:hAnsi="Times New Roman" w:cs="Times New Roman"/>
                <w:b/>
                <w:bCs/>
                <w:color w:val="auto"/>
                <w:kern w:val="2"/>
                <w:sz w:val="24"/>
                <w:szCs w:val="20"/>
                <w:highlight w:val="none"/>
                <w:lang w:val="en-US" w:eastAsia="zh-CN" w:bidi="ar-SA"/>
              </w:rPr>
              <w:t>-1</w:t>
            </w:r>
            <w:r>
              <w:rPr>
                <w:rFonts w:hint="eastAsia" w:cs="Times New Roman"/>
                <w:b/>
                <w:bCs/>
                <w:color w:val="auto"/>
                <w:kern w:val="2"/>
                <w:sz w:val="24"/>
                <w:szCs w:val="20"/>
                <w:highlight w:val="none"/>
                <w:lang w:val="en-US" w:eastAsia="zh-CN" w:bidi="ar-SA"/>
              </w:rPr>
              <w:t>污</w:t>
            </w:r>
            <w:r>
              <w:rPr>
                <w:rFonts w:hint="eastAsia" w:ascii="Times New Roman" w:hAnsi="Times New Roman" w:cs="Times New Roman"/>
                <w:b/>
                <w:bCs/>
                <w:color w:val="auto"/>
                <w:kern w:val="2"/>
                <w:sz w:val="24"/>
                <w:szCs w:val="20"/>
                <w:highlight w:val="none"/>
                <w:lang w:val="en-US" w:eastAsia="zh-CN" w:bidi="ar-SA"/>
              </w:rPr>
              <w:t>水处理工艺流程图</w:t>
            </w:r>
          </w:p>
          <w:p w14:paraId="3230FA79">
            <w:pPr>
              <w:pStyle w:val="46"/>
              <w:numPr>
                <w:ilvl w:val="0"/>
                <w:numId w:val="14"/>
              </w:numPr>
              <w:ind w:firstLine="480"/>
              <w:rPr>
                <w:rFonts w:hint="eastAsia" w:ascii="Times New Roman" w:hAnsi="Times New Roman" w:eastAsia="宋体" w:cs="宋体"/>
                <w:color w:val="auto"/>
                <w:highlight w:val="none"/>
                <w:lang w:val="en-US" w:eastAsia="zh-CN"/>
              </w:rPr>
            </w:pPr>
            <w:r>
              <w:rPr>
                <w:rFonts w:hint="eastAsia" w:ascii="Times New Roman" w:hAnsi="Times New Roman" w:eastAsia="宋体" w:cs="宋体"/>
                <w:color w:val="auto"/>
                <w:highlight w:val="none"/>
                <w:lang w:val="en-US" w:eastAsia="zh-CN"/>
              </w:rPr>
              <w:t>污水处理可行性分析</w:t>
            </w:r>
          </w:p>
          <w:p w14:paraId="4ADEAF0A">
            <w:pPr>
              <w:pStyle w:val="162"/>
              <w:rPr>
                <w:rFonts w:hint="eastAsia" w:cs="Times New Roman"/>
                <w:color w:val="auto"/>
                <w:lang w:bidi="he-IL"/>
              </w:rPr>
            </w:pPr>
            <w:r>
              <w:rPr>
                <w:rFonts w:hint="eastAsia" w:cs="Times New Roman"/>
                <w:color w:val="auto"/>
                <w:lang w:bidi="he-IL"/>
              </w:rPr>
              <w:t>项目采用生物接触氧化工艺，属于《医院污水处理技术指南》中的推荐工艺。生物接触氧化工艺采用固定式生物填料作为微生物的载体，生长有微生物的载体淹没在水中，曝气系统为反应器中的微生物供氧。由于生物接触氧化法的微生物固定生长于生物填料上，克服了悬浮活性污泥易于流失的缺点，在反应器中能保持很高的生物量。其工艺特点主要有：</w:t>
            </w:r>
          </w:p>
          <w:p w14:paraId="31D38B24">
            <w:pPr>
              <w:pStyle w:val="162"/>
              <w:rPr>
                <w:rFonts w:hint="eastAsia" w:cs="Times New Roman"/>
                <w:color w:val="auto"/>
                <w:lang w:bidi="he-IL"/>
              </w:rPr>
            </w:pPr>
            <w:r>
              <w:rPr>
                <w:rFonts w:hint="eastAsia" w:cs="Times New Roman"/>
                <w:color w:val="auto"/>
                <w:lang w:bidi="he-IL"/>
              </w:rPr>
              <w:t>①生物接触氧化法对冲击负荷和水质变化的耐受性强，运行稳定。</w:t>
            </w:r>
          </w:p>
          <w:p w14:paraId="7CBD186F">
            <w:pPr>
              <w:pStyle w:val="162"/>
              <w:rPr>
                <w:rFonts w:hint="eastAsia" w:cs="Times New Roman"/>
                <w:color w:val="auto"/>
                <w:lang w:bidi="he-IL"/>
              </w:rPr>
            </w:pPr>
            <w:r>
              <w:rPr>
                <w:rFonts w:hint="eastAsia" w:cs="Times New Roman"/>
                <w:color w:val="auto"/>
                <w:lang w:bidi="he-IL"/>
              </w:rPr>
              <w:t>②生物接触氧化法容积负荷高，占地面积小，建设费用较低。</w:t>
            </w:r>
          </w:p>
          <w:p w14:paraId="7CF77B69">
            <w:pPr>
              <w:pStyle w:val="162"/>
              <w:rPr>
                <w:rFonts w:hint="eastAsia" w:cs="Times New Roman"/>
                <w:color w:val="auto"/>
                <w:lang w:bidi="he-IL"/>
              </w:rPr>
            </w:pPr>
            <w:r>
              <w:rPr>
                <w:rFonts w:hint="eastAsia" w:cs="Times New Roman"/>
                <w:color w:val="auto"/>
                <w:lang w:bidi="he-IL"/>
              </w:rPr>
              <w:t>③生物接触氧化法污泥产量较低，无需污泥回流，运行管理简单。</w:t>
            </w:r>
          </w:p>
          <w:p w14:paraId="14AD1F3F">
            <w:pPr>
              <w:pStyle w:val="162"/>
              <w:rPr>
                <w:rFonts w:hint="eastAsia" w:cs="Times New Roman"/>
                <w:color w:val="auto"/>
                <w:lang w:bidi="he-IL"/>
              </w:rPr>
            </w:pPr>
            <w:r>
              <w:rPr>
                <w:rFonts w:hint="eastAsia" w:cs="Times New Roman"/>
                <w:color w:val="auto"/>
                <w:lang w:bidi="he-IL"/>
              </w:rPr>
              <w:t>④生物接触氧化法有时脱落一些细碎生物膜，沉淀性能较差的造成出水中的悬浮固体浓度稍高，一般可达到30mg/L左右。</w:t>
            </w:r>
          </w:p>
          <w:p w14:paraId="5D26CAFD">
            <w:pPr>
              <w:pStyle w:val="162"/>
              <w:rPr>
                <w:rFonts w:hint="eastAsia" w:cs="Times New Roman"/>
                <w:color w:val="auto"/>
                <w:lang w:bidi="he-IL"/>
              </w:rPr>
            </w:pPr>
            <w:r>
              <w:rPr>
                <w:rFonts w:hint="eastAsia" w:cs="Times New Roman"/>
                <w:color w:val="auto"/>
                <w:lang w:bidi="he-IL"/>
              </w:rPr>
              <w:t>生物接触氧化法适用于500床以下的中小规模医院污水处理工程。尤其适用于场地面积小、水量小、水质波动较大和污染物浓度较低、活性污泥不易培养等情况，管理方便。本项目属于500床以下的中小规模医院，水量不大且场地有限，较适合采用生物接触氧化工艺。因此，从工艺特点来看，污水处理设施工艺较为符合罗源县</w:t>
            </w:r>
            <w:r>
              <w:rPr>
                <w:rFonts w:hint="eastAsia" w:cs="Times New Roman"/>
                <w:color w:val="auto"/>
                <w:lang w:val="en-US" w:eastAsia="zh-CN" w:bidi="he-IL"/>
              </w:rPr>
              <w:t>中</w:t>
            </w:r>
            <w:r>
              <w:rPr>
                <w:rFonts w:hint="eastAsia" w:cs="Times New Roman"/>
                <w:color w:val="auto"/>
                <w:lang w:bidi="he-IL"/>
              </w:rPr>
              <w:t>医院的实际情况，从处理效果上看，出水水质可以达标排放，虽然地下设置对处理效果会有一定影响，但考虑到地面设置占用场地，且恶臭及噪声对周边环境影响较大，采用地下设置相对较为合适。</w:t>
            </w:r>
          </w:p>
          <w:p w14:paraId="7073D93C">
            <w:pPr>
              <w:pStyle w:val="162"/>
              <w:rPr>
                <w:rFonts w:hint="eastAsia" w:cs="Times New Roman"/>
                <w:color w:val="auto"/>
                <w:lang w:bidi="he-IL"/>
              </w:rPr>
            </w:pPr>
            <w:r>
              <w:rPr>
                <w:rFonts w:hint="eastAsia" w:cs="Times New Roman"/>
                <w:color w:val="auto"/>
                <w:lang w:bidi="he-IL"/>
              </w:rPr>
              <w:t>根据《医院污水处理工程技术规范》（HJ2029-2013）4.2.4“医院污水处理工程设计水量应在实测或测算的基础上留有设计裕量，设计裕量宜取实测值或测算值的10%</w:t>
            </w:r>
            <w:r>
              <w:rPr>
                <w:rFonts w:hint="eastAsia" w:cs="Times New Roman"/>
                <w:color w:val="auto"/>
                <w:lang w:eastAsia="zh-CN" w:bidi="he-IL"/>
              </w:rPr>
              <w:t>～</w:t>
            </w:r>
            <w:r>
              <w:rPr>
                <w:rFonts w:hint="eastAsia" w:cs="Times New Roman"/>
                <w:color w:val="auto"/>
                <w:lang w:bidi="he-IL"/>
              </w:rPr>
              <w:t>20%”，本次</w:t>
            </w:r>
            <w:r>
              <w:rPr>
                <w:rFonts w:hint="eastAsia" w:cs="Times New Roman"/>
                <w:color w:val="auto"/>
                <w:lang w:val="en-US" w:eastAsia="zh-CN" w:bidi="he-IL"/>
              </w:rPr>
              <w:t>迁建</w:t>
            </w:r>
            <w:r>
              <w:rPr>
                <w:rFonts w:hint="eastAsia" w:cs="Times New Roman"/>
                <w:color w:val="auto"/>
                <w:lang w:bidi="he-IL"/>
              </w:rPr>
              <w:t>项目新增</w:t>
            </w:r>
            <w:r>
              <w:rPr>
                <w:rFonts w:hint="eastAsia" w:cs="Times New Roman"/>
                <w:color w:val="auto"/>
                <w:lang w:val="en-US" w:eastAsia="zh-CN" w:bidi="he-IL"/>
              </w:rPr>
              <w:t>医疗</w:t>
            </w:r>
            <w:r>
              <w:rPr>
                <w:rFonts w:hint="eastAsia" w:cs="Times New Roman"/>
                <w:color w:val="auto"/>
                <w:lang w:bidi="he-IL"/>
              </w:rPr>
              <w:t>废水产生量为</w:t>
            </w:r>
            <w:r>
              <w:rPr>
                <w:rFonts w:hint="eastAsia" w:cs="Times New Roman"/>
                <w:color w:val="auto"/>
                <w:lang w:val="en-US" w:eastAsia="zh-CN" w:bidi="he-IL"/>
              </w:rPr>
              <w:t>59.526</w:t>
            </w:r>
            <w:r>
              <w:rPr>
                <w:rFonts w:hint="eastAsia" w:cs="Times New Roman"/>
                <w:color w:val="auto"/>
                <w:lang w:bidi="he-IL"/>
              </w:rPr>
              <w:t>t/d，共计废水量为</w:t>
            </w:r>
            <w:r>
              <w:rPr>
                <w:rFonts w:hint="eastAsia" w:cs="Times New Roman"/>
                <w:color w:val="auto"/>
                <w:lang w:val="en-US" w:eastAsia="zh-CN" w:bidi="he-IL"/>
              </w:rPr>
              <w:t>75.846</w:t>
            </w:r>
            <w:r>
              <w:rPr>
                <w:rFonts w:hint="eastAsia" w:cs="Times New Roman"/>
                <w:color w:val="auto"/>
                <w:lang w:bidi="he-IL"/>
              </w:rPr>
              <w:t>t/d，</w:t>
            </w:r>
            <w:r>
              <w:rPr>
                <w:rFonts w:hint="eastAsia" w:cs="Times New Roman"/>
                <w:color w:val="auto"/>
                <w:lang w:val="en-US" w:eastAsia="zh-CN" w:bidi="he-IL"/>
              </w:rPr>
              <w:t>污水处理设施</w:t>
            </w:r>
            <w:r>
              <w:rPr>
                <w:rFonts w:hint="eastAsia" w:cs="Times New Roman"/>
                <w:color w:val="auto"/>
                <w:lang w:bidi="he-IL"/>
              </w:rPr>
              <w:t>规模为</w:t>
            </w:r>
            <w:r>
              <w:rPr>
                <w:rFonts w:hint="eastAsia" w:cs="Times New Roman"/>
                <w:color w:val="auto"/>
                <w:lang w:val="en-US" w:eastAsia="zh-CN" w:bidi="he-IL"/>
              </w:rPr>
              <w:t>140t/d</w:t>
            </w:r>
            <w:r>
              <w:rPr>
                <w:rFonts w:hint="eastAsia" w:cs="Times New Roman"/>
                <w:color w:val="auto"/>
                <w:lang w:bidi="he-IL"/>
              </w:rPr>
              <w:t>，则（</w:t>
            </w:r>
            <w:r>
              <w:rPr>
                <w:rFonts w:hint="eastAsia" w:cs="Times New Roman"/>
                <w:color w:val="auto"/>
                <w:lang w:val="en-US" w:eastAsia="zh-CN" w:bidi="he-IL"/>
              </w:rPr>
              <w:t>140</w:t>
            </w:r>
            <w:r>
              <w:rPr>
                <w:rFonts w:hint="eastAsia" w:cs="Times New Roman"/>
                <w:color w:val="auto"/>
                <w:lang w:bidi="he-IL"/>
              </w:rPr>
              <w:t>-</w:t>
            </w:r>
            <w:r>
              <w:rPr>
                <w:rFonts w:hint="eastAsia" w:cs="Times New Roman"/>
                <w:color w:val="auto"/>
                <w:lang w:val="en-US" w:eastAsia="zh-CN" w:bidi="he-IL"/>
              </w:rPr>
              <w:t>75.846</w:t>
            </w:r>
            <w:r>
              <w:rPr>
                <w:rFonts w:hint="eastAsia" w:cs="Times New Roman"/>
                <w:color w:val="auto"/>
                <w:lang w:bidi="he-IL"/>
              </w:rPr>
              <w:t>）/</w:t>
            </w:r>
            <w:r>
              <w:rPr>
                <w:rFonts w:hint="eastAsia" w:cs="Times New Roman"/>
                <w:color w:val="auto"/>
                <w:lang w:val="en-US" w:eastAsia="zh-CN" w:bidi="he-IL"/>
              </w:rPr>
              <w:t>75.846</w:t>
            </w:r>
            <w:r>
              <w:rPr>
                <w:rFonts w:hint="eastAsia" w:cs="Times New Roman"/>
                <w:color w:val="auto"/>
                <w:lang w:bidi="he-IL"/>
              </w:rPr>
              <w:t>=</w:t>
            </w:r>
            <w:r>
              <w:rPr>
                <w:rFonts w:hint="eastAsia" w:cs="Times New Roman"/>
                <w:color w:val="auto"/>
                <w:lang w:val="en-US" w:eastAsia="zh-CN" w:bidi="he-IL"/>
              </w:rPr>
              <w:t>84.58</w:t>
            </w:r>
            <w:r>
              <w:rPr>
                <w:rFonts w:hint="eastAsia" w:cs="Times New Roman"/>
                <w:color w:val="auto"/>
                <w:lang w:bidi="he-IL"/>
              </w:rPr>
              <w:t>%，满足相关工程技术规范，因此本项目新增废水</w:t>
            </w:r>
            <w:r>
              <w:rPr>
                <w:rFonts w:hint="eastAsia" w:cs="Times New Roman"/>
                <w:color w:val="auto"/>
                <w:lang w:val="en-US" w:eastAsia="zh-CN" w:bidi="he-IL"/>
              </w:rPr>
              <w:t>利用</w:t>
            </w:r>
            <w:r>
              <w:rPr>
                <w:rFonts w:hint="eastAsia" w:cs="Times New Roman"/>
                <w:color w:val="auto"/>
                <w:lang w:bidi="he-IL"/>
              </w:rPr>
              <w:t>现有污水</w:t>
            </w:r>
            <w:r>
              <w:rPr>
                <w:rFonts w:hint="eastAsia" w:cs="Times New Roman"/>
                <w:color w:val="auto"/>
                <w:lang w:val="en-US" w:eastAsia="zh-CN" w:bidi="he-IL"/>
              </w:rPr>
              <w:t>处理</w:t>
            </w:r>
            <w:r>
              <w:rPr>
                <w:rFonts w:hint="eastAsia" w:cs="Times New Roman"/>
                <w:color w:val="auto"/>
                <w:lang w:bidi="he-IL"/>
              </w:rPr>
              <w:t>设施处理是可行的。</w:t>
            </w:r>
          </w:p>
          <w:p w14:paraId="7BC21B75">
            <w:pPr>
              <w:pStyle w:val="162"/>
              <w:rPr>
                <w:rFonts w:hint="eastAsia" w:cs="Times New Roman"/>
                <w:color w:val="auto"/>
                <w:lang w:val="en-US" w:eastAsia="zh-CN" w:bidi="he-IL"/>
              </w:rPr>
            </w:pPr>
            <w:r>
              <w:rPr>
                <w:rFonts w:hint="eastAsia" w:cs="Times New Roman"/>
                <w:color w:val="auto"/>
                <w:lang w:val="en-US" w:eastAsia="zh-CN" w:bidi="he-IL"/>
              </w:rPr>
              <w:t>根据《排污许可证申请与核发技术规范 医疗机构》（HJ1105-2020）表A.2医疗机构排污单位污水治理可行性技术参照表，对本项目涉及相关废水的治理措施要求如下表所示。</w:t>
            </w:r>
          </w:p>
          <w:p w14:paraId="5B2B1F7C">
            <w:pPr>
              <w:pStyle w:val="44"/>
              <w:keepNext/>
              <w:keepLines/>
              <w:pageBreakBefore w:val="0"/>
              <w:widowControl w:val="0"/>
              <w:numPr>
                <w:ilvl w:val="7"/>
                <w:numId w:val="13"/>
              </w:numPr>
              <w:tabs>
                <w:tab w:val="left" w:pos="0"/>
              </w:tabs>
              <w:kinsoku/>
              <w:wordWrap/>
              <w:overflowPunct/>
              <w:topLinePunct w:val="0"/>
              <w:autoSpaceDE/>
              <w:autoSpaceDN/>
              <w:bidi w:val="0"/>
              <w:adjustRightInd/>
              <w:snapToGrid/>
              <w:spacing w:before="0" w:after="0"/>
              <w:ind w:left="630" w:leftChars="0" w:firstLine="0" w:firstLineChars="0"/>
              <w:jc w:val="center"/>
              <w:textAlignment w:val="auto"/>
              <w:rPr>
                <w:rFonts w:hint="eastAsia" w:cs="Times New Roman"/>
                <w:color w:val="auto"/>
                <w:highlight w:val="none"/>
                <w:lang w:val="en-US" w:eastAsia="zh-CN"/>
              </w:rPr>
            </w:pPr>
            <w:r>
              <w:rPr>
                <w:rFonts w:hint="eastAsia" w:cs="Times New Roman"/>
                <w:color w:val="auto"/>
                <w:highlight w:val="none"/>
                <w:lang w:val="en-US" w:eastAsia="zh-CN"/>
              </w:rPr>
              <w:t>与医疗机构排污单位废水可行技术比较分析</w:t>
            </w:r>
          </w:p>
          <w:tbl>
            <w:tblPr>
              <w:tblStyle w:val="3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1"/>
              <w:gridCol w:w="789"/>
              <w:gridCol w:w="1472"/>
              <w:gridCol w:w="1029"/>
              <w:gridCol w:w="3015"/>
              <w:gridCol w:w="893"/>
              <w:gridCol w:w="1057"/>
            </w:tblGrid>
            <w:tr w14:paraId="0EC91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trPr>
              <w:tc>
                <w:tcPr>
                  <w:tcW w:w="376" w:type="pc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1E559A3">
                  <w:pPr>
                    <w:keepNext w:val="0"/>
                    <w:keepLines w:val="0"/>
                    <w:widowControl/>
                    <w:suppressLineNumbers w:val="0"/>
                    <w:jc w:val="center"/>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序号</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6FE24">
                  <w:pPr>
                    <w:keepNext w:val="0"/>
                    <w:keepLines w:val="0"/>
                    <w:widowControl/>
                    <w:suppressLineNumbers w:val="0"/>
                    <w:jc w:val="center"/>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污水</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类别</w:t>
                  </w:r>
                </w:p>
              </w:tc>
              <w:tc>
                <w:tcPr>
                  <w:tcW w:w="8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735B8">
                  <w:pPr>
                    <w:keepNext w:val="0"/>
                    <w:keepLines w:val="0"/>
                    <w:widowControl/>
                    <w:suppressLineNumbers w:val="0"/>
                    <w:jc w:val="center"/>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主要污染物</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项目</w:t>
                  </w:r>
                </w:p>
              </w:tc>
              <w:tc>
                <w:tcPr>
                  <w:tcW w:w="226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28716E">
                  <w:pPr>
                    <w:keepNext w:val="0"/>
                    <w:keepLines w:val="0"/>
                    <w:widowControl/>
                    <w:suppressLineNumbers w:val="0"/>
                    <w:jc w:val="center"/>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污染治理设施及工艺</w:t>
                  </w:r>
                </w:p>
              </w:tc>
              <w:tc>
                <w:tcPr>
                  <w:tcW w:w="5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A750A">
                  <w:pPr>
                    <w:keepNext w:val="0"/>
                    <w:keepLines w:val="0"/>
                    <w:widowControl/>
                    <w:suppressLineNumbers w:val="0"/>
                    <w:jc w:val="center"/>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本项</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目采</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取的</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治理</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技术</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C31A3">
                  <w:pPr>
                    <w:keepNext w:val="0"/>
                    <w:keepLines w:val="0"/>
                    <w:widowControl/>
                    <w:suppressLineNumbers w:val="0"/>
                    <w:jc w:val="center"/>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符合性</w:t>
                  </w:r>
                </w:p>
              </w:tc>
            </w:tr>
            <w:tr w14:paraId="2F542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50" w:hRule="atLeast"/>
              </w:trPr>
              <w:tc>
                <w:tcPr>
                  <w:tcW w:w="3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6234BA">
                  <w:pPr>
                    <w:keepNext w:val="0"/>
                    <w:keepLines w:val="0"/>
                    <w:widowControl/>
                    <w:suppressLineNumbers w:val="0"/>
                    <w:jc w:val="center"/>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1</w:t>
                  </w:r>
                </w:p>
              </w:tc>
              <w:tc>
                <w:tcPr>
                  <w:tcW w:w="44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B5B17D">
                  <w:pPr>
                    <w:keepNext w:val="0"/>
                    <w:keepLines w:val="0"/>
                    <w:widowControl/>
                    <w:suppressLineNumbers w:val="0"/>
                    <w:jc w:val="center"/>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医疗</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废水</w:t>
                  </w:r>
                </w:p>
              </w:tc>
              <w:tc>
                <w:tcPr>
                  <w:tcW w:w="8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66412C">
                  <w:pPr>
                    <w:keepNext w:val="0"/>
                    <w:keepLines w:val="0"/>
                    <w:widowControl/>
                    <w:suppressLineNumbers w:val="0"/>
                    <w:jc w:val="center"/>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粪大肠菌群</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数、肠道致</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病菌、肠道</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病毒、化学</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需氧量、氨</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氮、pH</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值、悬浮物、</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五日生化</w:t>
                  </w:r>
                  <w:r>
                    <w:rPr>
                      <w:rFonts w:hint="eastAsia" w:cs="宋体"/>
                      <w:i w:val="0"/>
                      <w:iCs w:val="0"/>
                      <w:color w:val="auto"/>
                      <w:kern w:val="0"/>
                      <w:sz w:val="21"/>
                      <w:szCs w:val="12"/>
                      <w:u w:val="none"/>
                      <w:lang w:val="en-US" w:eastAsia="zh-CN" w:bidi="ar"/>
                    </w:rPr>
                    <w:t>需氧量</w:t>
                  </w:r>
                  <w:r>
                    <w:rPr>
                      <w:rFonts w:ascii="Times New Roman" w:hAnsi="Times New Roman" w:eastAsia="宋体" w:cs="宋体"/>
                      <w:i w:val="0"/>
                      <w:iCs w:val="0"/>
                      <w:color w:val="auto"/>
                      <w:kern w:val="0"/>
                      <w:sz w:val="21"/>
                      <w:szCs w:val="12"/>
                      <w:u w:val="none"/>
                      <w:lang w:val="en-US" w:eastAsia="zh-CN" w:bidi="ar"/>
                    </w:rPr>
                    <w:t>、动植</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物油、石油</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类、阴离子</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表面活性</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剂、挥发酚、</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色度、总氰</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化物、总余</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氯</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CF05D">
                  <w:pPr>
                    <w:keepNext w:val="0"/>
                    <w:keepLines w:val="0"/>
                    <w:widowControl/>
                    <w:suppressLineNumbers w:val="0"/>
                    <w:jc w:val="center"/>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进入海</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域、江、</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河、湖</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库等水</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体</w:t>
                  </w: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21BFE">
                  <w:pPr>
                    <w:keepNext w:val="0"/>
                    <w:keepLines w:val="0"/>
                    <w:widowControl/>
                    <w:suppressLineNumbers w:val="0"/>
                    <w:jc w:val="center"/>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二级处理/深度处理+消毒</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工艺。二级处理包括：活</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性污泥法：生物膜法。深</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度处理包括：絮凝沉淀法；</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砂滤法：活性炭法：臭氧</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氧化法：膜分离法；生物脱</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氮除磷法。消毒工艺：加</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氯消毒，臭氧法消毒，次氯</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酸钠法、二氧化氯法消毒、</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紫外线消毒等。</w:t>
                  </w:r>
                </w:p>
              </w:tc>
              <w:tc>
                <w:tcPr>
                  <w:tcW w:w="5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44A81D">
                  <w:pPr>
                    <w:keepNext w:val="0"/>
                    <w:keepLines w:val="0"/>
                    <w:widowControl/>
                    <w:suppressLineNumbers w:val="0"/>
                    <w:jc w:val="center"/>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采用</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“格</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栅+调</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节池+</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生物</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接触+</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消毒</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池”工</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艺</w:t>
                  </w:r>
                </w:p>
              </w:tc>
              <w:tc>
                <w:tcPr>
                  <w:tcW w:w="59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4DC798">
                  <w:pPr>
                    <w:keepNext w:val="0"/>
                    <w:keepLines w:val="0"/>
                    <w:widowControl/>
                    <w:suppressLineNumbers w:val="0"/>
                    <w:jc w:val="center"/>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可行</w:t>
                  </w:r>
                </w:p>
              </w:tc>
            </w:tr>
            <w:tr w14:paraId="57251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5" w:hRule="atLeast"/>
              </w:trPr>
              <w:tc>
                <w:tcPr>
                  <w:tcW w:w="3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BC526">
                  <w:pPr>
                    <w:jc w:val="center"/>
                    <w:rPr>
                      <w:rFonts w:hint="eastAsia" w:ascii="Times New Roman" w:hAnsi="Times New Roman" w:eastAsia="宋体" w:cs="宋体"/>
                      <w:i w:val="0"/>
                      <w:iCs w:val="0"/>
                      <w:color w:val="000000"/>
                      <w:sz w:val="21"/>
                      <w:szCs w:val="12"/>
                      <w:u w:val="none"/>
                    </w:rPr>
                  </w:pPr>
                </w:p>
              </w:tc>
              <w:tc>
                <w:tcPr>
                  <w:tcW w:w="44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2D50E">
                  <w:pPr>
                    <w:jc w:val="center"/>
                    <w:rPr>
                      <w:rFonts w:hint="eastAsia" w:ascii="Times New Roman" w:hAnsi="Times New Roman" w:eastAsia="宋体" w:cs="宋体"/>
                      <w:i w:val="0"/>
                      <w:iCs w:val="0"/>
                      <w:color w:val="000000"/>
                      <w:sz w:val="21"/>
                      <w:szCs w:val="12"/>
                      <w:u w:val="none"/>
                    </w:rPr>
                  </w:pPr>
                </w:p>
              </w:tc>
              <w:tc>
                <w:tcPr>
                  <w:tcW w:w="8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67E6F">
                  <w:pPr>
                    <w:jc w:val="center"/>
                    <w:rPr>
                      <w:rFonts w:hint="eastAsia" w:ascii="Times New Roman" w:hAnsi="Times New Roman" w:eastAsia="宋体" w:cs="宋体"/>
                      <w:i w:val="0"/>
                      <w:iCs w:val="0"/>
                      <w:color w:val="000000"/>
                      <w:sz w:val="21"/>
                      <w:szCs w:val="12"/>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B8751">
                  <w:pPr>
                    <w:keepNext w:val="0"/>
                    <w:keepLines w:val="0"/>
                    <w:widowControl/>
                    <w:suppressLineNumbers w:val="0"/>
                    <w:jc w:val="center"/>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排入城</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镇污水</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处理厂</w:t>
                  </w:r>
                </w:p>
              </w:tc>
              <w:tc>
                <w:tcPr>
                  <w:tcW w:w="16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6DA74">
                  <w:pPr>
                    <w:keepNext w:val="0"/>
                    <w:keepLines w:val="0"/>
                    <w:widowControl/>
                    <w:suppressLineNumbers w:val="0"/>
                    <w:jc w:val="center"/>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一级处理/一级强化处理+</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消毒工艺。一级处理包括：</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筛滤法；沉淀法：气浮法；</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预曝气法。</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一级强化处理包括：化学</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混凝处理、机械过滤或不</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完全生物处理。</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消毒工艺：加氯消毒，臭氧</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法消毒，次氯酸钠法、二</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氧化氯法消毒、紫外线消毒</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等。</w:t>
                  </w:r>
                </w:p>
              </w:tc>
              <w:tc>
                <w:tcPr>
                  <w:tcW w:w="5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CCEA72">
                  <w:pPr>
                    <w:jc w:val="center"/>
                    <w:rPr>
                      <w:rFonts w:hint="eastAsia" w:ascii="Times New Roman" w:hAnsi="Times New Roman" w:eastAsia="宋体" w:cs="宋体"/>
                      <w:i w:val="0"/>
                      <w:iCs w:val="0"/>
                      <w:color w:val="000000"/>
                      <w:sz w:val="21"/>
                      <w:szCs w:val="12"/>
                      <w:u w:val="none"/>
                    </w:rPr>
                  </w:pPr>
                </w:p>
              </w:tc>
              <w:tc>
                <w:tcPr>
                  <w:tcW w:w="59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35366">
                  <w:pPr>
                    <w:jc w:val="center"/>
                    <w:rPr>
                      <w:rFonts w:hint="eastAsia" w:ascii="Times New Roman" w:hAnsi="Times New Roman" w:eastAsia="宋体" w:cs="宋体"/>
                      <w:i w:val="0"/>
                      <w:iCs w:val="0"/>
                      <w:color w:val="000000"/>
                      <w:sz w:val="21"/>
                      <w:szCs w:val="12"/>
                      <w:u w:val="none"/>
                    </w:rPr>
                  </w:pPr>
                </w:p>
              </w:tc>
            </w:tr>
          </w:tbl>
          <w:p w14:paraId="769D8E2C">
            <w:pPr>
              <w:rPr>
                <w:rFonts w:hint="eastAsia"/>
                <w:lang w:val="en-US" w:eastAsia="zh-CN"/>
              </w:rPr>
            </w:pPr>
          </w:p>
          <w:p w14:paraId="57FF5003">
            <w:pPr>
              <w:pStyle w:val="162"/>
              <w:rPr>
                <w:rFonts w:hint="eastAsia" w:cs="Times New Roman"/>
                <w:color w:val="auto"/>
                <w:lang w:val="en-US" w:eastAsia="zh-CN" w:bidi="he-IL"/>
              </w:rPr>
            </w:pPr>
            <w:r>
              <w:rPr>
                <w:rFonts w:hint="eastAsia" w:cs="Times New Roman"/>
                <w:color w:val="auto"/>
                <w:lang w:val="en-US" w:eastAsia="zh-CN" w:bidi="he-IL"/>
              </w:rPr>
              <w:t>本项目医疗废水经处理后，水质可以达到《医疗机构水污染物排放标准》（GB18466-2005）表2预处理标准及《污水排入城镇下水道水质标准》（GB/T31962-2015）表1的B等级标准，在处理过程中严格掌握消毒剂的用量，保证在满足消杀效果时，又控制余氯量在标准范围内。</w:t>
            </w:r>
          </w:p>
          <w:p w14:paraId="078F9CC3">
            <w:pPr>
              <w:pStyle w:val="162"/>
              <w:rPr>
                <w:rFonts w:hint="eastAsia" w:cs="Times New Roman"/>
                <w:color w:val="auto"/>
                <w:lang w:bidi="he-IL"/>
              </w:rPr>
            </w:pPr>
            <w:r>
              <w:rPr>
                <w:rFonts w:hint="eastAsia" w:cs="Times New Roman"/>
                <w:color w:val="auto"/>
                <w:lang w:bidi="he-IL"/>
              </w:rPr>
              <w:t>综上所述，废水处理措施可行。</w:t>
            </w:r>
          </w:p>
          <w:p w14:paraId="3B571385">
            <w:pPr>
              <w:pStyle w:val="4"/>
              <w:numPr>
                <w:ilvl w:val="2"/>
                <w:numId w:val="1"/>
              </w:numPr>
              <w:bidi w:val="0"/>
              <w:ind w:left="720" w:leftChars="0" w:hanging="720" w:firstLineChars="0"/>
              <w:rPr>
                <w:rFonts w:hint="eastAsia" w:eastAsia="宋体"/>
                <w:color w:val="auto"/>
                <w:highlight w:val="none"/>
              </w:rPr>
            </w:pPr>
            <w:r>
              <w:rPr>
                <w:rFonts w:hint="eastAsia" w:eastAsia="宋体"/>
                <w:color w:val="auto"/>
                <w:highlight w:val="none"/>
              </w:rPr>
              <w:t>依托污水处理厂的可行性分析</w:t>
            </w:r>
          </w:p>
          <w:p w14:paraId="138BF3CA">
            <w:pPr>
              <w:pStyle w:val="46"/>
              <w:keepNext w:val="0"/>
              <w:keepLines w:val="0"/>
              <w:pageBreakBefore w:val="0"/>
              <w:widowControl w:val="0"/>
              <w:kinsoku/>
              <w:wordWrap/>
              <w:overflowPunct/>
              <w:topLinePunct w:val="0"/>
              <w:autoSpaceDE w:val="0"/>
              <w:autoSpaceDN w:val="0"/>
              <w:bidi w:val="0"/>
              <w:adjustRightInd/>
              <w:snapToGrid/>
              <w:ind w:firstLine="480"/>
              <w:textAlignment w:val="auto"/>
              <w:rPr>
                <w:rFonts w:hint="eastAsia" w:ascii="Times New Roman" w:hAnsi="Times New Roman" w:eastAsia="宋体" w:cs="宋体"/>
                <w:color w:val="auto"/>
                <w:szCs w:val="20"/>
                <w:highlight w:val="none"/>
                <w:lang w:val="en-US" w:eastAsia="en-US" w:bidi="ar"/>
              </w:rPr>
            </w:pPr>
            <w:r>
              <w:rPr>
                <w:rFonts w:hint="eastAsia" w:ascii="Times New Roman" w:hAnsi="Times New Roman" w:eastAsia="宋体" w:cs="宋体"/>
                <w:color w:val="auto"/>
                <w:szCs w:val="20"/>
                <w:highlight w:val="none"/>
                <w:lang w:val="en-US" w:eastAsia="en-US" w:bidi="ar"/>
              </w:rPr>
              <w:t>根据《建设项目环境影响报告表编制技术指南</w:t>
            </w:r>
            <w:r>
              <w:rPr>
                <w:rFonts w:hint="eastAsia" w:cs="宋体"/>
                <w:color w:val="auto"/>
                <w:szCs w:val="20"/>
                <w:highlight w:val="none"/>
                <w:lang w:val="en-US" w:eastAsia="zh-CN" w:bidi="ar"/>
              </w:rPr>
              <w:t>（</w:t>
            </w:r>
            <w:r>
              <w:rPr>
                <w:rFonts w:hint="eastAsia" w:ascii="Times New Roman" w:hAnsi="Times New Roman" w:eastAsia="宋体" w:cs="宋体"/>
                <w:color w:val="auto"/>
                <w:szCs w:val="20"/>
                <w:highlight w:val="none"/>
                <w:lang w:val="en-US" w:eastAsia="en-US" w:bidi="ar"/>
              </w:rPr>
              <w:t>污染影响类</w:t>
            </w:r>
            <w:r>
              <w:rPr>
                <w:rFonts w:hint="eastAsia" w:cs="宋体"/>
                <w:color w:val="auto"/>
                <w:szCs w:val="20"/>
                <w:highlight w:val="none"/>
                <w:lang w:val="en-US" w:eastAsia="zh-CN" w:bidi="ar"/>
              </w:rPr>
              <w:t>）（</w:t>
            </w:r>
            <w:r>
              <w:rPr>
                <w:rFonts w:hint="eastAsia" w:ascii="Times New Roman" w:hAnsi="Times New Roman" w:eastAsia="宋体" w:cs="宋体"/>
                <w:color w:val="auto"/>
                <w:szCs w:val="20"/>
                <w:highlight w:val="none"/>
                <w:lang w:val="en-US" w:eastAsia="en-US" w:bidi="ar"/>
              </w:rPr>
              <w:t>试行</w:t>
            </w:r>
            <w:r>
              <w:rPr>
                <w:rFonts w:hint="eastAsia" w:cs="宋体"/>
                <w:color w:val="auto"/>
                <w:szCs w:val="20"/>
                <w:highlight w:val="none"/>
                <w:lang w:val="en-US" w:eastAsia="zh-CN" w:bidi="ar"/>
              </w:rPr>
              <w:t>）</w:t>
            </w:r>
            <w:r>
              <w:rPr>
                <w:rFonts w:hint="eastAsia" w:ascii="Times New Roman" w:hAnsi="Times New Roman" w:eastAsia="宋体" w:cs="宋体"/>
                <w:color w:val="auto"/>
                <w:szCs w:val="20"/>
                <w:highlight w:val="none"/>
                <w:lang w:val="en-US" w:eastAsia="en-US" w:bidi="ar"/>
              </w:rPr>
              <w:t>》</w:t>
            </w:r>
            <w:r>
              <w:rPr>
                <w:rFonts w:hint="eastAsia" w:cs="宋体"/>
                <w:color w:val="auto"/>
                <w:szCs w:val="20"/>
                <w:highlight w:val="none"/>
                <w:lang w:val="en-US" w:eastAsia="zh-CN" w:bidi="ar"/>
              </w:rPr>
              <w:t>（</w:t>
            </w:r>
            <w:r>
              <w:rPr>
                <w:rFonts w:hint="eastAsia" w:ascii="Times New Roman" w:hAnsi="Times New Roman" w:eastAsia="宋体" w:cs="宋体"/>
                <w:color w:val="auto"/>
                <w:szCs w:val="20"/>
                <w:highlight w:val="none"/>
                <w:lang w:val="en-US" w:eastAsia="en-US" w:bidi="ar"/>
              </w:rPr>
              <w:t>环办环评〔2020〕33号</w:t>
            </w:r>
            <w:r>
              <w:rPr>
                <w:rFonts w:hint="eastAsia" w:cs="宋体"/>
                <w:color w:val="auto"/>
                <w:szCs w:val="20"/>
                <w:highlight w:val="none"/>
                <w:lang w:val="en-US" w:eastAsia="zh-CN" w:bidi="ar"/>
              </w:rPr>
              <w:t>）</w:t>
            </w:r>
            <w:r>
              <w:rPr>
                <w:rFonts w:hint="eastAsia" w:ascii="Times New Roman" w:hAnsi="Times New Roman" w:eastAsia="宋体" w:cs="宋体"/>
                <w:color w:val="auto"/>
                <w:szCs w:val="20"/>
                <w:highlight w:val="none"/>
                <w:lang w:val="en-US" w:eastAsia="en-US" w:bidi="ar"/>
              </w:rPr>
              <w:t>要求，废水间接排放的建设项目应从处理能力、处理工艺、设计进出水水质等方面，分析依托集中污水处理厂的可行性。</w:t>
            </w:r>
          </w:p>
          <w:p w14:paraId="71881E0E">
            <w:pPr>
              <w:pStyle w:val="46"/>
              <w:ind w:firstLine="480"/>
              <w:rPr>
                <w:rFonts w:hint="eastAsia" w:ascii="Times New Roman" w:hAnsi="Times New Roman" w:eastAsia="宋体" w:cs="宋体"/>
                <w:color w:val="auto"/>
                <w:szCs w:val="20"/>
                <w:highlight w:val="none"/>
                <w:lang w:val="en-US" w:eastAsia="en-US" w:bidi="ar"/>
              </w:rPr>
            </w:pPr>
            <w:r>
              <w:rPr>
                <w:rFonts w:hint="eastAsia" w:cs="宋体"/>
                <w:color w:val="auto"/>
                <w:szCs w:val="20"/>
                <w:highlight w:val="none"/>
                <w:lang w:val="en-US" w:eastAsia="zh-CN" w:bidi="ar"/>
              </w:rPr>
              <w:t>（1）</w:t>
            </w:r>
            <w:r>
              <w:rPr>
                <w:rFonts w:hint="eastAsia" w:ascii="Times New Roman" w:hAnsi="Times New Roman" w:eastAsia="宋体" w:cs="宋体"/>
                <w:color w:val="auto"/>
                <w:szCs w:val="20"/>
                <w:highlight w:val="none"/>
                <w:lang w:val="en-US" w:eastAsia="en-US" w:bidi="ar"/>
              </w:rPr>
              <w:t>罗源县城区污水处理厂基本情况</w:t>
            </w:r>
          </w:p>
          <w:p w14:paraId="4BBDF40D">
            <w:pPr>
              <w:pStyle w:val="46"/>
              <w:ind w:firstLine="480"/>
              <w:rPr>
                <w:rFonts w:hint="eastAsia" w:ascii="Times New Roman" w:hAnsi="Times New Roman" w:eastAsia="宋体" w:cs="宋体"/>
                <w:color w:val="auto"/>
                <w:szCs w:val="20"/>
                <w:highlight w:val="none"/>
                <w:lang w:val="en-US" w:eastAsia="en-US" w:bidi="ar"/>
              </w:rPr>
            </w:pPr>
            <w:r>
              <w:rPr>
                <w:rFonts w:hint="eastAsia" w:ascii="Times New Roman" w:hAnsi="Times New Roman" w:eastAsia="宋体" w:cs="宋体"/>
                <w:color w:val="auto"/>
                <w:szCs w:val="20"/>
                <w:highlight w:val="none"/>
                <w:lang w:val="en-US" w:eastAsia="en-US" w:bidi="ar"/>
              </w:rPr>
              <w:t>①罗源县城区污水处理厂建设情况</w:t>
            </w:r>
          </w:p>
          <w:p w14:paraId="74E0AC09">
            <w:pPr>
              <w:pStyle w:val="46"/>
              <w:ind w:firstLine="480"/>
              <w:rPr>
                <w:rFonts w:hint="eastAsia" w:ascii="Times New Roman" w:hAnsi="Times New Roman" w:eastAsia="宋体" w:cs="宋体"/>
                <w:color w:val="auto"/>
                <w:szCs w:val="20"/>
                <w:highlight w:val="none"/>
                <w:lang w:val="en-US" w:eastAsia="en-US" w:bidi="ar"/>
              </w:rPr>
            </w:pPr>
            <w:r>
              <w:rPr>
                <w:rFonts w:hint="eastAsia" w:ascii="Times New Roman" w:hAnsi="Times New Roman" w:eastAsia="宋体" w:cs="宋体"/>
                <w:color w:val="auto"/>
                <w:szCs w:val="20"/>
                <w:highlight w:val="none"/>
                <w:lang w:val="en-US" w:eastAsia="en-US" w:bidi="ar"/>
              </w:rPr>
              <w:t>罗源县城区污水处理厂位于罗源县松山镇岐后村，主要处理城区生活污水。总设计规模为8万m</w:t>
            </w:r>
            <w:r>
              <w:rPr>
                <w:rFonts w:hint="eastAsia" w:ascii="Times New Roman" w:hAnsi="Times New Roman" w:eastAsia="宋体" w:cs="宋体"/>
                <w:color w:val="auto"/>
                <w:szCs w:val="20"/>
                <w:highlight w:val="none"/>
                <w:vertAlign w:val="superscript"/>
                <w:lang w:val="en-US" w:eastAsia="en-US" w:bidi="ar"/>
              </w:rPr>
              <w:t>3</w:t>
            </w:r>
            <w:r>
              <w:rPr>
                <w:rFonts w:hint="eastAsia" w:ascii="Times New Roman" w:hAnsi="Times New Roman" w:eastAsia="宋体" w:cs="宋体"/>
                <w:color w:val="auto"/>
                <w:szCs w:val="20"/>
                <w:highlight w:val="none"/>
                <w:lang w:val="en-US" w:eastAsia="en-US" w:bidi="ar"/>
              </w:rPr>
              <w:t>/d，分近期、远期两期建设。根据罗源县城区污水处理厂建设规划，污水处理厂近期按4万m</w:t>
            </w:r>
            <w:r>
              <w:rPr>
                <w:rFonts w:hint="eastAsia" w:ascii="Times New Roman" w:hAnsi="Times New Roman" w:eastAsia="宋体" w:cs="宋体"/>
                <w:color w:val="auto"/>
                <w:szCs w:val="20"/>
                <w:highlight w:val="none"/>
                <w:vertAlign w:val="superscript"/>
                <w:lang w:val="en-US" w:eastAsia="en-US" w:bidi="ar"/>
              </w:rPr>
              <w:t>3</w:t>
            </w:r>
            <w:r>
              <w:rPr>
                <w:rFonts w:hint="eastAsia" w:ascii="Times New Roman" w:hAnsi="Times New Roman" w:eastAsia="宋体" w:cs="宋体"/>
                <w:color w:val="auto"/>
                <w:szCs w:val="20"/>
                <w:highlight w:val="none"/>
                <w:lang w:val="en-US" w:eastAsia="en-US" w:bidi="ar"/>
              </w:rPr>
              <w:t>/d布置，总占地面积48亩。现已建成近期一期（1万m</w:t>
            </w:r>
            <w:r>
              <w:rPr>
                <w:rFonts w:hint="eastAsia" w:ascii="Times New Roman" w:hAnsi="Times New Roman" w:eastAsia="宋体" w:cs="宋体"/>
                <w:color w:val="auto"/>
                <w:szCs w:val="20"/>
                <w:highlight w:val="none"/>
                <w:vertAlign w:val="superscript"/>
                <w:lang w:val="en-US" w:eastAsia="en-US" w:bidi="ar"/>
              </w:rPr>
              <w:t>3</w:t>
            </w:r>
            <w:r>
              <w:rPr>
                <w:rFonts w:hint="eastAsia" w:ascii="Times New Roman" w:hAnsi="Times New Roman" w:eastAsia="宋体" w:cs="宋体"/>
                <w:color w:val="auto"/>
                <w:szCs w:val="20"/>
                <w:highlight w:val="none"/>
                <w:lang w:val="en-US" w:eastAsia="en-US" w:bidi="ar"/>
              </w:rPr>
              <w:t>/d）、二期（1万m</w:t>
            </w:r>
            <w:r>
              <w:rPr>
                <w:rFonts w:hint="eastAsia" w:ascii="Times New Roman" w:hAnsi="Times New Roman" w:eastAsia="宋体" w:cs="宋体"/>
                <w:color w:val="auto"/>
                <w:szCs w:val="20"/>
                <w:highlight w:val="none"/>
                <w:vertAlign w:val="superscript"/>
                <w:lang w:val="en-US" w:eastAsia="en-US" w:bidi="ar"/>
              </w:rPr>
              <w:t>3</w:t>
            </w:r>
            <w:r>
              <w:rPr>
                <w:rFonts w:hint="eastAsia" w:ascii="Times New Roman" w:hAnsi="Times New Roman" w:eastAsia="宋体" w:cs="宋体"/>
                <w:color w:val="auto"/>
                <w:szCs w:val="20"/>
                <w:highlight w:val="none"/>
                <w:lang w:val="en-US" w:eastAsia="en-US" w:bidi="ar"/>
              </w:rPr>
              <w:t>/d）及滨海新城污水处理（1万m</w:t>
            </w:r>
            <w:r>
              <w:rPr>
                <w:rFonts w:hint="eastAsia" w:ascii="Times New Roman" w:hAnsi="Times New Roman" w:eastAsia="宋体" w:cs="宋体"/>
                <w:color w:val="auto"/>
                <w:szCs w:val="20"/>
                <w:highlight w:val="none"/>
                <w:vertAlign w:val="superscript"/>
                <w:lang w:val="en-US" w:eastAsia="en-US" w:bidi="ar"/>
              </w:rPr>
              <w:t>3</w:t>
            </w:r>
            <w:r>
              <w:rPr>
                <w:rFonts w:hint="eastAsia" w:ascii="Times New Roman" w:hAnsi="Times New Roman" w:eastAsia="宋体" w:cs="宋体"/>
                <w:color w:val="auto"/>
                <w:szCs w:val="20"/>
                <w:highlight w:val="none"/>
                <w:lang w:val="en-US" w:eastAsia="en-US" w:bidi="ar"/>
              </w:rPr>
              <w:t>/d）项目。</w:t>
            </w:r>
            <w:r>
              <w:rPr>
                <w:rFonts w:hint="eastAsia" w:cs="宋体"/>
                <w:color w:val="auto"/>
                <w:szCs w:val="20"/>
                <w:highlight w:val="none"/>
                <w:lang w:val="en-US" w:eastAsia="zh-CN" w:bidi="ar"/>
              </w:rPr>
              <w:t>一期</w:t>
            </w:r>
            <w:r>
              <w:rPr>
                <w:rFonts w:hint="eastAsia" w:ascii="Times New Roman" w:hAnsi="Times New Roman" w:eastAsia="宋体" w:cs="宋体"/>
                <w:color w:val="auto"/>
                <w:szCs w:val="20"/>
                <w:highlight w:val="none"/>
                <w:lang w:val="en-US" w:eastAsia="en-US" w:bidi="ar"/>
              </w:rPr>
              <w:t>项目于2007年6月经罗源县环保局审批，于2008年7月通过环保验收；二期项目是在一期的基础上进行扩建，于2010年5月经罗源县环保局审批，并于2012年3月通过县环保验收；滨海新城污水处理（1万m</w:t>
            </w:r>
            <w:r>
              <w:rPr>
                <w:rFonts w:hint="eastAsia" w:ascii="Times New Roman" w:hAnsi="Times New Roman" w:eastAsia="宋体" w:cs="宋体"/>
                <w:color w:val="auto"/>
                <w:szCs w:val="20"/>
                <w:highlight w:val="none"/>
                <w:vertAlign w:val="superscript"/>
                <w:lang w:val="en-US" w:eastAsia="en-US" w:bidi="ar"/>
              </w:rPr>
              <w:t>3</w:t>
            </w:r>
            <w:r>
              <w:rPr>
                <w:rFonts w:hint="eastAsia" w:ascii="Times New Roman" w:hAnsi="Times New Roman" w:eastAsia="宋体" w:cs="宋体"/>
                <w:color w:val="auto"/>
                <w:szCs w:val="20"/>
                <w:highlight w:val="none"/>
                <w:lang w:val="en-US" w:eastAsia="en-US" w:bidi="ar"/>
              </w:rPr>
              <w:t>/d）项目于2014年1月开始动工，2014年11月底工程竣工并通过验收，并于2016年1月15日通过县环保验收。目前污水处理厂规模为3万m</w:t>
            </w:r>
            <w:r>
              <w:rPr>
                <w:rFonts w:hint="eastAsia" w:ascii="Times New Roman" w:hAnsi="Times New Roman" w:eastAsia="宋体" w:cs="宋体"/>
                <w:color w:val="auto"/>
                <w:szCs w:val="20"/>
                <w:highlight w:val="none"/>
                <w:vertAlign w:val="superscript"/>
                <w:lang w:val="en-US" w:eastAsia="en-US" w:bidi="ar"/>
              </w:rPr>
              <w:t>3</w:t>
            </w:r>
            <w:r>
              <w:rPr>
                <w:rFonts w:hint="eastAsia" w:ascii="Times New Roman" w:hAnsi="Times New Roman" w:eastAsia="宋体" w:cs="宋体"/>
                <w:color w:val="auto"/>
                <w:szCs w:val="20"/>
                <w:highlight w:val="none"/>
                <w:lang w:val="en-US" w:eastAsia="en-US" w:bidi="ar"/>
              </w:rPr>
              <w:t>/d。处理后设计出水水质达到《城镇污水处理厂污染物排放标准》（GB18918-2002）中一级B排放标准。</w:t>
            </w:r>
          </w:p>
          <w:p w14:paraId="42E1736D">
            <w:pPr>
              <w:pStyle w:val="46"/>
              <w:ind w:firstLine="480"/>
              <w:rPr>
                <w:rFonts w:hint="eastAsia" w:ascii="Times New Roman" w:hAnsi="Times New Roman" w:eastAsia="宋体" w:cs="宋体"/>
                <w:color w:val="auto"/>
                <w:szCs w:val="20"/>
                <w:highlight w:val="none"/>
                <w:lang w:val="en-US" w:eastAsia="en-US" w:bidi="ar"/>
              </w:rPr>
            </w:pPr>
            <w:r>
              <w:rPr>
                <w:rFonts w:hint="eastAsia" w:ascii="Times New Roman" w:hAnsi="Times New Roman" w:eastAsia="宋体" w:cs="宋体"/>
                <w:color w:val="auto"/>
                <w:szCs w:val="20"/>
                <w:highlight w:val="none"/>
                <w:lang w:val="en-US" w:eastAsia="en-US" w:bidi="ar"/>
              </w:rPr>
              <w:t>②处理工艺</w:t>
            </w:r>
          </w:p>
          <w:p w14:paraId="405716CF">
            <w:pPr>
              <w:pStyle w:val="46"/>
              <w:ind w:firstLine="480"/>
              <w:rPr>
                <w:rFonts w:hint="eastAsia" w:ascii="Times New Roman" w:hAnsi="Times New Roman" w:eastAsia="宋体" w:cs="宋体"/>
                <w:color w:val="auto"/>
                <w:szCs w:val="20"/>
                <w:highlight w:val="none"/>
                <w:lang w:val="en-US" w:eastAsia="en-US" w:bidi="ar"/>
              </w:rPr>
            </w:pPr>
            <w:r>
              <w:rPr>
                <w:rFonts w:hint="eastAsia" w:ascii="Times New Roman" w:hAnsi="Times New Roman" w:eastAsia="宋体" w:cs="宋体"/>
                <w:color w:val="auto"/>
                <w:szCs w:val="20"/>
                <w:highlight w:val="none"/>
                <w:lang w:val="en-US" w:eastAsia="en-US" w:bidi="ar"/>
              </w:rPr>
              <w:t>项目污水处理工艺流程详见图4.</w:t>
            </w:r>
            <w:r>
              <w:rPr>
                <w:rFonts w:hint="eastAsia" w:cs="宋体"/>
                <w:color w:val="auto"/>
                <w:szCs w:val="20"/>
                <w:highlight w:val="none"/>
                <w:lang w:val="en-US" w:eastAsia="zh-CN" w:bidi="ar"/>
              </w:rPr>
              <w:t>3</w:t>
            </w:r>
            <w:r>
              <w:rPr>
                <w:rFonts w:hint="eastAsia" w:ascii="Times New Roman" w:hAnsi="Times New Roman" w:eastAsia="宋体" w:cs="宋体"/>
                <w:color w:val="auto"/>
                <w:szCs w:val="20"/>
                <w:highlight w:val="none"/>
                <w:lang w:val="en-US" w:eastAsia="en-US" w:bidi="ar"/>
              </w:rPr>
              <w:t>-</w:t>
            </w:r>
            <w:r>
              <w:rPr>
                <w:rFonts w:hint="eastAsia" w:cs="宋体"/>
                <w:color w:val="auto"/>
                <w:szCs w:val="20"/>
                <w:highlight w:val="none"/>
                <w:lang w:val="en-US" w:eastAsia="zh-CN" w:bidi="ar"/>
              </w:rPr>
              <w:t>2</w:t>
            </w:r>
            <w:r>
              <w:rPr>
                <w:rFonts w:hint="eastAsia" w:ascii="Times New Roman" w:hAnsi="Times New Roman" w:eastAsia="宋体" w:cs="宋体"/>
                <w:color w:val="auto"/>
                <w:szCs w:val="20"/>
                <w:highlight w:val="none"/>
                <w:lang w:val="en-US" w:eastAsia="en-US" w:bidi="ar"/>
              </w:rPr>
              <w:t>。</w:t>
            </w:r>
          </w:p>
          <w:p w14:paraId="1E67E386">
            <w:pPr>
              <w:pStyle w:val="46"/>
              <w:ind w:left="0" w:leftChars="0" w:firstLine="0" w:firstLineChars="0"/>
              <w:rPr>
                <w:rFonts w:hint="eastAsia" w:ascii="Times New Roman" w:hAnsi="Times New Roman" w:eastAsia="宋体" w:cs="宋体"/>
                <w:color w:val="FF0000"/>
                <w:szCs w:val="20"/>
                <w:highlight w:val="none"/>
                <w:lang w:val="en-US" w:eastAsia="zh-CN" w:bidi="ar"/>
              </w:rPr>
            </w:pPr>
            <w:r>
              <w:rPr>
                <w:rFonts w:hint="eastAsia" w:ascii="Times New Roman" w:hAnsi="Times New Roman" w:eastAsia="宋体" w:cs="宋体"/>
                <w:color w:val="FF0000"/>
                <w:szCs w:val="20"/>
                <w:highlight w:val="none"/>
                <w:lang w:val="en-US" w:eastAsia="zh-CN" w:bidi="ar"/>
              </w:rPr>
              <w:drawing>
                <wp:inline distT="0" distB="0" distL="114300" distR="114300">
                  <wp:extent cx="5554345" cy="2158365"/>
                  <wp:effectExtent l="0" t="0" r="8255" b="13335"/>
                  <wp:docPr id="235" name="图片 235" descr="424b589bf3dabf37e29d1a42cfe730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35" descr="424b589bf3dabf37e29d1a42cfe730f4"/>
                          <pic:cNvPicPr>
                            <a:picLocks noChangeAspect="1"/>
                          </pic:cNvPicPr>
                        </pic:nvPicPr>
                        <pic:blipFill>
                          <a:blip r:embed="rId18"/>
                          <a:stretch>
                            <a:fillRect/>
                          </a:stretch>
                        </pic:blipFill>
                        <pic:spPr>
                          <a:xfrm>
                            <a:off x="0" y="0"/>
                            <a:ext cx="5554345" cy="2158365"/>
                          </a:xfrm>
                          <a:prstGeom prst="rect">
                            <a:avLst/>
                          </a:prstGeom>
                        </pic:spPr>
                      </pic:pic>
                    </a:graphicData>
                  </a:graphic>
                </wp:inline>
              </w:drawing>
            </w:r>
          </w:p>
          <w:p w14:paraId="66362D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82" w:firstLineChars="200"/>
              <w:jc w:val="center"/>
              <w:textAlignment w:val="auto"/>
              <w:rPr>
                <w:rFonts w:hint="eastAsia" w:ascii="Times New Roman" w:hAnsi="Times New Roman" w:cs="Times New Roman"/>
                <w:b/>
                <w:bCs/>
                <w:color w:val="auto"/>
                <w:kern w:val="2"/>
                <w:sz w:val="24"/>
                <w:szCs w:val="20"/>
                <w:highlight w:val="none"/>
                <w:lang w:val="en-US" w:eastAsia="zh-CN" w:bidi="ar-SA"/>
              </w:rPr>
            </w:pPr>
            <w:r>
              <w:rPr>
                <w:rFonts w:hint="eastAsia" w:ascii="Times New Roman" w:hAnsi="Times New Roman" w:cs="Times New Roman"/>
                <w:b/>
                <w:bCs/>
                <w:color w:val="auto"/>
                <w:kern w:val="2"/>
                <w:sz w:val="24"/>
                <w:szCs w:val="20"/>
                <w:highlight w:val="none"/>
                <w:lang w:val="en-US" w:eastAsia="zh-CN" w:bidi="ar-SA"/>
              </w:rPr>
              <w:t xml:space="preserve">图 </w:t>
            </w:r>
            <w:r>
              <w:rPr>
                <w:rFonts w:hint="default" w:ascii="Times New Roman" w:hAnsi="Times New Roman" w:cs="Times New Roman"/>
                <w:b/>
                <w:bCs/>
                <w:color w:val="auto"/>
                <w:kern w:val="2"/>
                <w:sz w:val="24"/>
                <w:szCs w:val="20"/>
                <w:highlight w:val="none"/>
                <w:lang w:val="en-US" w:eastAsia="zh-CN" w:bidi="ar-SA"/>
              </w:rPr>
              <w:t>4.</w:t>
            </w:r>
            <w:r>
              <w:rPr>
                <w:rFonts w:hint="eastAsia" w:cs="Times New Roman"/>
                <w:b/>
                <w:bCs/>
                <w:color w:val="auto"/>
                <w:kern w:val="2"/>
                <w:sz w:val="24"/>
                <w:szCs w:val="20"/>
                <w:highlight w:val="none"/>
                <w:lang w:val="en-US" w:eastAsia="zh-CN" w:bidi="ar-SA"/>
              </w:rPr>
              <w:t>3</w:t>
            </w:r>
            <w:r>
              <w:rPr>
                <w:rFonts w:hint="default" w:ascii="Times New Roman" w:hAnsi="Times New Roman" w:cs="Times New Roman"/>
                <w:b/>
                <w:bCs/>
                <w:color w:val="auto"/>
                <w:kern w:val="2"/>
                <w:sz w:val="24"/>
                <w:szCs w:val="20"/>
                <w:highlight w:val="none"/>
                <w:lang w:val="en-US" w:eastAsia="zh-CN" w:bidi="ar-SA"/>
              </w:rPr>
              <w:t>-2</w:t>
            </w:r>
            <w:r>
              <w:rPr>
                <w:rFonts w:hint="eastAsia" w:ascii="Times New Roman" w:hAnsi="Times New Roman" w:cs="Times New Roman"/>
                <w:b/>
                <w:bCs/>
                <w:color w:val="auto"/>
                <w:kern w:val="2"/>
                <w:sz w:val="24"/>
                <w:szCs w:val="20"/>
                <w:highlight w:val="none"/>
                <w:lang w:val="en-US" w:eastAsia="zh-CN" w:bidi="ar-SA"/>
              </w:rPr>
              <w:t>污水处理厂处理工艺流程图</w:t>
            </w:r>
          </w:p>
          <w:p w14:paraId="486E3101">
            <w:pPr>
              <w:pStyle w:val="46"/>
              <w:ind w:firstLine="480"/>
              <w:rPr>
                <w:rFonts w:hint="eastAsia" w:ascii="Times New Roman" w:hAnsi="Times New Roman" w:eastAsia="宋体" w:cs="宋体"/>
                <w:color w:val="auto"/>
                <w:szCs w:val="20"/>
                <w:highlight w:val="none"/>
                <w:lang w:val="en-US" w:eastAsia="en-US" w:bidi="ar"/>
              </w:rPr>
            </w:pPr>
            <w:r>
              <w:rPr>
                <w:rFonts w:hint="eastAsia" w:cs="宋体"/>
                <w:color w:val="auto"/>
                <w:szCs w:val="20"/>
                <w:highlight w:val="none"/>
                <w:lang w:val="en-US" w:eastAsia="zh-CN" w:bidi="ar"/>
              </w:rPr>
              <w:t>（2）</w:t>
            </w:r>
            <w:r>
              <w:rPr>
                <w:rFonts w:hint="eastAsia" w:ascii="Times New Roman" w:hAnsi="Times New Roman" w:eastAsia="宋体" w:cs="宋体"/>
                <w:color w:val="auto"/>
                <w:szCs w:val="20"/>
                <w:highlight w:val="none"/>
                <w:lang w:val="en-US" w:eastAsia="en-US" w:bidi="ar"/>
              </w:rPr>
              <w:t>依托可行性分析</w:t>
            </w:r>
          </w:p>
          <w:p w14:paraId="69583ACC">
            <w:pPr>
              <w:pStyle w:val="46"/>
              <w:ind w:firstLine="480"/>
              <w:rPr>
                <w:rFonts w:hint="eastAsia" w:ascii="Times New Roman" w:hAnsi="Times New Roman" w:eastAsia="宋体" w:cs="宋体"/>
                <w:color w:val="auto"/>
                <w:szCs w:val="20"/>
                <w:highlight w:val="none"/>
                <w:lang w:val="en-US" w:eastAsia="en-US" w:bidi="ar"/>
              </w:rPr>
            </w:pPr>
            <w:r>
              <w:rPr>
                <w:rFonts w:hint="eastAsia" w:ascii="Times New Roman" w:hAnsi="Times New Roman" w:eastAsia="宋体" w:cs="宋体"/>
                <w:color w:val="auto"/>
                <w:szCs w:val="20"/>
                <w:highlight w:val="none"/>
                <w:lang w:val="en-US" w:eastAsia="en-US" w:bidi="ar"/>
              </w:rPr>
              <w:t>①管网衔接可行性分析</w:t>
            </w:r>
          </w:p>
          <w:p w14:paraId="492708E8">
            <w:pPr>
              <w:pStyle w:val="46"/>
              <w:ind w:firstLine="480"/>
              <w:rPr>
                <w:rFonts w:hint="eastAsia" w:ascii="Times New Roman" w:hAnsi="Times New Roman" w:eastAsia="宋体" w:cs="宋体"/>
                <w:color w:val="auto"/>
                <w:szCs w:val="20"/>
                <w:highlight w:val="none"/>
                <w:lang w:val="en-US" w:eastAsia="en-US" w:bidi="ar"/>
              </w:rPr>
            </w:pPr>
            <w:r>
              <w:rPr>
                <w:rFonts w:hint="eastAsia" w:ascii="Times New Roman" w:hAnsi="Times New Roman" w:eastAsia="宋体" w:cs="宋体"/>
                <w:color w:val="auto"/>
                <w:szCs w:val="20"/>
                <w:highlight w:val="none"/>
                <w:lang w:val="en-US" w:eastAsia="en-US" w:bidi="ar"/>
              </w:rPr>
              <w:t>根据资料调查，罗源县城区污水处理厂选址位于罗源县松山镇岐后村，由罗源北美水务有限公司全权负责项目的融资、建设及运营。污水处理厂占地面积48亩，主要处理城区生活污水，服务范围为起步区、滨海新城、老城区、开发区</w:t>
            </w:r>
            <w:r>
              <w:rPr>
                <w:rFonts w:hint="eastAsia" w:cs="宋体"/>
                <w:color w:val="auto"/>
                <w:szCs w:val="20"/>
                <w:highlight w:val="none"/>
                <w:lang w:val="en-US" w:eastAsia="zh-CN" w:bidi="ar"/>
              </w:rPr>
              <w:t>（</w:t>
            </w:r>
            <w:r>
              <w:rPr>
                <w:rFonts w:hint="eastAsia" w:ascii="Times New Roman" w:hAnsi="Times New Roman" w:eastAsia="宋体" w:cs="宋体"/>
                <w:color w:val="auto"/>
                <w:szCs w:val="20"/>
                <w:highlight w:val="none"/>
                <w:lang w:val="en-US" w:eastAsia="en-US" w:bidi="ar"/>
              </w:rPr>
              <w:t>松山镇、村集中生活污水</w:t>
            </w:r>
            <w:r>
              <w:rPr>
                <w:rFonts w:hint="eastAsia" w:cs="宋体"/>
                <w:color w:val="auto"/>
                <w:szCs w:val="20"/>
                <w:highlight w:val="none"/>
                <w:lang w:val="en-US" w:eastAsia="zh-CN" w:bidi="ar"/>
              </w:rPr>
              <w:t>）</w:t>
            </w:r>
            <w:r>
              <w:rPr>
                <w:rFonts w:hint="eastAsia" w:ascii="Times New Roman" w:hAnsi="Times New Roman" w:eastAsia="宋体" w:cs="宋体"/>
                <w:color w:val="auto"/>
                <w:szCs w:val="20"/>
                <w:highlight w:val="none"/>
                <w:lang w:val="en-US" w:eastAsia="en-US" w:bidi="ar"/>
              </w:rPr>
              <w:t>、渡头新区，总设计规模为8万m</w:t>
            </w:r>
            <w:r>
              <w:rPr>
                <w:rFonts w:hint="eastAsia" w:ascii="Times New Roman" w:hAnsi="Times New Roman" w:eastAsia="宋体" w:cs="宋体"/>
                <w:color w:val="auto"/>
                <w:szCs w:val="20"/>
                <w:highlight w:val="none"/>
                <w:vertAlign w:val="superscript"/>
                <w:lang w:val="en-US" w:eastAsia="en-US" w:bidi="ar"/>
              </w:rPr>
              <w:t>3</w:t>
            </w:r>
            <w:r>
              <w:rPr>
                <w:rFonts w:hint="eastAsia" w:ascii="Times New Roman" w:hAnsi="Times New Roman" w:eastAsia="宋体" w:cs="宋体"/>
                <w:color w:val="auto"/>
                <w:szCs w:val="20"/>
                <w:highlight w:val="none"/>
                <w:lang w:val="en-US" w:eastAsia="en-US" w:bidi="ar"/>
              </w:rPr>
              <w:t>/d分近期、远期两期建设。根据罗源县城区污水处理厂建设规划，污水处理厂近期按4万m</w:t>
            </w:r>
            <w:r>
              <w:rPr>
                <w:rFonts w:hint="eastAsia" w:ascii="Times New Roman" w:hAnsi="Times New Roman" w:eastAsia="宋体" w:cs="宋体"/>
                <w:color w:val="auto"/>
                <w:szCs w:val="20"/>
                <w:highlight w:val="none"/>
                <w:vertAlign w:val="superscript"/>
                <w:lang w:val="en-US" w:eastAsia="en-US" w:bidi="ar"/>
              </w:rPr>
              <w:t>3</w:t>
            </w:r>
            <w:r>
              <w:rPr>
                <w:rFonts w:hint="eastAsia" w:ascii="Times New Roman" w:hAnsi="Times New Roman" w:eastAsia="宋体" w:cs="宋体"/>
                <w:color w:val="auto"/>
                <w:szCs w:val="20"/>
                <w:highlight w:val="none"/>
                <w:lang w:val="en-US" w:eastAsia="en-US" w:bidi="ar"/>
              </w:rPr>
              <w:t>/d布置，总占地面积48亩。现已建成近期一期</w:t>
            </w:r>
            <w:r>
              <w:rPr>
                <w:rFonts w:hint="eastAsia" w:cs="宋体"/>
                <w:color w:val="auto"/>
                <w:szCs w:val="20"/>
                <w:highlight w:val="none"/>
                <w:lang w:val="en-US" w:eastAsia="zh-CN" w:bidi="ar"/>
              </w:rPr>
              <w:t>（</w:t>
            </w:r>
            <w:r>
              <w:rPr>
                <w:rFonts w:hint="eastAsia" w:ascii="Times New Roman" w:hAnsi="Times New Roman" w:eastAsia="宋体" w:cs="宋体"/>
                <w:color w:val="auto"/>
                <w:szCs w:val="20"/>
                <w:highlight w:val="none"/>
                <w:lang w:val="en-US" w:eastAsia="en-US" w:bidi="ar"/>
              </w:rPr>
              <w:t>1万m</w:t>
            </w:r>
            <w:r>
              <w:rPr>
                <w:rFonts w:hint="eastAsia" w:ascii="Times New Roman" w:hAnsi="Times New Roman" w:eastAsia="宋体" w:cs="宋体"/>
                <w:color w:val="auto"/>
                <w:szCs w:val="20"/>
                <w:highlight w:val="none"/>
                <w:vertAlign w:val="superscript"/>
                <w:lang w:val="en-US" w:eastAsia="en-US" w:bidi="ar"/>
              </w:rPr>
              <w:t>3</w:t>
            </w:r>
            <w:r>
              <w:rPr>
                <w:rFonts w:hint="eastAsia" w:ascii="Times New Roman" w:hAnsi="Times New Roman" w:eastAsia="宋体" w:cs="宋体"/>
                <w:color w:val="auto"/>
                <w:szCs w:val="20"/>
                <w:highlight w:val="none"/>
                <w:lang w:val="en-US" w:eastAsia="en-US" w:bidi="ar"/>
              </w:rPr>
              <w:t>/d</w:t>
            </w:r>
            <w:r>
              <w:rPr>
                <w:rFonts w:hint="eastAsia" w:cs="宋体"/>
                <w:color w:val="auto"/>
                <w:szCs w:val="20"/>
                <w:highlight w:val="none"/>
                <w:lang w:val="en-US" w:eastAsia="zh-CN" w:bidi="ar"/>
              </w:rPr>
              <w:t>）</w:t>
            </w:r>
            <w:r>
              <w:rPr>
                <w:rFonts w:hint="eastAsia" w:ascii="Times New Roman" w:hAnsi="Times New Roman" w:eastAsia="宋体" w:cs="宋体"/>
                <w:color w:val="auto"/>
                <w:szCs w:val="20"/>
                <w:highlight w:val="none"/>
                <w:lang w:val="en-US" w:eastAsia="en-US" w:bidi="ar"/>
              </w:rPr>
              <w:t>、二期</w:t>
            </w:r>
            <w:r>
              <w:rPr>
                <w:rFonts w:hint="eastAsia" w:cs="宋体"/>
                <w:color w:val="auto"/>
                <w:szCs w:val="20"/>
                <w:highlight w:val="none"/>
                <w:lang w:val="en-US" w:eastAsia="zh-CN" w:bidi="ar"/>
              </w:rPr>
              <w:t>（</w:t>
            </w:r>
            <w:r>
              <w:rPr>
                <w:rFonts w:hint="eastAsia" w:ascii="Times New Roman" w:hAnsi="Times New Roman" w:eastAsia="宋体" w:cs="宋体"/>
                <w:color w:val="auto"/>
                <w:szCs w:val="20"/>
                <w:highlight w:val="none"/>
                <w:lang w:val="en-US" w:eastAsia="en-US" w:bidi="ar"/>
              </w:rPr>
              <w:t>1万m</w:t>
            </w:r>
            <w:r>
              <w:rPr>
                <w:rFonts w:hint="eastAsia" w:ascii="Times New Roman" w:hAnsi="Times New Roman" w:eastAsia="宋体" w:cs="宋体"/>
                <w:color w:val="auto"/>
                <w:szCs w:val="20"/>
                <w:highlight w:val="none"/>
                <w:vertAlign w:val="superscript"/>
                <w:lang w:val="en-US" w:eastAsia="en-US" w:bidi="ar"/>
              </w:rPr>
              <w:t>3</w:t>
            </w:r>
            <w:r>
              <w:rPr>
                <w:rFonts w:hint="eastAsia" w:ascii="Times New Roman" w:hAnsi="Times New Roman" w:eastAsia="宋体" w:cs="宋体"/>
                <w:color w:val="auto"/>
                <w:szCs w:val="20"/>
                <w:highlight w:val="none"/>
                <w:lang w:val="en-US" w:eastAsia="en-US" w:bidi="ar"/>
              </w:rPr>
              <w:t>/d</w:t>
            </w:r>
            <w:r>
              <w:rPr>
                <w:rFonts w:hint="eastAsia" w:cs="宋体"/>
                <w:color w:val="auto"/>
                <w:szCs w:val="20"/>
                <w:highlight w:val="none"/>
                <w:lang w:val="en-US" w:eastAsia="zh-CN" w:bidi="ar"/>
              </w:rPr>
              <w:t>）</w:t>
            </w:r>
            <w:r>
              <w:rPr>
                <w:rFonts w:hint="eastAsia" w:ascii="Times New Roman" w:hAnsi="Times New Roman" w:eastAsia="宋体" w:cs="宋体"/>
                <w:color w:val="auto"/>
                <w:szCs w:val="20"/>
                <w:highlight w:val="none"/>
                <w:lang w:val="en-US" w:eastAsia="en-US" w:bidi="ar"/>
              </w:rPr>
              <w:t>及滨海新城污水处理</w:t>
            </w:r>
            <w:r>
              <w:rPr>
                <w:rFonts w:hint="eastAsia" w:cs="宋体"/>
                <w:color w:val="auto"/>
                <w:szCs w:val="20"/>
                <w:highlight w:val="none"/>
                <w:lang w:val="en-US" w:eastAsia="zh-CN" w:bidi="ar"/>
              </w:rPr>
              <w:t>（</w:t>
            </w:r>
            <w:r>
              <w:rPr>
                <w:rFonts w:hint="eastAsia" w:ascii="Times New Roman" w:hAnsi="Times New Roman" w:eastAsia="宋体" w:cs="宋体"/>
                <w:color w:val="auto"/>
                <w:szCs w:val="20"/>
                <w:highlight w:val="none"/>
                <w:lang w:val="en-US" w:eastAsia="en-US" w:bidi="ar"/>
              </w:rPr>
              <w:t>1万m</w:t>
            </w:r>
            <w:r>
              <w:rPr>
                <w:rFonts w:hint="eastAsia" w:ascii="Times New Roman" w:hAnsi="Times New Roman" w:eastAsia="宋体" w:cs="宋体"/>
                <w:color w:val="auto"/>
                <w:szCs w:val="20"/>
                <w:highlight w:val="none"/>
                <w:vertAlign w:val="superscript"/>
                <w:lang w:val="en-US" w:eastAsia="en-US" w:bidi="ar"/>
              </w:rPr>
              <w:t>3</w:t>
            </w:r>
            <w:r>
              <w:rPr>
                <w:rFonts w:hint="eastAsia" w:ascii="Times New Roman" w:hAnsi="Times New Roman" w:eastAsia="宋体" w:cs="宋体"/>
                <w:color w:val="auto"/>
                <w:szCs w:val="20"/>
                <w:highlight w:val="none"/>
                <w:lang w:val="en-US" w:eastAsia="en-US" w:bidi="ar"/>
              </w:rPr>
              <w:t>/d</w:t>
            </w:r>
            <w:r>
              <w:rPr>
                <w:rFonts w:hint="eastAsia" w:cs="宋体"/>
                <w:color w:val="auto"/>
                <w:szCs w:val="20"/>
                <w:highlight w:val="none"/>
                <w:lang w:val="en-US" w:eastAsia="zh-CN" w:bidi="ar"/>
              </w:rPr>
              <w:t>）</w:t>
            </w:r>
            <w:r>
              <w:rPr>
                <w:rFonts w:hint="eastAsia" w:ascii="Times New Roman" w:hAnsi="Times New Roman" w:eastAsia="宋体" w:cs="宋体"/>
                <w:color w:val="auto"/>
                <w:szCs w:val="20"/>
                <w:highlight w:val="none"/>
                <w:lang w:val="en-US" w:eastAsia="en-US" w:bidi="ar"/>
              </w:rPr>
              <w:t>项目，提标改造后现有处理规模仍为3万m</w:t>
            </w:r>
            <w:r>
              <w:rPr>
                <w:rFonts w:hint="eastAsia" w:ascii="Times New Roman" w:hAnsi="Times New Roman" w:eastAsia="宋体" w:cs="宋体"/>
                <w:color w:val="auto"/>
                <w:szCs w:val="20"/>
                <w:highlight w:val="none"/>
                <w:vertAlign w:val="superscript"/>
                <w:lang w:val="en-US" w:eastAsia="en-US" w:bidi="ar"/>
              </w:rPr>
              <w:t>3</w:t>
            </w:r>
            <w:r>
              <w:rPr>
                <w:rFonts w:hint="eastAsia" w:ascii="Times New Roman" w:hAnsi="Times New Roman" w:eastAsia="宋体" w:cs="宋体"/>
                <w:color w:val="auto"/>
                <w:szCs w:val="20"/>
                <w:highlight w:val="none"/>
                <w:lang w:val="en-US" w:eastAsia="en-US" w:bidi="ar"/>
              </w:rPr>
              <w:t>/d。罗源县城区污水处理厂尾水排放执行《城镇污水处理厂污染物排放标准》</w:t>
            </w:r>
            <w:r>
              <w:rPr>
                <w:rFonts w:hint="eastAsia" w:cs="宋体"/>
                <w:color w:val="auto"/>
                <w:szCs w:val="20"/>
                <w:highlight w:val="none"/>
                <w:lang w:val="en-US" w:eastAsia="zh-CN" w:bidi="ar"/>
              </w:rPr>
              <w:t>（</w:t>
            </w:r>
            <w:r>
              <w:rPr>
                <w:rFonts w:hint="eastAsia" w:ascii="Times New Roman" w:hAnsi="Times New Roman" w:eastAsia="宋体" w:cs="宋体"/>
                <w:color w:val="auto"/>
                <w:szCs w:val="20"/>
                <w:highlight w:val="none"/>
                <w:lang w:val="en-US" w:eastAsia="en-US" w:bidi="ar"/>
              </w:rPr>
              <w:t>GB18918-2002表1中一级标准A标准，尾水排入起步溪。</w:t>
            </w:r>
          </w:p>
          <w:p w14:paraId="2DA011DD">
            <w:pPr>
              <w:pStyle w:val="46"/>
              <w:ind w:firstLine="480"/>
              <w:rPr>
                <w:rFonts w:hint="default" w:ascii="Times New Roman" w:hAnsi="Times New Roman" w:eastAsia="宋体" w:cs="宋体"/>
                <w:color w:val="auto"/>
                <w:szCs w:val="20"/>
                <w:highlight w:val="none"/>
                <w:vertAlign w:val="baseline"/>
                <w:lang w:val="en-US" w:eastAsia="zh-CN" w:bidi="ar"/>
              </w:rPr>
            </w:pPr>
            <w:r>
              <w:rPr>
                <w:rFonts w:hint="eastAsia" w:cs="宋体"/>
                <w:color w:val="auto"/>
                <w:szCs w:val="20"/>
                <w:highlight w:val="none"/>
                <w:vertAlign w:val="baseline"/>
                <w:lang w:val="en-US" w:eastAsia="zh-CN" w:bidi="ar"/>
              </w:rPr>
              <w:t>本项目选址于罗源县凤山镇东大路3号（位于老城区），项目周边市政污水管网已建成，本项目在罗源县城区污水处理厂服务范围内。</w:t>
            </w:r>
          </w:p>
          <w:p w14:paraId="7FCEF5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color w:val="auto"/>
                <w:kern w:val="0"/>
                <w:sz w:val="24"/>
                <w:szCs w:val="20"/>
                <w:highlight w:val="none"/>
                <w:lang w:val="zh-CN" w:eastAsia="zh-CN" w:bidi="ar"/>
              </w:rPr>
            </w:pPr>
            <w:bookmarkStart w:id="45" w:name="_Ref12541"/>
            <w:r>
              <w:rPr>
                <w:rFonts w:hint="eastAsia" w:ascii="Times New Roman" w:hAnsi="Times New Roman" w:eastAsia="宋体" w:cs="宋体"/>
                <w:color w:val="auto"/>
                <w:kern w:val="0"/>
                <w:sz w:val="24"/>
                <w:szCs w:val="20"/>
                <w:highlight w:val="none"/>
                <w:lang w:val="zh-CN" w:eastAsia="zh-CN" w:bidi="ar"/>
              </w:rPr>
              <w:t>②</w:t>
            </w:r>
            <w:r>
              <w:rPr>
                <w:rFonts w:hint="eastAsia" w:cs="宋体"/>
                <w:color w:val="auto"/>
                <w:kern w:val="0"/>
                <w:sz w:val="24"/>
                <w:szCs w:val="20"/>
                <w:highlight w:val="none"/>
                <w:lang w:val="zh-CN" w:eastAsia="zh-CN" w:bidi="ar"/>
              </w:rPr>
              <w:t>污水处理厂</w:t>
            </w:r>
            <w:r>
              <w:rPr>
                <w:rFonts w:hint="eastAsia" w:ascii="Times New Roman" w:hAnsi="Times New Roman" w:eastAsia="宋体" w:cs="宋体"/>
                <w:color w:val="auto"/>
                <w:kern w:val="0"/>
                <w:sz w:val="24"/>
                <w:szCs w:val="20"/>
                <w:highlight w:val="none"/>
                <w:lang w:val="zh-CN" w:eastAsia="zh-CN" w:bidi="ar"/>
              </w:rPr>
              <w:t>处理能力可行性分析</w:t>
            </w:r>
          </w:p>
          <w:p w14:paraId="61F695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color w:val="auto"/>
                <w:kern w:val="0"/>
                <w:sz w:val="24"/>
                <w:szCs w:val="20"/>
                <w:highlight w:val="none"/>
                <w:lang w:val="zh-CN" w:eastAsia="zh-CN" w:bidi="ar"/>
              </w:rPr>
            </w:pPr>
            <w:r>
              <w:rPr>
                <w:rFonts w:hint="eastAsia" w:ascii="Times New Roman" w:hAnsi="Times New Roman" w:eastAsia="宋体" w:cs="宋体"/>
                <w:color w:val="auto"/>
                <w:kern w:val="0"/>
                <w:sz w:val="24"/>
                <w:szCs w:val="20"/>
                <w:highlight w:val="none"/>
                <w:lang w:val="zh-CN" w:eastAsia="zh-CN" w:bidi="ar"/>
              </w:rPr>
              <w:t>目前罗源县城区污水处理厂处理能力可达到3万m</w:t>
            </w:r>
            <w:r>
              <w:rPr>
                <w:rFonts w:hint="eastAsia" w:ascii="Times New Roman" w:hAnsi="Times New Roman" w:eastAsia="宋体" w:cs="宋体"/>
                <w:color w:val="auto"/>
                <w:kern w:val="0"/>
                <w:sz w:val="24"/>
                <w:szCs w:val="20"/>
                <w:highlight w:val="none"/>
                <w:vertAlign w:val="superscript"/>
                <w:lang w:val="zh-CN" w:eastAsia="zh-CN" w:bidi="ar"/>
              </w:rPr>
              <w:t>3</w:t>
            </w:r>
            <w:r>
              <w:rPr>
                <w:rFonts w:hint="eastAsia" w:ascii="Times New Roman" w:hAnsi="Times New Roman" w:eastAsia="宋体" w:cs="宋体"/>
                <w:color w:val="auto"/>
                <w:kern w:val="0"/>
                <w:sz w:val="24"/>
                <w:szCs w:val="20"/>
                <w:highlight w:val="none"/>
                <w:lang w:val="zh-CN" w:eastAsia="zh-CN" w:bidi="ar"/>
              </w:rPr>
              <w:t>/d。项目</w:t>
            </w:r>
            <w:r>
              <w:rPr>
                <w:rFonts w:hint="eastAsia" w:cs="宋体"/>
                <w:color w:val="auto"/>
                <w:kern w:val="0"/>
                <w:sz w:val="24"/>
                <w:szCs w:val="20"/>
                <w:highlight w:val="none"/>
                <w:lang w:val="en-US" w:eastAsia="zh-CN" w:bidi="ar"/>
              </w:rPr>
              <w:t>迁建</w:t>
            </w:r>
            <w:r>
              <w:rPr>
                <w:rFonts w:hint="eastAsia" w:ascii="Times New Roman" w:hAnsi="Times New Roman" w:eastAsia="宋体" w:cs="宋体"/>
                <w:color w:val="auto"/>
                <w:kern w:val="0"/>
                <w:sz w:val="24"/>
                <w:szCs w:val="20"/>
                <w:highlight w:val="none"/>
                <w:lang w:val="zh-CN" w:eastAsia="zh-CN" w:bidi="ar"/>
              </w:rPr>
              <w:t>后全院污水排放量为42451.51t/a，即</w:t>
            </w:r>
            <w:r>
              <w:rPr>
                <w:rFonts w:hint="eastAsia" w:cs="宋体"/>
                <w:color w:val="auto"/>
                <w:kern w:val="0"/>
                <w:sz w:val="24"/>
                <w:szCs w:val="20"/>
                <w:highlight w:val="none"/>
                <w:lang w:val="en-US" w:eastAsia="zh-CN" w:bidi="ar"/>
              </w:rPr>
              <w:t>116.305</w:t>
            </w:r>
            <w:r>
              <w:rPr>
                <w:rFonts w:hint="eastAsia" w:ascii="Times New Roman" w:hAnsi="Times New Roman" w:eastAsia="宋体" w:cs="宋体"/>
                <w:color w:val="auto"/>
                <w:kern w:val="0"/>
                <w:sz w:val="24"/>
                <w:szCs w:val="20"/>
                <w:highlight w:val="none"/>
                <w:lang w:val="zh-CN" w:eastAsia="zh-CN" w:bidi="ar"/>
              </w:rPr>
              <w:t>t/d，项目污水排放量占罗源县城区污水处理厂处理能力的</w:t>
            </w:r>
            <w:r>
              <w:rPr>
                <w:rFonts w:hint="eastAsia" w:cs="宋体"/>
                <w:color w:val="auto"/>
                <w:kern w:val="0"/>
                <w:sz w:val="24"/>
                <w:szCs w:val="20"/>
                <w:highlight w:val="none"/>
                <w:lang w:val="en-US" w:eastAsia="zh-CN" w:bidi="ar"/>
              </w:rPr>
              <w:t>0.387</w:t>
            </w:r>
            <w:r>
              <w:rPr>
                <w:rFonts w:hint="eastAsia" w:ascii="Times New Roman" w:hAnsi="Times New Roman" w:eastAsia="宋体" w:cs="宋体"/>
                <w:color w:val="auto"/>
                <w:kern w:val="0"/>
                <w:sz w:val="24"/>
                <w:szCs w:val="20"/>
                <w:highlight w:val="none"/>
                <w:lang w:val="zh-CN" w:eastAsia="zh-CN" w:bidi="ar"/>
              </w:rPr>
              <w:t>%，对</w:t>
            </w:r>
            <w:r>
              <w:rPr>
                <w:rFonts w:hint="eastAsia" w:cs="宋体"/>
                <w:color w:val="auto"/>
                <w:kern w:val="0"/>
                <w:sz w:val="24"/>
                <w:szCs w:val="20"/>
                <w:highlight w:val="none"/>
                <w:lang w:val="zh-CN" w:eastAsia="zh-CN" w:bidi="ar"/>
              </w:rPr>
              <w:t>污水处理厂</w:t>
            </w:r>
            <w:r>
              <w:rPr>
                <w:rFonts w:hint="eastAsia" w:ascii="Times New Roman" w:hAnsi="Times New Roman" w:eastAsia="宋体" w:cs="宋体"/>
                <w:color w:val="auto"/>
                <w:kern w:val="0"/>
                <w:sz w:val="24"/>
                <w:szCs w:val="20"/>
                <w:highlight w:val="none"/>
                <w:lang w:val="zh-CN" w:eastAsia="zh-CN" w:bidi="ar"/>
              </w:rPr>
              <w:t>的正常运营不会产生冲击影响。</w:t>
            </w:r>
          </w:p>
          <w:p w14:paraId="4CF68675">
            <w:pPr>
              <w:pStyle w:val="46"/>
              <w:ind w:firstLine="480"/>
              <w:rPr>
                <w:rFonts w:hint="eastAsia"/>
                <w:color w:val="auto"/>
                <w:sz w:val="24"/>
                <w:szCs w:val="24"/>
                <w:highlight w:val="none"/>
              </w:rPr>
            </w:pPr>
            <w:r>
              <w:rPr>
                <w:rFonts w:hint="eastAsia"/>
                <w:color w:val="auto"/>
                <w:sz w:val="24"/>
                <w:szCs w:val="24"/>
                <w:highlight w:val="none"/>
              </w:rPr>
              <w:t>③水质接入可行性分析</w:t>
            </w:r>
          </w:p>
          <w:p w14:paraId="70A90EC9">
            <w:pPr>
              <w:pStyle w:val="46"/>
              <w:ind w:firstLine="480"/>
              <w:rPr>
                <w:rFonts w:hint="eastAsia"/>
                <w:color w:val="auto"/>
                <w:sz w:val="24"/>
                <w:szCs w:val="24"/>
                <w:highlight w:val="none"/>
                <w:vertAlign w:val="baseline"/>
                <w:lang w:val="en-US" w:eastAsia="zh-CN"/>
              </w:rPr>
            </w:pPr>
            <w:r>
              <w:rPr>
                <w:rFonts w:hint="eastAsia"/>
                <w:color w:val="auto"/>
                <w:sz w:val="24"/>
                <w:szCs w:val="24"/>
                <w:highlight w:val="none"/>
              </w:rPr>
              <w:t>项目废水水质简单，易降解，主要污染因子为粪大肠杆菌群、COD、BOD</w:t>
            </w:r>
            <w:r>
              <w:rPr>
                <w:rFonts w:hint="eastAsia"/>
                <w:color w:val="auto"/>
                <w:sz w:val="24"/>
                <w:szCs w:val="24"/>
                <w:highlight w:val="none"/>
                <w:vertAlign w:val="subscript"/>
                <w:lang w:val="en-US" w:eastAsia="zh-CN"/>
              </w:rPr>
              <w:t>5</w:t>
            </w:r>
            <w:r>
              <w:rPr>
                <w:rFonts w:hint="eastAsia"/>
                <w:color w:val="auto"/>
                <w:sz w:val="24"/>
                <w:szCs w:val="24"/>
                <w:highlight w:val="none"/>
                <w:vertAlign w:val="baseline"/>
                <w:lang w:val="en-US" w:eastAsia="zh-CN"/>
              </w:rPr>
              <w:t>、SS、NH</w:t>
            </w:r>
            <w:r>
              <w:rPr>
                <w:rFonts w:hint="eastAsia"/>
                <w:color w:val="auto"/>
                <w:sz w:val="24"/>
                <w:szCs w:val="24"/>
                <w:highlight w:val="none"/>
                <w:vertAlign w:val="subscript"/>
                <w:lang w:val="en-US" w:eastAsia="zh-CN"/>
              </w:rPr>
              <w:t>3</w:t>
            </w:r>
            <w:r>
              <w:rPr>
                <w:rFonts w:hint="eastAsia"/>
                <w:color w:val="auto"/>
                <w:sz w:val="24"/>
                <w:szCs w:val="24"/>
                <w:highlight w:val="none"/>
                <w:vertAlign w:val="baseline"/>
                <w:lang w:val="en-US" w:eastAsia="zh-CN"/>
              </w:rPr>
              <w:t>-N经处理设施处理后污染物能够达到《医疗机构水污染物排放标准》GB18466-2005）表2预处理标准以及氨氮符合《污水排入城镇下水道水质标准》（GB/T 31962-2015）表1的B等级标准，满足污水处理厂的进水指标要求。项目污水排放不会对罗源县城区污水处理厂的水量和水质产生冲击，对污水处理厂的正常运行影响不大。</w:t>
            </w:r>
          </w:p>
          <w:p w14:paraId="18FD398B">
            <w:pPr>
              <w:pStyle w:val="46"/>
              <w:ind w:firstLine="480"/>
              <w:rPr>
                <w:rFonts w:hint="eastAsia"/>
                <w:color w:val="auto"/>
                <w:sz w:val="24"/>
                <w:szCs w:val="24"/>
                <w:highlight w:val="none"/>
                <w:vertAlign w:val="baseline"/>
                <w:lang w:val="en-US" w:eastAsia="zh-CN"/>
              </w:rPr>
            </w:pPr>
            <w:r>
              <w:rPr>
                <w:rFonts w:hint="eastAsia"/>
                <w:color w:val="auto"/>
                <w:sz w:val="24"/>
                <w:szCs w:val="24"/>
                <w:highlight w:val="none"/>
                <w:vertAlign w:val="baseline"/>
                <w:lang w:val="en-US" w:eastAsia="zh-CN"/>
              </w:rPr>
              <w:t>罗源县城区污水处理厂采用A</w:t>
            </w:r>
            <w:r>
              <w:rPr>
                <w:rFonts w:hint="eastAsia"/>
                <w:color w:val="auto"/>
                <w:sz w:val="24"/>
                <w:szCs w:val="24"/>
                <w:highlight w:val="none"/>
                <w:vertAlign w:val="superscript"/>
                <w:lang w:val="en-US" w:eastAsia="zh-CN"/>
              </w:rPr>
              <w:t>2</w:t>
            </w:r>
            <w:r>
              <w:rPr>
                <w:rFonts w:hint="eastAsia"/>
                <w:color w:val="auto"/>
                <w:sz w:val="24"/>
                <w:szCs w:val="24"/>
                <w:highlight w:val="none"/>
                <w:vertAlign w:val="baseline"/>
                <w:lang w:val="en-US" w:eastAsia="zh-CN"/>
              </w:rPr>
              <w:t>/O生化反应工艺，可保证出水水质满足GB18918-2002《城镇污水处理厂污染物排放标准》一级A排放。</w:t>
            </w:r>
          </w:p>
          <w:p w14:paraId="7F9E95F5">
            <w:pPr>
              <w:pStyle w:val="46"/>
              <w:ind w:firstLine="480"/>
              <w:rPr>
                <w:rFonts w:hint="default" w:eastAsia="宋体"/>
                <w:color w:val="auto"/>
                <w:sz w:val="24"/>
                <w:szCs w:val="24"/>
                <w:highlight w:val="none"/>
                <w:vertAlign w:val="baseline"/>
                <w:lang w:val="en-US" w:eastAsia="zh-CN"/>
              </w:rPr>
            </w:pPr>
            <w:r>
              <w:rPr>
                <w:rFonts w:hint="eastAsia"/>
                <w:color w:val="auto"/>
                <w:sz w:val="24"/>
                <w:szCs w:val="24"/>
                <w:highlight w:val="none"/>
                <w:vertAlign w:val="baseline"/>
                <w:lang w:val="en-US" w:eastAsia="zh-CN"/>
              </w:rPr>
              <w:t>综上所述，本项目废水经预处理设施处理达标后进入罗源县城区污水处理厂是可行的。</w:t>
            </w:r>
          </w:p>
          <w:bookmarkEnd w:id="45"/>
          <w:p w14:paraId="4E376DF8">
            <w:pPr>
              <w:pStyle w:val="4"/>
              <w:numPr>
                <w:ilvl w:val="2"/>
                <w:numId w:val="1"/>
              </w:numPr>
              <w:bidi w:val="0"/>
              <w:ind w:left="720" w:leftChars="0" w:hanging="720" w:firstLineChars="0"/>
              <w:rPr>
                <w:rFonts w:hint="eastAsia" w:eastAsia="宋体"/>
                <w:color w:val="auto"/>
                <w:highlight w:val="none"/>
              </w:rPr>
            </w:pPr>
            <w:r>
              <w:rPr>
                <w:rFonts w:hint="eastAsia"/>
                <w:color w:val="auto"/>
                <w:highlight w:val="none"/>
                <w:lang w:val="en-US" w:eastAsia="zh-CN"/>
              </w:rPr>
              <w:t>院</w:t>
            </w:r>
            <w:r>
              <w:rPr>
                <w:rFonts w:hint="eastAsia" w:eastAsia="宋体"/>
                <w:color w:val="auto"/>
                <w:highlight w:val="none"/>
              </w:rPr>
              <w:t>区</w:t>
            </w:r>
            <w:r>
              <w:rPr>
                <w:rFonts w:hint="eastAsia"/>
                <w:color w:val="auto"/>
                <w:highlight w:val="none"/>
                <w:lang w:val="en-US" w:eastAsia="zh-CN"/>
              </w:rPr>
              <w:t>污水</w:t>
            </w:r>
            <w:r>
              <w:rPr>
                <w:rFonts w:hint="eastAsia" w:eastAsia="宋体"/>
                <w:color w:val="auto"/>
                <w:highlight w:val="none"/>
              </w:rPr>
              <w:t>管网建设</w:t>
            </w:r>
          </w:p>
          <w:p w14:paraId="76891EF2">
            <w:pPr>
              <w:pStyle w:val="46"/>
              <w:ind w:firstLine="480"/>
              <w:rPr>
                <w:rFonts w:hint="eastAsia" w:eastAsia="宋体" w:cs="宋体"/>
                <w:color w:val="auto"/>
                <w:sz w:val="24"/>
                <w:szCs w:val="20"/>
                <w:highlight w:val="none"/>
                <w:lang w:eastAsia="zh-CN" w:bidi="ar"/>
              </w:rPr>
            </w:pPr>
            <w:r>
              <w:rPr>
                <w:rFonts w:hint="eastAsia" w:cs="宋体"/>
                <w:color w:val="auto"/>
                <w:szCs w:val="20"/>
                <w:highlight w:val="none"/>
                <w:lang w:bidi="ar"/>
              </w:rPr>
              <w:t>本</w:t>
            </w:r>
            <w:r>
              <w:rPr>
                <w:rFonts w:hint="eastAsia" w:cs="宋体"/>
                <w:color w:val="auto"/>
                <w:sz w:val="24"/>
                <w:szCs w:val="20"/>
                <w:highlight w:val="none"/>
                <w:lang w:bidi="ar"/>
              </w:rPr>
              <w:t>项目污水分质分流由明管或通过管沟敷设方式接入相应设施；</w:t>
            </w:r>
            <w:r>
              <w:rPr>
                <w:rFonts w:hint="eastAsia"/>
                <w:color w:val="auto"/>
                <w:highlight w:val="none"/>
              </w:rPr>
              <w:t>管道采用防渗材料</w:t>
            </w:r>
            <w:r>
              <w:rPr>
                <w:rFonts w:hint="eastAsia"/>
                <w:color w:val="auto"/>
                <w:highlight w:val="none"/>
                <w:lang w:eastAsia="zh-CN"/>
              </w:rPr>
              <w:t>，对</w:t>
            </w:r>
            <w:r>
              <w:rPr>
                <w:rFonts w:hint="eastAsia" w:cs="宋体"/>
                <w:color w:val="auto"/>
                <w:sz w:val="24"/>
                <w:szCs w:val="20"/>
                <w:highlight w:val="none"/>
                <w:lang w:bidi="ar"/>
              </w:rPr>
              <w:t>管沟进行防渗处理，避免发生泄漏时对地下水和土壤污染，同时建设单位定期组织巡查，排查泄漏隐患</w:t>
            </w:r>
            <w:r>
              <w:rPr>
                <w:rFonts w:hint="eastAsia" w:cs="宋体"/>
                <w:color w:val="auto"/>
                <w:sz w:val="24"/>
                <w:szCs w:val="20"/>
                <w:highlight w:val="none"/>
                <w:lang w:eastAsia="zh-CN" w:bidi="ar"/>
              </w:rPr>
              <w:t>。</w:t>
            </w:r>
          </w:p>
          <w:p w14:paraId="4EBA7D82">
            <w:pPr>
              <w:pStyle w:val="4"/>
              <w:numPr>
                <w:ilvl w:val="2"/>
                <w:numId w:val="1"/>
              </w:numPr>
              <w:bidi w:val="0"/>
              <w:ind w:left="720" w:leftChars="0" w:hanging="720" w:firstLineChars="0"/>
              <w:rPr>
                <w:rFonts w:hint="eastAsia" w:eastAsia="宋体"/>
                <w:color w:val="auto"/>
                <w:highlight w:val="none"/>
              </w:rPr>
            </w:pPr>
            <w:r>
              <w:rPr>
                <w:rFonts w:hint="eastAsia" w:eastAsia="宋体"/>
                <w:color w:val="auto"/>
                <w:highlight w:val="none"/>
                <w:lang w:val="en-US" w:eastAsia="zh-CN"/>
              </w:rPr>
              <w:t>自行监测计划</w:t>
            </w:r>
          </w:p>
          <w:p w14:paraId="0C7CE65B">
            <w:pPr>
              <w:pStyle w:val="46"/>
              <w:ind w:firstLine="480"/>
              <w:rPr>
                <w:rFonts w:hint="eastAsia" w:cs="宋体"/>
                <w:color w:val="auto"/>
                <w:sz w:val="24"/>
                <w:szCs w:val="20"/>
                <w:highlight w:val="none"/>
                <w:lang w:bidi="ar"/>
              </w:rPr>
            </w:pPr>
            <w:r>
              <w:rPr>
                <w:rFonts w:hint="eastAsia" w:cs="宋体"/>
                <w:color w:val="auto"/>
                <w:sz w:val="24"/>
                <w:szCs w:val="20"/>
                <w:highlight w:val="none"/>
                <w:lang w:bidi="ar"/>
              </w:rPr>
              <w:t>本评价</w:t>
            </w:r>
            <w:r>
              <w:rPr>
                <w:rFonts w:hint="eastAsia" w:cs="宋体"/>
                <w:color w:val="auto"/>
                <w:sz w:val="24"/>
                <w:szCs w:val="20"/>
                <w:highlight w:val="none"/>
                <w:lang w:val="en-US" w:eastAsia="zh-CN" w:bidi="ar"/>
              </w:rPr>
              <w:t>根据</w:t>
            </w:r>
            <w:r>
              <w:rPr>
                <w:rFonts w:hint="eastAsia" w:cs="宋体"/>
                <w:color w:val="auto"/>
                <w:sz w:val="24"/>
                <w:szCs w:val="20"/>
                <w:highlight w:val="none"/>
                <w:lang w:bidi="ar"/>
              </w:rPr>
              <w:t>《排污单位自行监测技术指南</w:t>
            </w:r>
            <w:r>
              <w:rPr>
                <w:rFonts w:hint="eastAsia" w:cs="宋体"/>
                <w:color w:val="auto"/>
                <w:sz w:val="24"/>
                <w:szCs w:val="20"/>
                <w:highlight w:val="none"/>
                <w:lang w:val="en-US" w:eastAsia="zh-CN" w:bidi="ar"/>
              </w:rPr>
              <w:t xml:space="preserve"> </w:t>
            </w:r>
            <w:r>
              <w:rPr>
                <w:rFonts w:hint="eastAsia" w:cs="宋体"/>
                <w:color w:val="auto"/>
                <w:sz w:val="24"/>
                <w:szCs w:val="20"/>
                <w:highlight w:val="none"/>
                <w:lang w:bidi="ar"/>
              </w:rPr>
              <w:t>总则》</w:t>
            </w:r>
            <w:r>
              <w:rPr>
                <w:rFonts w:hint="eastAsia" w:cs="宋体"/>
                <w:color w:val="auto"/>
                <w:sz w:val="24"/>
                <w:szCs w:val="20"/>
                <w:highlight w:val="none"/>
                <w:lang w:eastAsia="zh-CN" w:bidi="ar"/>
              </w:rPr>
              <w:t>（</w:t>
            </w:r>
            <w:r>
              <w:rPr>
                <w:rFonts w:hint="eastAsia" w:cs="宋体"/>
                <w:color w:val="auto"/>
                <w:sz w:val="24"/>
                <w:szCs w:val="20"/>
                <w:highlight w:val="none"/>
                <w:lang w:bidi="ar"/>
              </w:rPr>
              <w:t>HJ819-2017</w:t>
            </w:r>
            <w:r>
              <w:rPr>
                <w:rFonts w:hint="eastAsia" w:cs="宋体"/>
                <w:color w:val="auto"/>
                <w:sz w:val="24"/>
                <w:szCs w:val="20"/>
                <w:highlight w:val="none"/>
                <w:lang w:eastAsia="zh-CN" w:bidi="ar"/>
              </w:rPr>
              <w:t>）</w:t>
            </w:r>
            <w:r>
              <w:rPr>
                <w:rFonts w:hint="eastAsia" w:cs="宋体"/>
                <w:color w:val="auto"/>
                <w:sz w:val="24"/>
                <w:szCs w:val="20"/>
                <w:highlight w:val="none"/>
                <w:lang w:bidi="ar"/>
              </w:rPr>
              <w:t>、《</w:t>
            </w:r>
            <w:r>
              <w:rPr>
                <w:rFonts w:hint="eastAsia" w:cs="宋体"/>
                <w:color w:val="auto"/>
                <w:sz w:val="24"/>
                <w:szCs w:val="20"/>
                <w:highlight w:val="none"/>
                <w:lang w:eastAsia="zh-CN" w:bidi="ar"/>
              </w:rPr>
              <w:t>排污许可证申请与核发技术规范 医疗机构</w:t>
            </w:r>
            <w:r>
              <w:rPr>
                <w:rFonts w:hint="eastAsia" w:cs="宋体"/>
                <w:color w:val="auto"/>
                <w:sz w:val="24"/>
                <w:szCs w:val="20"/>
                <w:highlight w:val="none"/>
                <w:lang w:bidi="ar"/>
              </w:rPr>
              <w:t>》</w:t>
            </w:r>
            <w:r>
              <w:rPr>
                <w:rFonts w:hint="eastAsia" w:cs="宋体"/>
                <w:color w:val="auto"/>
                <w:sz w:val="24"/>
                <w:szCs w:val="20"/>
                <w:highlight w:val="none"/>
                <w:lang w:eastAsia="zh-CN" w:bidi="ar"/>
              </w:rPr>
              <w:t>（</w:t>
            </w:r>
            <w:r>
              <w:rPr>
                <w:rFonts w:hint="eastAsia" w:cs="宋体"/>
                <w:color w:val="auto"/>
                <w:sz w:val="24"/>
                <w:szCs w:val="20"/>
                <w:highlight w:val="none"/>
                <w:lang w:bidi="ar"/>
              </w:rPr>
              <w:t>HJ</w:t>
            </w:r>
            <w:r>
              <w:rPr>
                <w:rFonts w:hint="eastAsia" w:cs="宋体"/>
                <w:color w:val="auto"/>
                <w:sz w:val="24"/>
                <w:szCs w:val="20"/>
                <w:highlight w:val="none"/>
                <w:lang w:val="en-US" w:eastAsia="zh-CN" w:bidi="ar"/>
              </w:rPr>
              <w:t>1105</w:t>
            </w:r>
            <w:r>
              <w:rPr>
                <w:rFonts w:hint="eastAsia" w:cs="宋体"/>
                <w:color w:val="auto"/>
                <w:sz w:val="24"/>
                <w:szCs w:val="20"/>
                <w:highlight w:val="none"/>
                <w:lang w:bidi="ar"/>
              </w:rPr>
              <w:t>-2020</w:t>
            </w:r>
            <w:r>
              <w:rPr>
                <w:rFonts w:hint="eastAsia" w:cs="宋体"/>
                <w:color w:val="auto"/>
                <w:sz w:val="24"/>
                <w:szCs w:val="20"/>
                <w:highlight w:val="none"/>
                <w:lang w:eastAsia="zh-CN" w:bidi="ar"/>
              </w:rPr>
              <w:t>）</w:t>
            </w:r>
            <w:r>
              <w:rPr>
                <w:rFonts w:hint="eastAsia" w:cs="宋体"/>
                <w:color w:val="auto"/>
                <w:sz w:val="24"/>
                <w:szCs w:val="20"/>
                <w:highlight w:val="none"/>
                <w:lang w:bidi="ar"/>
              </w:rPr>
              <w:t>等要求，提出项目运营期废水自行监测计划，具体情况详见表4.3-</w:t>
            </w:r>
            <w:r>
              <w:rPr>
                <w:rFonts w:hint="eastAsia" w:cs="宋体"/>
                <w:color w:val="auto"/>
                <w:sz w:val="24"/>
                <w:szCs w:val="20"/>
                <w:highlight w:val="none"/>
                <w:lang w:val="en-US" w:eastAsia="zh-CN" w:bidi="ar"/>
              </w:rPr>
              <w:t>4</w:t>
            </w:r>
            <w:r>
              <w:rPr>
                <w:rFonts w:hint="eastAsia" w:cs="宋体"/>
                <w:color w:val="auto"/>
                <w:sz w:val="24"/>
                <w:szCs w:val="20"/>
                <w:highlight w:val="none"/>
                <w:lang w:bidi="ar"/>
              </w:rPr>
              <w:t>。</w:t>
            </w:r>
          </w:p>
          <w:p w14:paraId="5604CA3C">
            <w:pPr>
              <w:pStyle w:val="44"/>
              <w:keepNext/>
              <w:keepLines/>
              <w:pageBreakBefore w:val="0"/>
              <w:widowControl w:val="0"/>
              <w:numPr>
                <w:ilvl w:val="7"/>
                <w:numId w:val="13"/>
              </w:numPr>
              <w:tabs>
                <w:tab w:val="left" w:pos="0"/>
              </w:tabs>
              <w:kinsoku/>
              <w:wordWrap/>
              <w:overflowPunct/>
              <w:topLinePunct w:val="0"/>
              <w:autoSpaceDE/>
              <w:autoSpaceDN/>
              <w:bidi w:val="0"/>
              <w:adjustRightInd/>
              <w:snapToGrid/>
              <w:spacing w:before="0" w:after="0"/>
              <w:ind w:left="630" w:leftChars="0" w:firstLine="0" w:firstLineChars="0"/>
              <w:jc w:val="center"/>
              <w:textAlignment w:val="auto"/>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项目废水自行监测计划</w:t>
            </w:r>
          </w:p>
          <w:tbl>
            <w:tblPr>
              <w:tblStyle w:val="34"/>
              <w:tblW w:w="0" w:type="auto"/>
              <w:tblInd w:w="-1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999"/>
              <w:gridCol w:w="2141"/>
              <w:gridCol w:w="2061"/>
              <w:gridCol w:w="2159"/>
              <w:gridCol w:w="1570"/>
            </w:tblGrid>
            <w:tr w14:paraId="48E1FE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PrEx>
              <w:trPr>
                <w:trHeight w:val="240" w:hRule="atLeast"/>
              </w:trPr>
              <w:tc>
                <w:tcPr>
                  <w:tcW w:w="999" w:type="dxa"/>
                  <w:tcBorders>
                    <w:bottom w:val="single" w:color="000000" w:sz="12" w:space="0"/>
                    <w:tl2br w:val="nil"/>
                    <w:tr2bl w:val="nil"/>
                  </w:tcBorders>
                  <w:shd w:val="clear" w:color="auto" w:fill="auto"/>
                  <w:vAlign w:val="center"/>
                </w:tcPr>
                <w:p w14:paraId="1308B187">
                  <w:pPr>
                    <w:keepNext w:val="0"/>
                    <w:keepLines w:val="0"/>
                    <w:widowControl/>
                    <w:suppressLineNumbers w:val="0"/>
                    <w:jc w:val="center"/>
                    <w:textAlignment w:val="center"/>
                    <w:rPr>
                      <w:rFonts w:ascii="Times New Roman" w:hAnsi="Times New Roman" w:eastAsia="宋体" w:cs="宋体"/>
                      <w:i w:val="0"/>
                      <w:iCs w:val="0"/>
                      <w:color w:val="auto"/>
                      <w:sz w:val="21"/>
                      <w:szCs w:val="14"/>
                      <w:u w:val="none"/>
                    </w:rPr>
                  </w:pPr>
                  <w:r>
                    <w:rPr>
                      <w:rFonts w:ascii="Times New Roman" w:hAnsi="Times New Roman" w:eastAsia="宋体" w:cs="宋体"/>
                      <w:i w:val="0"/>
                      <w:iCs w:val="0"/>
                      <w:color w:val="auto"/>
                      <w:kern w:val="0"/>
                      <w:sz w:val="21"/>
                      <w:szCs w:val="14"/>
                      <w:u w:val="none"/>
                      <w:lang w:val="en-US" w:eastAsia="zh-CN" w:bidi="ar"/>
                    </w:rPr>
                    <w:t>要素</w:t>
                  </w:r>
                </w:p>
              </w:tc>
              <w:tc>
                <w:tcPr>
                  <w:tcW w:w="2141" w:type="dxa"/>
                  <w:tcBorders>
                    <w:bottom w:val="single" w:color="000000" w:sz="12" w:space="0"/>
                    <w:tl2br w:val="nil"/>
                    <w:tr2bl w:val="nil"/>
                  </w:tcBorders>
                  <w:shd w:val="clear" w:color="auto" w:fill="auto"/>
                  <w:vAlign w:val="center"/>
                </w:tcPr>
                <w:p w14:paraId="77EB9896">
                  <w:pPr>
                    <w:keepNext w:val="0"/>
                    <w:keepLines w:val="0"/>
                    <w:widowControl/>
                    <w:suppressLineNumbers w:val="0"/>
                    <w:jc w:val="center"/>
                    <w:textAlignment w:val="center"/>
                    <w:rPr>
                      <w:rFonts w:ascii="Times New Roman" w:hAnsi="Times New Roman" w:eastAsia="宋体" w:cs="宋体"/>
                      <w:i w:val="0"/>
                      <w:iCs w:val="0"/>
                      <w:color w:val="auto"/>
                      <w:sz w:val="21"/>
                      <w:szCs w:val="14"/>
                      <w:u w:val="none"/>
                    </w:rPr>
                  </w:pPr>
                  <w:r>
                    <w:rPr>
                      <w:rFonts w:ascii="Times New Roman" w:hAnsi="Times New Roman" w:eastAsia="宋体" w:cs="宋体"/>
                      <w:i w:val="0"/>
                      <w:iCs w:val="0"/>
                      <w:color w:val="auto"/>
                      <w:kern w:val="0"/>
                      <w:sz w:val="21"/>
                      <w:szCs w:val="14"/>
                      <w:u w:val="none"/>
                      <w:lang w:val="en-US" w:eastAsia="zh-CN" w:bidi="ar"/>
                    </w:rPr>
                    <w:t>监测位置</w:t>
                  </w:r>
                </w:p>
              </w:tc>
              <w:tc>
                <w:tcPr>
                  <w:tcW w:w="2061" w:type="dxa"/>
                  <w:tcBorders>
                    <w:bottom w:val="single" w:color="000000" w:sz="12" w:space="0"/>
                    <w:tl2br w:val="nil"/>
                    <w:tr2bl w:val="nil"/>
                  </w:tcBorders>
                  <w:shd w:val="clear" w:color="auto" w:fill="auto"/>
                  <w:vAlign w:val="center"/>
                </w:tcPr>
                <w:p w14:paraId="2B04D926">
                  <w:pPr>
                    <w:keepNext w:val="0"/>
                    <w:keepLines w:val="0"/>
                    <w:widowControl/>
                    <w:suppressLineNumbers w:val="0"/>
                    <w:jc w:val="center"/>
                    <w:textAlignment w:val="center"/>
                    <w:rPr>
                      <w:rFonts w:ascii="Times New Roman" w:hAnsi="Times New Roman" w:eastAsia="宋体" w:cs="宋体"/>
                      <w:i w:val="0"/>
                      <w:iCs w:val="0"/>
                      <w:color w:val="auto"/>
                      <w:sz w:val="21"/>
                      <w:szCs w:val="14"/>
                      <w:u w:val="none"/>
                    </w:rPr>
                  </w:pPr>
                  <w:r>
                    <w:rPr>
                      <w:rFonts w:ascii="Times New Roman" w:hAnsi="Times New Roman" w:eastAsia="宋体" w:cs="宋体"/>
                      <w:i w:val="0"/>
                      <w:iCs w:val="0"/>
                      <w:color w:val="auto"/>
                      <w:kern w:val="0"/>
                      <w:sz w:val="21"/>
                      <w:szCs w:val="14"/>
                      <w:u w:val="none"/>
                      <w:lang w:val="en-US" w:eastAsia="zh-CN" w:bidi="ar"/>
                    </w:rPr>
                    <w:t>监测项目</w:t>
                  </w:r>
                </w:p>
              </w:tc>
              <w:tc>
                <w:tcPr>
                  <w:tcW w:w="2159" w:type="dxa"/>
                  <w:tcBorders>
                    <w:bottom w:val="single" w:color="000000" w:sz="12" w:space="0"/>
                    <w:tl2br w:val="nil"/>
                    <w:tr2bl w:val="nil"/>
                  </w:tcBorders>
                  <w:shd w:val="clear" w:color="auto" w:fill="auto"/>
                  <w:vAlign w:val="center"/>
                </w:tcPr>
                <w:p w14:paraId="647A75FD">
                  <w:pPr>
                    <w:keepNext w:val="0"/>
                    <w:keepLines w:val="0"/>
                    <w:widowControl/>
                    <w:suppressLineNumbers w:val="0"/>
                    <w:jc w:val="center"/>
                    <w:textAlignment w:val="center"/>
                    <w:rPr>
                      <w:rFonts w:ascii="Times New Roman" w:hAnsi="Times New Roman" w:eastAsia="宋体" w:cs="宋体"/>
                      <w:i w:val="0"/>
                      <w:iCs w:val="0"/>
                      <w:color w:val="auto"/>
                      <w:sz w:val="21"/>
                      <w:szCs w:val="14"/>
                      <w:u w:val="none"/>
                    </w:rPr>
                  </w:pPr>
                  <w:r>
                    <w:rPr>
                      <w:rFonts w:ascii="Times New Roman" w:hAnsi="Times New Roman" w:eastAsia="宋体" w:cs="宋体"/>
                      <w:i w:val="0"/>
                      <w:iCs w:val="0"/>
                      <w:color w:val="auto"/>
                      <w:kern w:val="0"/>
                      <w:sz w:val="21"/>
                      <w:szCs w:val="14"/>
                      <w:u w:val="none"/>
                      <w:lang w:val="en-US" w:eastAsia="zh-CN" w:bidi="ar"/>
                    </w:rPr>
                    <w:t>监测频率</w:t>
                  </w:r>
                </w:p>
              </w:tc>
              <w:tc>
                <w:tcPr>
                  <w:tcW w:w="1570" w:type="dxa"/>
                  <w:tcBorders>
                    <w:bottom w:val="single" w:color="000000" w:sz="12" w:space="0"/>
                    <w:tl2br w:val="nil"/>
                    <w:tr2bl w:val="nil"/>
                  </w:tcBorders>
                  <w:shd w:val="clear" w:color="auto" w:fill="auto"/>
                  <w:vAlign w:val="center"/>
                </w:tcPr>
                <w:p w14:paraId="37366297">
                  <w:pPr>
                    <w:keepNext w:val="0"/>
                    <w:keepLines w:val="0"/>
                    <w:widowControl/>
                    <w:suppressLineNumbers w:val="0"/>
                    <w:jc w:val="center"/>
                    <w:textAlignment w:val="center"/>
                    <w:rPr>
                      <w:rFonts w:ascii="Times New Roman" w:hAnsi="Times New Roman" w:eastAsia="宋体" w:cs="宋体"/>
                      <w:i w:val="0"/>
                      <w:iCs w:val="0"/>
                      <w:color w:val="auto"/>
                      <w:sz w:val="21"/>
                      <w:szCs w:val="14"/>
                      <w:u w:val="none"/>
                    </w:rPr>
                  </w:pPr>
                  <w:r>
                    <w:rPr>
                      <w:rFonts w:ascii="Times New Roman" w:hAnsi="Times New Roman" w:eastAsia="宋体" w:cs="宋体"/>
                      <w:i w:val="0"/>
                      <w:iCs w:val="0"/>
                      <w:color w:val="auto"/>
                      <w:kern w:val="0"/>
                      <w:sz w:val="21"/>
                      <w:szCs w:val="14"/>
                      <w:u w:val="none"/>
                      <w:lang w:val="en-US" w:eastAsia="zh-CN" w:bidi="ar"/>
                    </w:rPr>
                    <w:t>执行机构</w:t>
                  </w:r>
                </w:p>
              </w:tc>
            </w:tr>
            <w:tr w14:paraId="00F2E4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0" w:hRule="atLeast"/>
              </w:trPr>
              <w:tc>
                <w:tcPr>
                  <w:tcW w:w="999" w:type="dxa"/>
                  <w:vMerge w:val="restart"/>
                  <w:tcBorders>
                    <w:top w:val="single" w:color="000000" w:sz="12" w:space="0"/>
                    <w:tl2br w:val="nil"/>
                    <w:tr2bl w:val="nil"/>
                  </w:tcBorders>
                  <w:shd w:val="clear" w:color="auto" w:fill="auto"/>
                  <w:vAlign w:val="center"/>
                </w:tcPr>
                <w:p w14:paraId="79708637">
                  <w:pPr>
                    <w:keepNext w:val="0"/>
                    <w:keepLines w:val="0"/>
                    <w:widowControl/>
                    <w:suppressLineNumbers w:val="0"/>
                    <w:jc w:val="center"/>
                    <w:textAlignment w:val="center"/>
                    <w:rPr>
                      <w:rFonts w:ascii="Times New Roman" w:hAnsi="Times New Roman" w:eastAsia="宋体" w:cs="宋体"/>
                      <w:i w:val="0"/>
                      <w:iCs w:val="0"/>
                      <w:color w:val="auto"/>
                      <w:sz w:val="21"/>
                      <w:szCs w:val="14"/>
                      <w:u w:val="none"/>
                    </w:rPr>
                  </w:pPr>
                  <w:r>
                    <w:rPr>
                      <w:rFonts w:ascii="Times New Roman" w:hAnsi="Times New Roman" w:eastAsia="宋体" w:cs="宋体"/>
                      <w:i w:val="0"/>
                      <w:iCs w:val="0"/>
                      <w:color w:val="auto"/>
                      <w:kern w:val="0"/>
                      <w:sz w:val="21"/>
                      <w:szCs w:val="14"/>
                      <w:u w:val="none"/>
                      <w:lang w:val="en-US" w:eastAsia="zh-CN" w:bidi="ar"/>
                    </w:rPr>
                    <w:t>废水</w:t>
                  </w:r>
                </w:p>
              </w:tc>
              <w:tc>
                <w:tcPr>
                  <w:tcW w:w="2141" w:type="dxa"/>
                  <w:vMerge w:val="restart"/>
                  <w:tcBorders>
                    <w:top w:val="single" w:color="000000" w:sz="12" w:space="0"/>
                    <w:tl2br w:val="nil"/>
                    <w:tr2bl w:val="nil"/>
                  </w:tcBorders>
                  <w:shd w:val="clear" w:color="auto" w:fill="auto"/>
                  <w:vAlign w:val="center"/>
                </w:tcPr>
                <w:p w14:paraId="5A638A27">
                  <w:pPr>
                    <w:keepNext w:val="0"/>
                    <w:keepLines w:val="0"/>
                    <w:widowControl/>
                    <w:suppressLineNumbers w:val="0"/>
                    <w:jc w:val="center"/>
                    <w:textAlignment w:val="center"/>
                    <w:rPr>
                      <w:rFonts w:ascii="Times New Roman" w:hAnsi="Times New Roman" w:eastAsia="宋体" w:cs="宋体"/>
                      <w:i w:val="0"/>
                      <w:iCs w:val="0"/>
                      <w:color w:val="auto"/>
                      <w:sz w:val="21"/>
                      <w:szCs w:val="14"/>
                      <w:u w:val="none"/>
                    </w:rPr>
                  </w:pPr>
                  <w:r>
                    <w:rPr>
                      <w:rFonts w:ascii="Times New Roman" w:hAnsi="Times New Roman" w:eastAsia="宋体" w:cs="宋体"/>
                      <w:i w:val="0"/>
                      <w:iCs w:val="0"/>
                      <w:color w:val="auto"/>
                      <w:kern w:val="0"/>
                      <w:sz w:val="21"/>
                      <w:szCs w:val="14"/>
                      <w:u w:val="none"/>
                      <w:lang w:val="en-US" w:eastAsia="zh-CN" w:bidi="ar"/>
                    </w:rPr>
                    <w:t>污水站排放口</w:t>
                  </w:r>
                </w:p>
              </w:tc>
              <w:tc>
                <w:tcPr>
                  <w:tcW w:w="2061" w:type="dxa"/>
                  <w:tcBorders>
                    <w:top w:val="single" w:color="000000" w:sz="12" w:space="0"/>
                    <w:tl2br w:val="nil"/>
                    <w:tr2bl w:val="nil"/>
                  </w:tcBorders>
                  <w:shd w:val="clear" w:color="auto" w:fill="auto"/>
                  <w:vAlign w:val="center"/>
                </w:tcPr>
                <w:p w14:paraId="1BB81CC6">
                  <w:pPr>
                    <w:keepNext w:val="0"/>
                    <w:keepLines w:val="0"/>
                    <w:widowControl/>
                    <w:suppressLineNumbers w:val="0"/>
                    <w:jc w:val="center"/>
                    <w:textAlignment w:val="center"/>
                    <w:rPr>
                      <w:rFonts w:ascii="Times New Roman" w:hAnsi="Times New Roman" w:eastAsia="宋体" w:cs="宋体"/>
                      <w:i w:val="0"/>
                      <w:iCs w:val="0"/>
                      <w:color w:val="auto"/>
                      <w:sz w:val="21"/>
                      <w:szCs w:val="14"/>
                      <w:u w:val="none"/>
                    </w:rPr>
                  </w:pPr>
                  <w:r>
                    <w:rPr>
                      <w:rFonts w:ascii="Times New Roman" w:hAnsi="Times New Roman" w:eastAsia="宋体" w:cs="宋体"/>
                      <w:i w:val="0"/>
                      <w:iCs w:val="0"/>
                      <w:color w:val="auto"/>
                      <w:kern w:val="0"/>
                      <w:sz w:val="21"/>
                      <w:szCs w:val="14"/>
                      <w:u w:val="none"/>
                      <w:lang w:val="en-US" w:eastAsia="zh-CN" w:bidi="ar"/>
                    </w:rPr>
                    <w:t>流量</w:t>
                  </w:r>
                </w:p>
              </w:tc>
              <w:tc>
                <w:tcPr>
                  <w:tcW w:w="2159" w:type="dxa"/>
                  <w:tcBorders>
                    <w:top w:val="single" w:color="000000" w:sz="12" w:space="0"/>
                    <w:tl2br w:val="nil"/>
                    <w:tr2bl w:val="nil"/>
                  </w:tcBorders>
                  <w:shd w:val="clear" w:color="auto" w:fill="auto"/>
                  <w:vAlign w:val="center"/>
                </w:tcPr>
                <w:p w14:paraId="6495BF45">
                  <w:pPr>
                    <w:keepNext w:val="0"/>
                    <w:keepLines w:val="0"/>
                    <w:widowControl/>
                    <w:suppressLineNumbers w:val="0"/>
                    <w:jc w:val="center"/>
                    <w:textAlignment w:val="center"/>
                    <w:rPr>
                      <w:rFonts w:ascii="Times New Roman" w:hAnsi="Times New Roman" w:eastAsia="宋体" w:cs="宋体"/>
                      <w:i w:val="0"/>
                      <w:iCs w:val="0"/>
                      <w:color w:val="auto"/>
                      <w:sz w:val="21"/>
                      <w:szCs w:val="14"/>
                      <w:u w:val="none"/>
                    </w:rPr>
                  </w:pPr>
                  <w:r>
                    <w:rPr>
                      <w:rFonts w:ascii="Times New Roman" w:hAnsi="Times New Roman" w:eastAsia="宋体" w:cs="宋体"/>
                      <w:i w:val="0"/>
                      <w:iCs w:val="0"/>
                      <w:color w:val="auto"/>
                      <w:kern w:val="0"/>
                      <w:sz w:val="21"/>
                      <w:szCs w:val="14"/>
                      <w:u w:val="none"/>
                      <w:lang w:val="en-US" w:eastAsia="zh-CN" w:bidi="ar"/>
                    </w:rPr>
                    <w:t>在线连续监测</w:t>
                  </w:r>
                </w:p>
              </w:tc>
              <w:tc>
                <w:tcPr>
                  <w:tcW w:w="1570" w:type="dxa"/>
                  <w:vMerge w:val="restart"/>
                  <w:tcBorders>
                    <w:top w:val="single" w:color="000000" w:sz="12" w:space="0"/>
                    <w:tl2br w:val="nil"/>
                    <w:tr2bl w:val="nil"/>
                  </w:tcBorders>
                  <w:shd w:val="clear" w:color="auto" w:fill="auto"/>
                  <w:vAlign w:val="center"/>
                </w:tcPr>
                <w:p w14:paraId="0A58E8F5">
                  <w:pPr>
                    <w:jc w:val="center"/>
                    <w:rPr>
                      <w:rFonts w:hint="eastAsia" w:ascii="Times New Roman" w:hAnsi="Times New Roman" w:eastAsia="宋体" w:cs="宋体"/>
                      <w:i w:val="0"/>
                      <w:iCs w:val="0"/>
                      <w:color w:val="auto"/>
                      <w:sz w:val="21"/>
                      <w:szCs w:val="14"/>
                      <w:u w:val="none"/>
                    </w:rPr>
                  </w:pPr>
                  <w:r>
                    <w:rPr>
                      <w:rFonts w:hint="eastAsia" w:ascii="Times New Roman" w:hAnsi="Times New Roman" w:eastAsia="宋体" w:cs="宋体"/>
                      <w:i w:val="0"/>
                      <w:iCs w:val="0"/>
                      <w:color w:val="auto"/>
                      <w:sz w:val="21"/>
                      <w:szCs w:val="14"/>
                      <w:u w:val="none"/>
                    </w:rPr>
                    <w:t>企业委托</w:t>
                  </w:r>
                </w:p>
                <w:p w14:paraId="49F1D1B1">
                  <w:pPr>
                    <w:jc w:val="center"/>
                    <w:rPr>
                      <w:rFonts w:hint="eastAsia" w:ascii="Times New Roman" w:hAnsi="Times New Roman" w:eastAsia="宋体" w:cs="宋体"/>
                      <w:i w:val="0"/>
                      <w:iCs w:val="0"/>
                      <w:color w:val="auto"/>
                      <w:sz w:val="21"/>
                      <w:szCs w:val="14"/>
                      <w:u w:val="none"/>
                    </w:rPr>
                  </w:pPr>
                  <w:r>
                    <w:rPr>
                      <w:rFonts w:hint="eastAsia" w:ascii="Times New Roman" w:hAnsi="Times New Roman" w:eastAsia="宋体" w:cs="宋体"/>
                      <w:i w:val="0"/>
                      <w:iCs w:val="0"/>
                      <w:color w:val="auto"/>
                      <w:sz w:val="21"/>
                      <w:szCs w:val="14"/>
                      <w:u w:val="none"/>
                    </w:rPr>
                    <w:t>有资质单</w:t>
                  </w:r>
                </w:p>
                <w:p w14:paraId="0FC18347">
                  <w:pPr>
                    <w:jc w:val="center"/>
                    <w:rPr>
                      <w:rFonts w:hint="eastAsia" w:ascii="Times New Roman" w:hAnsi="Times New Roman" w:eastAsia="宋体" w:cs="宋体"/>
                      <w:i w:val="0"/>
                      <w:iCs w:val="0"/>
                      <w:color w:val="auto"/>
                      <w:sz w:val="21"/>
                      <w:szCs w:val="14"/>
                      <w:u w:val="none"/>
                    </w:rPr>
                  </w:pPr>
                  <w:r>
                    <w:rPr>
                      <w:rFonts w:hint="eastAsia" w:ascii="Times New Roman" w:hAnsi="Times New Roman" w:eastAsia="宋体" w:cs="宋体"/>
                      <w:i w:val="0"/>
                      <w:iCs w:val="0"/>
                      <w:color w:val="auto"/>
                      <w:sz w:val="21"/>
                      <w:szCs w:val="14"/>
                      <w:u w:val="none"/>
                    </w:rPr>
                    <w:t>位</w:t>
                  </w:r>
                </w:p>
              </w:tc>
            </w:tr>
            <w:tr w14:paraId="28ACA1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999" w:type="dxa"/>
                  <w:vMerge w:val="continue"/>
                  <w:tcBorders>
                    <w:tl2br w:val="nil"/>
                    <w:tr2bl w:val="nil"/>
                  </w:tcBorders>
                  <w:shd w:val="clear" w:color="auto" w:fill="auto"/>
                  <w:vAlign w:val="center"/>
                </w:tcPr>
                <w:p w14:paraId="239F48D5">
                  <w:pPr>
                    <w:jc w:val="center"/>
                    <w:rPr>
                      <w:rFonts w:hint="eastAsia" w:ascii="Times New Roman" w:hAnsi="Times New Roman" w:eastAsia="宋体" w:cs="宋体"/>
                      <w:i w:val="0"/>
                      <w:iCs w:val="0"/>
                      <w:color w:val="auto"/>
                      <w:sz w:val="21"/>
                      <w:szCs w:val="14"/>
                      <w:u w:val="none"/>
                    </w:rPr>
                  </w:pPr>
                </w:p>
              </w:tc>
              <w:tc>
                <w:tcPr>
                  <w:tcW w:w="2141" w:type="dxa"/>
                  <w:vMerge w:val="continue"/>
                  <w:tcBorders>
                    <w:tl2br w:val="nil"/>
                    <w:tr2bl w:val="nil"/>
                  </w:tcBorders>
                  <w:shd w:val="clear" w:color="auto" w:fill="auto"/>
                  <w:vAlign w:val="center"/>
                </w:tcPr>
                <w:p w14:paraId="4E3C9EBE">
                  <w:pPr>
                    <w:jc w:val="center"/>
                    <w:rPr>
                      <w:rFonts w:hint="eastAsia" w:ascii="Times New Roman" w:hAnsi="Times New Roman" w:eastAsia="宋体" w:cs="宋体"/>
                      <w:i w:val="0"/>
                      <w:iCs w:val="0"/>
                      <w:color w:val="auto"/>
                      <w:sz w:val="21"/>
                      <w:szCs w:val="14"/>
                      <w:u w:val="none"/>
                    </w:rPr>
                  </w:pPr>
                </w:p>
              </w:tc>
              <w:tc>
                <w:tcPr>
                  <w:tcW w:w="2061" w:type="dxa"/>
                  <w:tcBorders>
                    <w:tl2br w:val="nil"/>
                    <w:tr2bl w:val="nil"/>
                  </w:tcBorders>
                  <w:shd w:val="clear" w:color="auto" w:fill="auto"/>
                  <w:vAlign w:val="center"/>
                </w:tcPr>
                <w:p w14:paraId="132A1D9C">
                  <w:pPr>
                    <w:keepNext w:val="0"/>
                    <w:keepLines w:val="0"/>
                    <w:widowControl/>
                    <w:suppressLineNumbers w:val="0"/>
                    <w:jc w:val="center"/>
                    <w:textAlignment w:val="center"/>
                    <w:rPr>
                      <w:rFonts w:ascii="Times New Roman" w:hAnsi="Times New Roman" w:eastAsia="宋体" w:cs="宋体"/>
                      <w:i w:val="0"/>
                      <w:iCs w:val="0"/>
                      <w:color w:val="auto"/>
                      <w:sz w:val="21"/>
                      <w:szCs w:val="14"/>
                      <w:u w:val="none"/>
                    </w:rPr>
                  </w:pPr>
                  <w:r>
                    <w:rPr>
                      <w:rFonts w:ascii="Times New Roman" w:hAnsi="Times New Roman" w:eastAsia="宋体" w:cs="宋体"/>
                      <w:i w:val="0"/>
                      <w:iCs w:val="0"/>
                      <w:color w:val="auto"/>
                      <w:kern w:val="0"/>
                      <w:sz w:val="21"/>
                      <w:szCs w:val="14"/>
                      <w:u w:val="none"/>
                      <w:lang w:val="en-US" w:eastAsia="zh-CN" w:bidi="ar"/>
                    </w:rPr>
                    <w:t>pH</w:t>
                  </w:r>
                </w:p>
              </w:tc>
              <w:tc>
                <w:tcPr>
                  <w:tcW w:w="2159" w:type="dxa"/>
                  <w:tcBorders>
                    <w:tl2br w:val="nil"/>
                    <w:tr2bl w:val="nil"/>
                  </w:tcBorders>
                  <w:shd w:val="clear" w:color="auto" w:fill="auto"/>
                  <w:vAlign w:val="center"/>
                </w:tcPr>
                <w:p w14:paraId="38FB4C29">
                  <w:pPr>
                    <w:keepNext w:val="0"/>
                    <w:keepLines w:val="0"/>
                    <w:widowControl/>
                    <w:suppressLineNumbers w:val="0"/>
                    <w:jc w:val="center"/>
                    <w:textAlignment w:val="center"/>
                    <w:rPr>
                      <w:rFonts w:ascii="Times New Roman" w:hAnsi="Times New Roman" w:eastAsia="宋体" w:cs="宋体"/>
                      <w:i w:val="0"/>
                      <w:iCs w:val="0"/>
                      <w:color w:val="auto"/>
                      <w:sz w:val="21"/>
                      <w:szCs w:val="14"/>
                      <w:u w:val="none"/>
                    </w:rPr>
                  </w:pPr>
                  <w:r>
                    <w:rPr>
                      <w:rFonts w:ascii="Times New Roman" w:hAnsi="Times New Roman" w:eastAsia="宋体" w:cs="宋体"/>
                      <w:i w:val="0"/>
                      <w:iCs w:val="0"/>
                      <w:color w:val="auto"/>
                      <w:kern w:val="0"/>
                      <w:sz w:val="21"/>
                      <w:szCs w:val="14"/>
                      <w:u w:val="none"/>
                      <w:lang w:val="en-US" w:eastAsia="zh-CN" w:bidi="ar"/>
                    </w:rPr>
                    <w:t>1次/12小时</w:t>
                  </w:r>
                </w:p>
              </w:tc>
              <w:tc>
                <w:tcPr>
                  <w:tcW w:w="1570" w:type="dxa"/>
                  <w:vMerge w:val="continue"/>
                  <w:tcBorders>
                    <w:tl2br w:val="nil"/>
                    <w:tr2bl w:val="nil"/>
                  </w:tcBorders>
                  <w:shd w:val="clear" w:color="auto" w:fill="auto"/>
                  <w:vAlign w:val="center"/>
                </w:tcPr>
                <w:p w14:paraId="181BC6EE">
                  <w:pPr>
                    <w:jc w:val="center"/>
                    <w:rPr>
                      <w:rFonts w:hint="eastAsia" w:ascii="Times New Roman" w:hAnsi="Times New Roman" w:eastAsia="宋体" w:cs="宋体"/>
                      <w:i w:val="0"/>
                      <w:iCs w:val="0"/>
                      <w:color w:val="auto"/>
                      <w:sz w:val="21"/>
                      <w:szCs w:val="14"/>
                      <w:u w:val="none"/>
                    </w:rPr>
                  </w:pPr>
                </w:p>
              </w:tc>
            </w:tr>
            <w:tr w14:paraId="62FECE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0" w:hRule="atLeast"/>
              </w:trPr>
              <w:tc>
                <w:tcPr>
                  <w:tcW w:w="999" w:type="dxa"/>
                  <w:vMerge w:val="continue"/>
                  <w:tcBorders>
                    <w:tl2br w:val="nil"/>
                    <w:tr2bl w:val="nil"/>
                  </w:tcBorders>
                  <w:shd w:val="clear" w:color="auto" w:fill="auto"/>
                  <w:vAlign w:val="center"/>
                </w:tcPr>
                <w:p w14:paraId="1F492E33">
                  <w:pPr>
                    <w:jc w:val="center"/>
                    <w:rPr>
                      <w:rFonts w:hint="eastAsia" w:ascii="Times New Roman" w:hAnsi="Times New Roman" w:eastAsia="宋体" w:cs="宋体"/>
                      <w:i w:val="0"/>
                      <w:iCs w:val="0"/>
                      <w:color w:val="auto"/>
                      <w:sz w:val="21"/>
                      <w:szCs w:val="14"/>
                      <w:u w:val="none"/>
                    </w:rPr>
                  </w:pPr>
                </w:p>
              </w:tc>
              <w:tc>
                <w:tcPr>
                  <w:tcW w:w="2141" w:type="dxa"/>
                  <w:vMerge w:val="continue"/>
                  <w:tcBorders>
                    <w:tl2br w:val="nil"/>
                    <w:tr2bl w:val="nil"/>
                  </w:tcBorders>
                  <w:shd w:val="clear" w:color="auto" w:fill="auto"/>
                  <w:vAlign w:val="center"/>
                </w:tcPr>
                <w:p w14:paraId="7C1AD071">
                  <w:pPr>
                    <w:jc w:val="center"/>
                    <w:rPr>
                      <w:rFonts w:hint="eastAsia" w:ascii="Times New Roman" w:hAnsi="Times New Roman" w:eastAsia="宋体" w:cs="宋体"/>
                      <w:i w:val="0"/>
                      <w:iCs w:val="0"/>
                      <w:color w:val="auto"/>
                      <w:sz w:val="21"/>
                      <w:szCs w:val="14"/>
                      <w:u w:val="none"/>
                    </w:rPr>
                  </w:pPr>
                </w:p>
              </w:tc>
              <w:tc>
                <w:tcPr>
                  <w:tcW w:w="2061" w:type="dxa"/>
                  <w:tcBorders>
                    <w:tl2br w:val="nil"/>
                    <w:tr2bl w:val="nil"/>
                  </w:tcBorders>
                  <w:shd w:val="clear" w:color="auto" w:fill="auto"/>
                  <w:vAlign w:val="top"/>
                </w:tcPr>
                <w:p w14:paraId="0D887A9A">
                  <w:pPr>
                    <w:keepNext w:val="0"/>
                    <w:keepLines w:val="0"/>
                    <w:widowControl/>
                    <w:suppressLineNumbers w:val="0"/>
                    <w:jc w:val="center"/>
                    <w:textAlignment w:val="top"/>
                    <w:rPr>
                      <w:rFonts w:ascii="Times New Roman" w:hAnsi="Times New Roman" w:eastAsia="宋体" w:cs="宋体"/>
                      <w:i w:val="0"/>
                      <w:iCs w:val="0"/>
                      <w:color w:val="auto"/>
                      <w:sz w:val="21"/>
                      <w:szCs w:val="14"/>
                      <w:u w:val="none"/>
                    </w:rPr>
                  </w:pPr>
                  <w:r>
                    <w:rPr>
                      <w:rFonts w:ascii="Times New Roman" w:hAnsi="Times New Roman" w:eastAsia="宋体" w:cs="宋体"/>
                      <w:i w:val="0"/>
                      <w:iCs w:val="0"/>
                      <w:color w:val="auto"/>
                      <w:kern w:val="0"/>
                      <w:sz w:val="21"/>
                      <w:szCs w:val="14"/>
                      <w:u w:val="none"/>
                      <w:lang w:val="en-US" w:eastAsia="zh-CN" w:bidi="ar"/>
                    </w:rPr>
                    <w:t>COD、SS</w:t>
                  </w:r>
                </w:p>
              </w:tc>
              <w:tc>
                <w:tcPr>
                  <w:tcW w:w="2159" w:type="dxa"/>
                  <w:tcBorders>
                    <w:tl2br w:val="nil"/>
                    <w:tr2bl w:val="nil"/>
                  </w:tcBorders>
                  <w:shd w:val="clear" w:color="auto" w:fill="auto"/>
                  <w:vAlign w:val="center"/>
                </w:tcPr>
                <w:p w14:paraId="3A178BB5">
                  <w:pPr>
                    <w:keepNext w:val="0"/>
                    <w:keepLines w:val="0"/>
                    <w:widowControl/>
                    <w:suppressLineNumbers w:val="0"/>
                    <w:jc w:val="center"/>
                    <w:textAlignment w:val="center"/>
                    <w:rPr>
                      <w:rFonts w:ascii="Times New Roman" w:hAnsi="Times New Roman" w:eastAsia="宋体" w:cs="宋体"/>
                      <w:i w:val="0"/>
                      <w:iCs w:val="0"/>
                      <w:color w:val="auto"/>
                      <w:sz w:val="21"/>
                      <w:szCs w:val="14"/>
                      <w:u w:val="none"/>
                    </w:rPr>
                  </w:pPr>
                  <w:r>
                    <w:rPr>
                      <w:rFonts w:ascii="Times New Roman" w:hAnsi="Times New Roman" w:eastAsia="宋体" w:cs="宋体"/>
                      <w:i w:val="0"/>
                      <w:iCs w:val="0"/>
                      <w:color w:val="auto"/>
                      <w:kern w:val="0"/>
                      <w:sz w:val="21"/>
                      <w:szCs w:val="14"/>
                      <w:u w:val="none"/>
                      <w:lang w:val="en-US" w:eastAsia="zh-CN" w:bidi="ar"/>
                    </w:rPr>
                    <w:t>周/次</w:t>
                  </w:r>
                </w:p>
              </w:tc>
              <w:tc>
                <w:tcPr>
                  <w:tcW w:w="1570" w:type="dxa"/>
                  <w:vMerge w:val="continue"/>
                  <w:tcBorders>
                    <w:tl2br w:val="nil"/>
                    <w:tr2bl w:val="nil"/>
                  </w:tcBorders>
                  <w:shd w:val="clear" w:color="auto" w:fill="auto"/>
                  <w:vAlign w:val="center"/>
                </w:tcPr>
                <w:p w14:paraId="2B1C1148">
                  <w:pPr>
                    <w:jc w:val="center"/>
                    <w:rPr>
                      <w:rFonts w:hint="eastAsia" w:ascii="Times New Roman" w:hAnsi="Times New Roman" w:eastAsia="宋体" w:cs="宋体"/>
                      <w:i w:val="0"/>
                      <w:iCs w:val="0"/>
                      <w:color w:val="auto"/>
                      <w:sz w:val="21"/>
                      <w:szCs w:val="14"/>
                      <w:u w:val="none"/>
                    </w:rPr>
                  </w:pPr>
                </w:p>
              </w:tc>
            </w:tr>
            <w:tr w14:paraId="062DAA3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PrEx>
              <w:trPr>
                <w:trHeight w:val="230" w:hRule="atLeast"/>
              </w:trPr>
              <w:tc>
                <w:tcPr>
                  <w:tcW w:w="999" w:type="dxa"/>
                  <w:vMerge w:val="continue"/>
                  <w:tcBorders>
                    <w:tl2br w:val="nil"/>
                    <w:tr2bl w:val="nil"/>
                  </w:tcBorders>
                  <w:shd w:val="clear" w:color="auto" w:fill="auto"/>
                  <w:vAlign w:val="center"/>
                </w:tcPr>
                <w:p w14:paraId="41667880">
                  <w:pPr>
                    <w:jc w:val="center"/>
                    <w:rPr>
                      <w:rFonts w:hint="eastAsia" w:ascii="Times New Roman" w:hAnsi="Times New Roman" w:eastAsia="宋体" w:cs="宋体"/>
                      <w:i w:val="0"/>
                      <w:iCs w:val="0"/>
                      <w:color w:val="auto"/>
                      <w:sz w:val="21"/>
                      <w:szCs w:val="14"/>
                      <w:u w:val="none"/>
                    </w:rPr>
                  </w:pPr>
                </w:p>
              </w:tc>
              <w:tc>
                <w:tcPr>
                  <w:tcW w:w="2141" w:type="dxa"/>
                  <w:vMerge w:val="continue"/>
                  <w:tcBorders>
                    <w:tl2br w:val="nil"/>
                    <w:tr2bl w:val="nil"/>
                  </w:tcBorders>
                  <w:shd w:val="clear" w:color="auto" w:fill="auto"/>
                  <w:vAlign w:val="center"/>
                </w:tcPr>
                <w:p w14:paraId="6C68F455">
                  <w:pPr>
                    <w:jc w:val="center"/>
                    <w:rPr>
                      <w:rFonts w:hint="eastAsia" w:ascii="Times New Roman" w:hAnsi="Times New Roman" w:eastAsia="宋体" w:cs="宋体"/>
                      <w:i w:val="0"/>
                      <w:iCs w:val="0"/>
                      <w:color w:val="auto"/>
                      <w:sz w:val="21"/>
                      <w:szCs w:val="14"/>
                      <w:u w:val="none"/>
                    </w:rPr>
                  </w:pPr>
                </w:p>
              </w:tc>
              <w:tc>
                <w:tcPr>
                  <w:tcW w:w="2061" w:type="dxa"/>
                  <w:tcBorders>
                    <w:tl2br w:val="nil"/>
                    <w:tr2bl w:val="nil"/>
                  </w:tcBorders>
                  <w:shd w:val="clear" w:color="auto" w:fill="auto"/>
                  <w:vAlign w:val="center"/>
                </w:tcPr>
                <w:p w14:paraId="11A00802">
                  <w:pPr>
                    <w:keepNext w:val="0"/>
                    <w:keepLines w:val="0"/>
                    <w:widowControl/>
                    <w:suppressLineNumbers w:val="0"/>
                    <w:jc w:val="center"/>
                    <w:textAlignment w:val="center"/>
                    <w:rPr>
                      <w:rFonts w:ascii="Times New Roman" w:hAnsi="Times New Roman" w:eastAsia="宋体" w:cs="宋体"/>
                      <w:i w:val="0"/>
                      <w:iCs w:val="0"/>
                      <w:color w:val="auto"/>
                      <w:sz w:val="21"/>
                      <w:szCs w:val="14"/>
                      <w:u w:val="none"/>
                    </w:rPr>
                  </w:pPr>
                  <w:r>
                    <w:rPr>
                      <w:rFonts w:ascii="Times New Roman" w:hAnsi="Times New Roman" w:eastAsia="宋体" w:cs="宋体"/>
                      <w:i w:val="0"/>
                      <w:iCs w:val="0"/>
                      <w:color w:val="auto"/>
                      <w:kern w:val="0"/>
                      <w:sz w:val="21"/>
                      <w:szCs w:val="14"/>
                      <w:u w:val="none"/>
                      <w:lang w:val="en-US" w:eastAsia="zh-CN" w:bidi="ar"/>
                    </w:rPr>
                    <w:t>粪大肠菌群</w:t>
                  </w:r>
                </w:p>
              </w:tc>
              <w:tc>
                <w:tcPr>
                  <w:tcW w:w="2159" w:type="dxa"/>
                  <w:tcBorders>
                    <w:tl2br w:val="nil"/>
                    <w:tr2bl w:val="nil"/>
                  </w:tcBorders>
                  <w:shd w:val="clear" w:color="auto" w:fill="auto"/>
                  <w:vAlign w:val="center"/>
                </w:tcPr>
                <w:p w14:paraId="7F8333D8">
                  <w:pPr>
                    <w:keepNext w:val="0"/>
                    <w:keepLines w:val="0"/>
                    <w:widowControl/>
                    <w:suppressLineNumbers w:val="0"/>
                    <w:jc w:val="center"/>
                    <w:textAlignment w:val="center"/>
                    <w:rPr>
                      <w:rFonts w:ascii="Times New Roman" w:hAnsi="Times New Roman" w:eastAsia="宋体" w:cs="宋体"/>
                      <w:i w:val="0"/>
                      <w:iCs w:val="0"/>
                      <w:color w:val="auto"/>
                      <w:sz w:val="21"/>
                      <w:szCs w:val="14"/>
                      <w:u w:val="none"/>
                    </w:rPr>
                  </w:pPr>
                  <w:r>
                    <w:rPr>
                      <w:rFonts w:ascii="Times New Roman" w:hAnsi="Times New Roman" w:eastAsia="宋体" w:cs="宋体"/>
                      <w:i w:val="0"/>
                      <w:iCs w:val="0"/>
                      <w:color w:val="auto"/>
                      <w:kern w:val="0"/>
                      <w:sz w:val="21"/>
                      <w:szCs w:val="14"/>
                      <w:u w:val="none"/>
                      <w:lang w:val="en-US" w:eastAsia="zh-CN" w:bidi="ar"/>
                    </w:rPr>
                    <w:t>月/次</w:t>
                  </w:r>
                </w:p>
              </w:tc>
              <w:tc>
                <w:tcPr>
                  <w:tcW w:w="1570" w:type="dxa"/>
                  <w:vMerge w:val="continue"/>
                  <w:tcBorders>
                    <w:tl2br w:val="nil"/>
                    <w:tr2bl w:val="nil"/>
                  </w:tcBorders>
                  <w:shd w:val="clear" w:color="auto" w:fill="auto"/>
                  <w:vAlign w:val="center"/>
                </w:tcPr>
                <w:p w14:paraId="7E9A3873">
                  <w:pPr>
                    <w:jc w:val="center"/>
                    <w:rPr>
                      <w:rFonts w:hint="eastAsia" w:ascii="Times New Roman" w:hAnsi="Times New Roman" w:eastAsia="宋体" w:cs="宋体"/>
                      <w:i w:val="0"/>
                      <w:iCs w:val="0"/>
                      <w:color w:val="auto"/>
                      <w:sz w:val="21"/>
                      <w:szCs w:val="14"/>
                      <w:u w:val="none"/>
                    </w:rPr>
                  </w:pPr>
                </w:p>
              </w:tc>
            </w:tr>
            <w:tr w14:paraId="7D587F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PrEx>
              <w:trPr>
                <w:trHeight w:val="230" w:hRule="atLeast"/>
              </w:trPr>
              <w:tc>
                <w:tcPr>
                  <w:tcW w:w="999" w:type="dxa"/>
                  <w:vMerge w:val="continue"/>
                  <w:tcBorders>
                    <w:tl2br w:val="nil"/>
                    <w:tr2bl w:val="nil"/>
                  </w:tcBorders>
                  <w:shd w:val="clear" w:color="auto" w:fill="auto"/>
                  <w:vAlign w:val="center"/>
                </w:tcPr>
                <w:p w14:paraId="5968273A">
                  <w:pPr>
                    <w:jc w:val="center"/>
                    <w:rPr>
                      <w:rFonts w:hint="eastAsia" w:ascii="Times New Roman" w:hAnsi="Times New Roman" w:eastAsia="宋体" w:cs="宋体"/>
                      <w:i w:val="0"/>
                      <w:iCs w:val="0"/>
                      <w:color w:val="auto"/>
                      <w:sz w:val="21"/>
                      <w:szCs w:val="14"/>
                      <w:u w:val="none"/>
                    </w:rPr>
                  </w:pPr>
                </w:p>
              </w:tc>
              <w:tc>
                <w:tcPr>
                  <w:tcW w:w="2141" w:type="dxa"/>
                  <w:vMerge w:val="continue"/>
                  <w:tcBorders>
                    <w:tl2br w:val="nil"/>
                    <w:tr2bl w:val="nil"/>
                  </w:tcBorders>
                  <w:shd w:val="clear" w:color="auto" w:fill="auto"/>
                  <w:vAlign w:val="center"/>
                </w:tcPr>
                <w:p w14:paraId="3C0B5CFA">
                  <w:pPr>
                    <w:jc w:val="center"/>
                    <w:rPr>
                      <w:rFonts w:hint="eastAsia" w:ascii="Times New Roman" w:hAnsi="Times New Roman" w:eastAsia="宋体" w:cs="宋体"/>
                      <w:i w:val="0"/>
                      <w:iCs w:val="0"/>
                      <w:color w:val="auto"/>
                      <w:sz w:val="21"/>
                      <w:szCs w:val="14"/>
                      <w:u w:val="none"/>
                    </w:rPr>
                  </w:pPr>
                </w:p>
              </w:tc>
              <w:tc>
                <w:tcPr>
                  <w:tcW w:w="2061" w:type="dxa"/>
                  <w:tcBorders>
                    <w:tl2br w:val="nil"/>
                    <w:tr2bl w:val="nil"/>
                  </w:tcBorders>
                  <w:shd w:val="clear" w:color="auto" w:fill="auto"/>
                  <w:vAlign w:val="center"/>
                </w:tcPr>
                <w:p w14:paraId="4C8583CE">
                  <w:pPr>
                    <w:keepNext w:val="0"/>
                    <w:keepLines w:val="0"/>
                    <w:widowControl/>
                    <w:suppressLineNumbers w:val="0"/>
                    <w:jc w:val="center"/>
                    <w:textAlignment w:val="center"/>
                    <w:rPr>
                      <w:rFonts w:ascii="Times New Roman" w:hAnsi="Times New Roman" w:eastAsia="宋体" w:cs="宋体"/>
                      <w:i w:val="0"/>
                      <w:iCs w:val="0"/>
                      <w:color w:val="auto"/>
                      <w:kern w:val="0"/>
                      <w:sz w:val="21"/>
                      <w:szCs w:val="14"/>
                      <w:u w:val="none"/>
                      <w:lang w:val="en-US" w:eastAsia="zh-CN" w:bidi="ar"/>
                    </w:rPr>
                  </w:pPr>
                  <w:r>
                    <w:rPr>
                      <w:rFonts w:ascii="Times New Roman" w:hAnsi="Times New Roman" w:eastAsia="宋体" w:cs="宋体"/>
                      <w:i w:val="0"/>
                      <w:iCs w:val="0"/>
                      <w:color w:val="auto"/>
                      <w:kern w:val="0"/>
                      <w:sz w:val="21"/>
                      <w:szCs w:val="14"/>
                      <w:u w:val="none"/>
                      <w:lang w:val="en-US" w:eastAsia="zh-CN" w:bidi="ar"/>
                    </w:rPr>
                    <w:t>五日生化需氧量、石油类、挥发酚、动植物油、</w:t>
                  </w:r>
                  <w:r>
                    <w:rPr>
                      <w:rFonts w:hint="eastAsia" w:cs="宋体"/>
                      <w:i w:val="0"/>
                      <w:iCs w:val="0"/>
                      <w:color w:val="auto"/>
                      <w:kern w:val="0"/>
                      <w:sz w:val="21"/>
                      <w:szCs w:val="14"/>
                      <w:u w:val="none"/>
                      <w:lang w:val="en-US" w:eastAsia="zh-CN" w:bidi="ar"/>
                    </w:rPr>
                    <w:t>LAS</w:t>
                  </w:r>
                  <w:r>
                    <w:rPr>
                      <w:rFonts w:ascii="Times New Roman" w:hAnsi="Times New Roman" w:eastAsia="宋体" w:cs="宋体"/>
                      <w:i w:val="0"/>
                      <w:iCs w:val="0"/>
                      <w:color w:val="auto"/>
                      <w:kern w:val="0"/>
                      <w:sz w:val="21"/>
                      <w:szCs w:val="14"/>
                      <w:u w:val="none"/>
                      <w:lang w:val="en-US" w:eastAsia="zh-CN" w:bidi="ar"/>
                    </w:rPr>
                    <w:t>、总氰化物</w:t>
                  </w:r>
                </w:p>
              </w:tc>
              <w:tc>
                <w:tcPr>
                  <w:tcW w:w="2159" w:type="dxa"/>
                  <w:tcBorders>
                    <w:tl2br w:val="nil"/>
                    <w:tr2bl w:val="nil"/>
                  </w:tcBorders>
                  <w:shd w:val="clear" w:color="auto" w:fill="auto"/>
                  <w:vAlign w:val="center"/>
                </w:tcPr>
                <w:p w14:paraId="7F2160D4">
                  <w:pPr>
                    <w:keepNext w:val="0"/>
                    <w:keepLines w:val="0"/>
                    <w:widowControl/>
                    <w:suppressLineNumbers w:val="0"/>
                    <w:jc w:val="center"/>
                    <w:textAlignment w:val="center"/>
                    <w:rPr>
                      <w:rFonts w:hint="default" w:ascii="Times New Roman" w:hAnsi="Times New Roman" w:eastAsia="宋体" w:cs="宋体"/>
                      <w:i w:val="0"/>
                      <w:iCs w:val="0"/>
                      <w:color w:val="auto"/>
                      <w:kern w:val="0"/>
                      <w:sz w:val="21"/>
                      <w:szCs w:val="14"/>
                      <w:u w:val="none"/>
                      <w:lang w:val="en-US" w:eastAsia="zh-CN" w:bidi="ar"/>
                    </w:rPr>
                  </w:pPr>
                  <w:r>
                    <w:rPr>
                      <w:rFonts w:hint="eastAsia" w:cs="宋体"/>
                      <w:i w:val="0"/>
                      <w:iCs w:val="0"/>
                      <w:color w:val="auto"/>
                      <w:kern w:val="0"/>
                      <w:sz w:val="21"/>
                      <w:szCs w:val="14"/>
                      <w:u w:val="none"/>
                      <w:lang w:val="en-US" w:eastAsia="zh-CN" w:bidi="ar"/>
                    </w:rPr>
                    <w:t>季度/次</w:t>
                  </w:r>
                </w:p>
              </w:tc>
              <w:tc>
                <w:tcPr>
                  <w:tcW w:w="1570" w:type="dxa"/>
                  <w:vMerge w:val="continue"/>
                  <w:tcBorders>
                    <w:tl2br w:val="nil"/>
                    <w:tr2bl w:val="nil"/>
                  </w:tcBorders>
                  <w:shd w:val="clear" w:color="auto" w:fill="auto"/>
                  <w:vAlign w:val="center"/>
                </w:tcPr>
                <w:p w14:paraId="30346329">
                  <w:pPr>
                    <w:jc w:val="center"/>
                    <w:rPr>
                      <w:rFonts w:hint="eastAsia" w:ascii="Times New Roman" w:hAnsi="Times New Roman" w:eastAsia="宋体" w:cs="宋体"/>
                      <w:i w:val="0"/>
                      <w:iCs w:val="0"/>
                      <w:color w:val="auto"/>
                      <w:sz w:val="21"/>
                      <w:szCs w:val="14"/>
                      <w:u w:val="none"/>
                    </w:rPr>
                  </w:pPr>
                </w:p>
              </w:tc>
            </w:tr>
            <w:tr w14:paraId="7DAE4E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0" w:hRule="atLeast"/>
              </w:trPr>
              <w:tc>
                <w:tcPr>
                  <w:tcW w:w="999" w:type="dxa"/>
                  <w:vMerge w:val="continue"/>
                  <w:tcBorders>
                    <w:tl2br w:val="nil"/>
                    <w:tr2bl w:val="nil"/>
                  </w:tcBorders>
                  <w:shd w:val="clear" w:color="auto" w:fill="auto"/>
                  <w:vAlign w:val="center"/>
                </w:tcPr>
                <w:p w14:paraId="445BFF7B">
                  <w:pPr>
                    <w:jc w:val="center"/>
                    <w:rPr>
                      <w:rFonts w:hint="eastAsia" w:ascii="Times New Roman" w:hAnsi="Times New Roman" w:eastAsia="宋体" w:cs="宋体"/>
                      <w:i w:val="0"/>
                      <w:iCs w:val="0"/>
                      <w:color w:val="auto"/>
                      <w:sz w:val="21"/>
                      <w:szCs w:val="14"/>
                      <w:u w:val="none"/>
                    </w:rPr>
                  </w:pPr>
                </w:p>
              </w:tc>
              <w:tc>
                <w:tcPr>
                  <w:tcW w:w="2141" w:type="dxa"/>
                  <w:vMerge w:val="continue"/>
                  <w:tcBorders>
                    <w:tl2br w:val="nil"/>
                    <w:tr2bl w:val="nil"/>
                  </w:tcBorders>
                  <w:shd w:val="clear" w:color="auto" w:fill="auto"/>
                  <w:vAlign w:val="center"/>
                </w:tcPr>
                <w:p w14:paraId="39FCC32F">
                  <w:pPr>
                    <w:jc w:val="center"/>
                    <w:rPr>
                      <w:rFonts w:hint="eastAsia" w:ascii="Times New Roman" w:hAnsi="Times New Roman" w:eastAsia="宋体" w:cs="宋体"/>
                      <w:i w:val="0"/>
                      <w:iCs w:val="0"/>
                      <w:color w:val="auto"/>
                      <w:sz w:val="21"/>
                      <w:szCs w:val="14"/>
                      <w:u w:val="none"/>
                    </w:rPr>
                  </w:pPr>
                </w:p>
              </w:tc>
              <w:tc>
                <w:tcPr>
                  <w:tcW w:w="2061" w:type="dxa"/>
                  <w:tcBorders>
                    <w:tl2br w:val="nil"/>
                    <w:tr2bl w:val="nil"/>
                  </w:tcBorders>
                  <w:shd w:val="clear" w:color="auto" w:fill="auto"/>
                  <w:vAlign w:val="center"/>
                </w:tcPr>
                <w:p w14:paraId="72B1DF28">
                  <w:pPr>
                    <w:keepNext w:val="0"/>
                    <w:keepLines w:val="0"/>
                    <w:widowControl/>
                    <w:suppressLineNumbers w:val="0"/>
                    <w:jc w:val="center"/>
                    <w:textAlignment w:val="center"/>
                    <w:rPr>
                      <w:rFonts w:ascii="Times New Roman" w:hAnsi="Times New Roman" w:eastAsia="宋体" w:cs="宋体"/>
                      <w:i w:val="0"/>
                      <w:iCs w:val="0"/>
                      <w:color w:val="auto"/>
                      <w:kern w:val="0"/>
                      <w:sz w:val="21"/>
                      <w:szCs w:val="14"/>
                      <w:u w:val="none"/>
                      <w:lang w:val="en-US" w:eastAsia="zh-CN" w:bidi="ar"/>
                    </w:rPr>
                  </w:pPr>
                  <w:r>
                    <w:rPr>
                      <w:rFonts w:hint="eastAsia" w:cs="宋体"/>
                      <w:i w:val="0"/>
                      <w:iCs w:val="0"/>
                      <w:color w:val="auto"/>
                      <w:kern w:val="0"/>
                      <w:sz w:val="21"/>
                      <w:szCs w:val="14"/>
                      <w:u w:val="none"/>
                      <w:lang w:val="en-US" w:eastAsia="zh-CN" w:bidi="ar"/>
                    </w:rPr>
                    <w:t>总余氯</w:t>
                  </w:r>
                </w:p>
              </w:tc>
              <w:tc>
                <w:tcPr>
                  <w:tcW w:w="2159" w:type="dxa"/>
                  <w:tcBorders>
                    <w:tl2br w:val="nil"/>
                    <w:tr2bl w:val="nil"/>
                  </w:tcBorders>
                  <w:shd w:val="clear" w:color="auto" w:fill="auto"/>
                  <w:vAlign w:val="center"/>
                </w:tcPr>
                <w:p w14:paraId="38FD31DD">
                  <w:pPr>
                    <w:keepNext w:val="0"/>
                    <w:keepLines w:val="0"/>
                    <w:widowControl/>
                    <w:suppressLineNumbers w:val="0"/>
                    <w:jc w:val="center"/>
                    <w:textAlignment w:val="center"/>
                    <w:rPr>
                      <w:rFonts w:hint="eastAsia" w:cs="宋体"/>
                      <w:i w:val="0"/>
                      <w:iCs w:val="0"/>
                      <w:color w:val="auto"/>
                      <w:kern w:val="0"/>
                      <w:sz w:val="21"/>
                      <w:szCs w:val="14"/>
                      <w:u w:val="none"/>
                      <w:lang w:val="en-US" w:eastAsia="zh-CN" w:bidi="ar"/>
                    </w:rPr>
                  </w:pPr>
                  <w:r>
                    <w:rPr>
                      <w:rFonts w:hint="eastAsia" w:cs="宋体"/>
                      <w:i w:val="0"/>
                      <w:iCs w:val="0"/>
                      <w:color w:val="auto"/>
                      <w:kern w:val="0"/>
                      <w:sz w:val="21"/>
                      <w:szCs w:val="14"/>
                      <w:u w:val="none"/>
                      <w:lang w:val="en-US" w:eastAsia="zh-CN" w:bidi="ar"/>
                    </w:rPr>
                    <w:t>间接排放不作要求，建议1次/季度</w:t>
                  </w:r>
                </w:p>
              </w:tc>
              <w:tc>
                <w:tcPr>
                  <w:tcW w:w="1570" w:type="dxa"/>
                  <w:vMerge w:val="continue"/>
                  <w:tcBorders>
                    <w:tl2br w:val="nil"/>
                    <w:tr2bl w:val="nil"/>
                  </w:tcBorders>
                  <w:shd w:val="clear" w:color="auto" w:fill="auto"/>
                  <w:vAlign w:val="center"/>
                </w:tcPr>
                <w:p w14:paraId="7E61296C">
                  <w:pPr>
                    <w:jc w:val="center"/>
                    <w:rPr>
                      <w:rFonts w:hint="eastAsia" w:ascii="Times New Roman" w:hAnsi="Times New Roman" w:eastAsia="宋体" w:cs="宋体"/>
                      <w:i w:val="0"/>
                      <w:iCs w:val="0"/>
                      <w:color w:val="auto"/>
                      <w:sz w:val="21"/>
                      <w:szCs w:val="14"/>
                      <w:u w:val="none"/>
                    </w:rPr>
                  </w:pPr>
                </w:p>
              </w:tc>
            </w:tr>
            <w:tr w14:paraId="28334F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0" w:hRule="atLeast"/>
              </w:trPr>
              <w:tc>
                <w:tcPr>
                  <w:tcW w:w="999" w:type="dxa"/>
                  <w:vMerge w:val="continue"/>
                  <w:tcBorders>
                    <w:tl2br w:val="nil"/>
                    <w:tr2bl w:val="nil"/>
                  </w:tcBorders>
                  <w:shd w:val="clear" w:color="auto" w:fill="auto"/>
                  <w:vAlign w:val="center"/>
                </w:tcPr>
                <w:p w14:paraId="70AAAEA2">
                  <w:pPr>
                    <w:jc w:val="center"/>
                    <w:rPr>
                      <w:rFonts w:hint="eastAsia" w:ascii="Times New Roman" w:hAnsi="Times New Roman" w:eastAsia="宋体" w:cs="宋体"/>
                      <w:i w:val="0"/>
                      <w:iCs w:val="0"/>
                      <w:color w:val="auto"/>
                      <w:sz w:val="21"/>
                      <w:szCs w:val="14"/>
                      <w:u w:val="none"/>
                    </w:rPr>
                  </w:pPr>
                </w:p>
              </w:tc>
              <w:tc>
                <w:tcPr>
                  <w:tcW w:w="2141" w:type="dxa"/>
                  <w:tcBorders>
                    <w:tl2br w:val="nil"/>
                    <w:tr2bl w:val="nil"/>
                  </w:tcBorders>
                  <w:shd w:val="clear" w:color="auto" w:fill="auto"/>
                  <w:vAlign w:val="center"/>
                </w:tcPr>
                <w:p w14:paraId="51B65E5B">
                  <w:pPr>
                    <w:jc w:val="center"/>
                    <w:rPr>
                      <w:rFonts w:hint="default" w:ascii="Times New Roman" w:hAnsi="Times New Roman" w:eastAsia="宋体" w:cs="宋体"/>
                      <w:i w:val="0"/>
                      <w:iCs w:val="0"/>
                      <w:color w:val="auto"/>
                      <w:sz w:val="21"/>
                      <w:szCs w:val="14"/>
                      <w:u w:val="none"/>
                      <w:lang w:val="en-US" w:eastAsia="zh-CN"/>
                    </w:rPr>
                  </w:pPr>
                  <w:r>
                    <w:rPr>
                      <w:rFonts w:hint="eastAsia" w:cs="宋体"/>
                      <w:i w:val="0"/>
                      <w:iCs w:val="0"/>
                      <w:color w:val="auto"/>
                      <w:sz w:val="21"/>
                      <w:szCs w:val="14"/>
                      <w:u w:val="none"/>
                      <w:lang w:val="en-US" w:eastAsia="zh-CN"/>
                    </w:rPr>
                    <w:t>接触池出口</w:t>
                  </w:r>
                </w:p>
              </w:tc>
              <w:tc>
                <w:tcPr>
                  <w:tcW w:w="2061" w:type="dxa"/>
                  <w:tcBorders>
                    <w:tl2br w:val="nil"/>
                    <w:tr2bl w:val="nil"/>
                  </w:tcBorders>
                  <w:shd w:val="clear" w:color="auto" w:fill="auto"/>
                  <w:vAlign w:val="center"/>
                </w:tcPr>
                <w:p w14:paraId="4EA1E4C6">
                  <w:pPr>
                    <w:keepNext w:val="0"/>
                    <w:keepLines w:val="0"/>
                    <w:widowControl/>
                    <w:suppressLineNumbers w:val="0"/>
                    <w:jc w:val="center"/>
                    <w:textAlignment w:val="center"/>
                    <w:rPr>
                      <w:rFonts w:hint="default" w:ascii="Times New Roman" w:hAnsi="Times New Roman" w:eastAsia="宋体" w:cs="宋体"/>
                      <w:i w:val="0"/>
                      <w:iCs w:val="0"/>
                      <w:color w:val="auto"/>
                      <w:kern w:val="0"/>
                      <w:sz w:val="21"/>
                      <w:szCs w:val="14"/>
                      <w:u w:val="none"/>
                      <w:lang w:val="en-US" w:eastAsia="zh-CN" w:bidi="ar"/>
                    </w:rPr>
                  </w:pPr>
                  <w:r>
                    <w:rPr>
                      <w:rFonts w:hint="eastAsia" w:cs="宋体"/>
                      <w:i w:val="0"/>
                      <w:iCs w:val="0"/>
                      <w:color w:val="auto"/>
                      <w:kern w:val="0"/>
                      <w:sz w:val="21"/>
                      <w:szCs w:val="14"/>
                      <w:u w:val="none"/>
                      <w:lang w:val="en-US" w:eastAsia="zh-CN" w:bidi="ar"/>
                    </w:rPr>
                    <w:t>总余氯</w:t>
                  </w:r>
                </w:p>
              </w:tc>
              <w:tc>
                <w:tcPr>
                  <w:tcW w:w="2159" w:type="dxa"/>
                  <w:tcBorders>
                    <w:tl2br w:val="nil"/>
                    <w:tr2bl w:val="nil"/>
                  </w:tcBorders>
                  <w:shd w:val="clear" w:color="auto" w:fill="auto"/>
                  <w:vAlign w:val="center"/>
                </w:tcPr>
                <w:p w14:paraId="3E1AEABA">
                  <w:pPr>
                    <w:keepNext w:val="0"/>
                    <w:keepLines w:val="0"/>
                    <w:widowControl/>
                    <w:suppressLineNumbers w:val="0"/>
                    <w:jc w:val="center"/>
                    <w:textAlignment w:val="center"/>
                    <w:rPr>
                      <w:rFonts w:hint="eastAsia" w:cs="宋体"/>
                      <w:i w:val="0"/>
                      <w:iCs w:val="0"/>
                      <w:color w:val="auto"/>
                      <w:kern w:val="0"/>
                      <w:sz w:val="21"/>
                      <w:szCs w:val="14"/>
                      <w:u w:val="none"/>
                      <w:lang w:val="en-US" w:eastAsia="zh-CN" w:bidi="ar"/>
                    </w:rPr>
                  </w:pPr>
                  <w:r>
                    <w:rPr>
                      <w:rFonts w:hint="eastAsia" w:cs="宋体"/>
                      <w:i w:val="0"/>
                      <w:iCs w:val="0"/>
                      <w:color w:val="auto"/>
                      <w:kern w:val="0"/>
                      <w:sz w:val="21"/>
                      <w:szCs w:val="14"/>
                      <w:u w:val="none"/>
                      <w:lang w:val="en-US" w:eastAsia="zh-CN" w:bidi="ar"/>
                    </w:rPr>
                    <w:t>间接排放不作要求，建议1次/季度</w:t>
                  </w:r>
                </w:p>
              </w:tc>
              <w:tc>
                <w:tcPr>
                  <w:tcW w:w="1570" w:type="dxa"/>
                  <w:vMerge w:val="continue"/>
                  <w:tcBorders>
                    <w:tl2br w:val="nil"/>
                    <w:tr2bl w:val="nil"/>
                  </w:tcBorders>
                  <w:shd w:val="clear" w:color="auto" w:fill="auto"/>
                  <w:vAlign w:val="center"/>
                </w:tcPr>
                <w:p w14:paraId="793BE1A7">
                  <w:pPr>
                    <w:jc w:val="center"/>
                    <w:rPr>
                      <w:rFonts w:hint="eastAsia" w:ascii="Times New Roman" w:hAnsi="Times New Roman" w:eastAsia="宋体" w:cs="宋体"/>
                      <w:i w:val="0"/>
                      <w:iCs w:val="0"/>
                      <w:color w:val="auto"/>
                      <w:sz w:val="21"/>
                      <w:szCs w:val="14"/>
                      <w:u w:val="none"/>
                    </w:rPr>
                  </w:pPr>
                </w:p>
              </w:tc>
            </w:tr>
            <w:tr w14:paraId="3733D22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0" w:hRule="atLeast"/>
              </w:trPr>
              <w:tc>
                <w:tcPr>
                  <w:tcW w:w="999" w:type="dxa"/>
                  <w:vMerge w:val="continue"/>
                  <w:tcBorders>
                    <w:tl2br w:val="nil"/>
                    <w:tr2bl w:val="nil"/>
                  </w:tcBorders>
                  <w:shd w:val="clear" w:color="auto" w:fill="auto"/>
                  <w:vAlign w:val="top"/>
                </w:tcPr>
                <w:p w14:paraId="386A7C6F">
                  <w:pPr>
                    <w:jc w:val="left"/>
                    <w:rPr>
                      <w:rFonts w:hint="default" w:ascii="Times New Roman" w:hAnsi="Times New Roman" w:eastAsia="宋体" w:cs="Arial"/>
                      <w:i w:val="0"/>
                      <w:iCs w:val="0"/>
                      <w:color w:val="auto"/>
                      <w:sz w:val="21"/>
                      <w:szCs w:val="22"/>
                      <w:u w:val="none"/>
                    </w:rPr>
                  </w:pPr>
                </w:p>
              </w:tc>
              <w:tc>
                <w:tcPr>
                  <w:tcW w:w="2141" w:type="dxa"/>
                  <w:tcBorders>
                    <w:tl2br w:val="nil"/>
                    <w:tr2bl w:val="nil"/>
                  </w:tcBorders>
                  <w:shd w:val="clear" w:color="auto" w:fill="auto"/>
                  <w:vAlign w:val="center"/>
                </w:tcPr>
                <w:p w14:paraId="1E48DDDB">
                  <w:pPr>
                    <w:keepNext w:val="0"/>
                    <w:keepLines w:val="0"/>
                    <w:widowControl/>
                    <w:suppressLineNumbers w:val="0"/>
                    <w:jc w:val="center"/>
                    <w:textAlignment w:val="center"/>
                    <w:rPr>
                      <w:rFonts w:ascii="Times New Roman" w:hAnsi="Times New Roman" w:eastAsia="宋体" w:cs="宋体"/>
                      <w:i w:val="0"/>
                      <w:iCs w:val="0"/>
                      <w:color w:val="auto"/>
                      <w:sz w:val="21"/>
                      <w:szCs w:val="14"/>
                      <w:u w:val="none"/>
                    </w:rPr>
                  </w:pPr>
                  <w:r>
                    <w:rPr>
                      <w:rFonts w:ascii="Times New Roman" w:hAnsi="Times New Roman" w:eastAsia="宋体" w:cs="宋体"/>
                      <w:i w:val="0"/>
                      <w:iCs w:val="0"/>
                      <w:color w:val="auto"/>
                      <w:kern w:val="0"/>
                      <w:sz w:val="21"/>
                      <w:szCs w:val="14"/>
                      <w:u w:val="none"/>
                      <w:lang w:val="en-US" w:eastAsia="zh-CN" w:bidi="ar"/>
                    </w:rPr>
                    <w:t>雨水排放口</w:t>
                  </w:r>
                </w:p>
              </w:tc>
              <w:tc>
                <w:tcPr>
                  <w:tcW w:w="2061" w:type="dxa"/>
                  <w:tcBorders>
                    <w:tl2br w:val="nil"/>
                    <w:tr2bl w:val="nil"/>
                  </w:tcBorders>
                  <w:shd w:val="clear" w:color="auto" w:fill="auto"/>
                  <w:vAlign w:val="center"/>
                </w:tcPr>
                <w:p w14:paraId="106C5285">
                  <w:pPr>
                    <w:keepNext w:val="0"/>
                    <w:keepLines w:val="0"/>
                    <w:widowControl/>
                    <w:suppressLineNumbers w:val="0"/>
                    <w:jc w:val="center"/>
                    <w:textAlignment w:val="center"/>
                    <w:rPr>
                      <w:rFonts w:ascii="Times New Roman" w:hAnsi="Times New Roman" w:eastAsia="宋体" w:cs="宋体"/>
                      <w:i w:val="0"/>
                      <w:iCs w:val="0"/>
                      <w:color w:val="auto"/>
                      <w:sz w:val="21"/>
                      <w:szCs w:val="14"/>
                      <w:u w:val="none"/>
                    </w:rPr>
                  </w:pPr>
                  <w:r>
                    <w:rPr>
                      <w:rFonts w:ascii="Times New Roman" w:hAnsi="Times New Roman" w:eastAsia="宋体" w:cs="宋体"/>
                      <w:i w:val="0"/>
                      <w:iCs w:val="0"/>
                      <w:color w:val="auto"/>
                      <w:kern w:val="0"/>
                      <w:sz w:val="21"/>
                      <w:szCs w:val="14"/>
                      <w:u w:val="none"/>
                      <w:lang w:val="en-US" w:eastAsia="zh-CN" w:bidi="ar"/>
                    </w:rPr>
                    <w:t>COD、SS</w:t>
                  </w:r>
                </w:p>
              </w:tc>
              <w:tc>
                <w:tcPr>
                  <w:tcW w:w="2159" w:type="dxa"/>
                  <w:tcBorders>
                    <w:tl2br w:val="nil"/>
                    <w:tr2bl w:val="nil"/>
                  </w:tcBorders>
                  <w:shd w:val="clear" w:color="auto" w:fill="auto"/>
                  <w:vAlign w:val="center"/>
                </w:tcPr>
                <w:p w14:paraId="17E0D3D2">
                  <w:pPr>
                    <w:keepNext w:val="0"/>
                    <w:keepLines w:val="0"/>
                    <w:widowControl/>
                    <w:suppressLineNumbers w:val="0"/>
                    <w:jc w:val="center"/>
                    <w:textAlignment w:val="center"/>
                    <w:rPr>
                      <w:rFonts w:ascii="Times New Roman" w:hAnsi="Times New Roman" w:eastAsia="宋体" w:cs="宋体"/>
                      <w:i w:val="0"/>
                      <w:iCs w:val="0"/>
                      <w:color w:val="auto"/>
                      <w:sz w:val="21"/>
                      <w:szCs w:val="14"/>
                      <w:u w:val="none"/>
                    </w:rPr>
                  </w:pPr>
                  <w:r>
                    <w:rPr>
                      <w:rFonts w:ascii="Times New Roman" w:hAnsi="Times New Roman" w:eastAsia="宋体" w:cs="宋体"/>
                      <w:i w:val="0"/>
                      <w:iCs w:val="0"/>
                      <w:color w:val="auto"/>
                      <w:kern w:val="0"/>
                      <w:sz w:val="21"/>
                      <w:szCs w:val="14"/>
                      <w:u w:val="none"/>
                      <w:lang w:val="en-US" w:eastAsia="zh-CN" w:bidi="ar"/>
                    </w:rPr>
                    <w:t>月</w:t>
                  </w:r>
                  <w:r>
                    <w:rPr>
                      <w:rFonts w:ascii="Times New Roman" w:hAnsi="Times New Roman" w:eastAsia="宋体" w:cs="宋体"/>
                      <w:i w:val="0"/>
                      <w:iCs w:val="0"/>
                      <w:color w:val="auto"/>
                      <w:kern w:val="0"/>
                      <w:sz w:val="21"/>
                      <w:szCs w:val="14"/>
                      <w:u w:val="none"/>
                      <w:vertAlign w:val="superscript"/>
                      <w:lang w:val="en-US" w:eastAsia="zh-CN" w:bidi="ar"/>
                    </w:rPr>
                    <w:t>A</w:t>
                  </w:r>
                </w:p>
              </w:tc>
              <w:tc>
                <w:tcPr>
                  <w:tcW w:w="1570" w:type="dxa"/>
                  <w:vMerge w:val="continue"/>
                  <w:tcBorders>
                    <w:tl2br w:val="nil"/>
                    <w:tr2bl w:val="nil"/>
                  </w:tcBorders>
                  <w:shd w:val="clear" w:color="auto" w:fill="auto"/>
                  <w:vAlign w:val="top"/>
                </w:tcPr>
                <w:p w14:paraId="2EBE5063">
                  <w:pPr>
                    <w:jc w:val="left"/>
                    <w:rPr>
                      <w:rFonts w:hint="default" w:ascii="Times New Roman" w:hAnsi="Times New Roman" w:eastAsia="宋体" w:cs="Arial"/>
                      <w:i w:val="0"/>
                      <w:iCs w:val="0"/>
                      <w:color w:val="auto"/>
                      <w:sz w:val="21"/>
                      <w:szCs w:val="22"/>
                      <w:u w:val="none"/>
                    </w:rPr>
                  </w:pPr>
                </w:p>
              </w:tc>
            </w:tr>
            <w:tr w14:paraId="20B0A7A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5" w:hRule="atLeast"/>
              </w:trPr>
              <w:tc>
                <w:tcPr>
                  <w:tcW w:w="8930" w:type="dxa"/>
                  <w:gridSpan w:val="5"/>
                  <w:tcBorders>
                    <w:tl2br w:val="nil"/>
                    <w:tr2bl w:val="nil"/>
                  </w:tcBorders>
                  <w:shd w:val="clear" w:color="auto" w:fill="auto"/>
                  <w:vAlign w:val="top"/>
                </w:tcPr>
                <w:p w14:paraId="2E4EA196">
                  <w:pPr>
                    <w:keepNext w:val="0"/>
                    <w:keepLines w:val="0"/>
                    <w:widowControl/>
                    <w:suppressLineNumbers w:val="0"/>
                    <w:jc w:val="left"/>
                    <w:textAlignment w:val="top"/>
                    <w:rPr>
                      <w:rFonts w:ascii="Times New Roman" w:hAnsi="Times New Roman" w:eastAsia="宋体" w:cs="宋体"/>
                      <w:i w:val="0"/>
                      <w:iCs w:val="0"/>
                      <w:color w:val="auto"/>
                      <w:sz w:val="21"/>
                      <w:szCs w:val="14"/>
                      <w:u w:val="none"/>
                    </w:rPr>
                  </w:pPr>
                  <w:r>
                    <w:rPr>
                      <w:rFonts w:ascii="Times New Roman" w:hAnsi="Times New Roman" w:eastAsia="宋体" w:cs="宋体"/>
                      <w:i w:val="0"/>
                      <w:iCs w:val="0"/>
                      <w:color w:val="auto"/>
                      <w:kern w:val="0"/>
                      <w:sz w:val="21"/>
                      <w:szCs w:val="14"/>
                      <w:u w:val="none"/>
                      <w:lang w:val="en-US" w:eastAsia="zh-CN" w:bidi="ar"/>
                    </w:rPr>
                    <w:t>注：</w:t>
                  </w:r>
                  <w:r>
                    <w:rPr>
                      <w:rFonts w:ascii="Times New Roman" w:hAnsi="Times New Roman" w:eastAsia="宋体" w:cs="宋体"/>
                      <w:i w:val="0"/>
                      <w:iCs w:val="0"/>
                      <w:color w:val="auto"/>
                      <w:kern w:val="0"/>
                      <w:sz w:val="21"/>
                      <w:szCs w:val="14"/>
                      <w:u w:val="none"/>
                      <w:vertAlign w:val="superscript"/>
                      <w:lang w:val="en-US" w:eastAsia="zh-CN" w:bidi="ar"/>
                    </w:rPr>
                    <w:t>A</w:t>
                  </w:r>
                  <w:r>
                    <w:rPr>
                      <w:rFonts w:ascii="Times New Roman" w:hAnsi="Times New Roman" w:eastAsia="宋体" w:cs="宋体"/>
                      <w:i w:val="0"/>
                      <w:iCs w:val="0"/>
                      <w:color w:val="auto"/>
                      <w:kern w:val="0"/>
                      <w:sz w:val="21"/>
                      <w:szCs w:val="14"/>
                      <w:u w:val="none"/>
                      <w:lang w:val="en-US" w:eastAsia="zh-CN" w:bidi="ar"/>
                    </w:rPr>
                    <w:t>雨水排放口每月有流动水排放时开展一次监测。如监测一年无异常情况，可放宽至每季度有流动水排放时开展一次监测。</w:t>
                  </w:r>
                </w:p>
              </w:tc>
            </w:tr>
          </w:tbl>
          <w:p w14:paraId="5C59FC2E">
            <w:pPr>
              <w:pStyle w:val="3"/>
              <w:numPr>
                <w:ilvl w:val="1"/>
                <w:numId w:val="1"/>
              </w:numPr>
              <w:bidi w:val="0"/>
              <w:ind w:left="0" w:leftChars="0" w:firstLine="0" w:firstLineChars="0"/>
              <w:rPr>
                <w:rFonts w:hint="eastAsia" w:eastAsia="宋体"/>
                <w:color w:val="auto"/>
                <w:highlight w:val="none"/>
                <w:lang w:val="en-US" w:eastAsia="zh-CN"/>
              </w:rPr>
            </w:pPr>
            <w:r>
              <w:rPr>
                <w:rFonts w:hint="eastAsia" w:eastAsia="宋体"/>
                <w:color w:val="auto"/>
                <w:highlight w:val="none"/>
                <w:lang w:val="en-US" w:eastAsia="zh-CN"/>
              </w:rPr>
              <w:t>运营期声环境影响分析</w:t>
            </w:r>
          </w:p>
          <w:p w14:paraId="1857E664">
            <w:pPr>
              <w:pStyle w:val="4"/>
              <w:numPr>
                <w:ilvl w:val="2"/>
                <w:numId w:val="1"/>
              </w:numPr>
              <w:bidi w:val="0"/>
              <w:ind w:left="720" w:leftChars="0" w:hanging="720" w:firstLineChars="0"/>
              <w:rPr>
                <w:rFonts w:hint="eastAsia" w:eastAsia="宋体"/>
                <w:color w:val="auto"/>
                <w:highlight w:val="none"/>
              </w:rPr>
            </w:pPr>
            <w:r>
              <w:rPr>
                <w:rFonts w:hint="eastAsia" w:eastAsia="宋体"/>
                <w:color w:val="auto"/>
                <w:highlight w:val="none"/>
              </w:rPr>
              <w:t>噪声污染源分析</w:t>
            </w:r>
          </w:p>
          <w:p w14:paraId="616F41A0">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default" w:ascii="Times New Roman" w:hAnsi="Times New Roman" w:eastAsia="宋体" w:cs="宋体"/>
                <w:color w:val="auto"/>
                <w:kern w:val="0"/>
                <w:sz w:val="24"/>
                <w:szCs w:val="20"/>
                <w:highlight w:val="none"/>
                <w:lang w:val="zh-CN" w:eastAsia="zh-CN" w:bidi="ar"/>
              </w:rPr>
            </w:pPr>
            <w:r>
              <w:rPr>
                <w:rFonts w:hint="eastAsia" w:ascii="Times New Roman" w:hAnsi="Times New Roman" w:eastAsia="宋体" w:cs="宋体"/>
                <w:color w:val="auto"/>
                <w:kern w:val="0"/>
                <w:sz w:val="24"/>
                <w:szCs w:val="20"/>
                <w:highlight w:val="none"/>
                <w:lang w:val="zh-CN" w:eastAsia="zh-CN" w:bidi="ar"/>
              </w:rPr>
              <w:t>本项目噪声源主要为风机等设备运行产生的噪声，其噪声值在65～80dB</w:t>
            </w:r>
            <w:r>
              <w:rPr>
                <w:rFonts w:hint="eastAsia" w:cs="宋体"/>
                <w:color w:val="auto"/>
                <w:kern w:val="0"/>
                <w:sz w:val="24"/>
                <w:szCs w:val="20"/>
                <w:highlight w:val="none"/>
                <w:lang w:val="zh-CN" w:eastAsia="zh-CN" w:bidi="ar"/>
              </w:rPr>
              <w:t>（</w:t>
            </w:r>
            <w:r>
              <w:rPr>
                <w:rFonts w:hint="eastAsia" w:ascii="Times New Roman" w:hAnsi="Times New Roman" w:eastAsia="宋体" w:cs="宋体"/>
                <w:color w:val="auto"/>
                <w:kern w:val="0"/>
                <w:sz w:val="24"/>
                <w:szCs w:val="20"/>
                <w:highlight w:val="none"/>
                <w:lang w:val="zh-CN" w:eastAsia="zh-CN" w:bidi="ar"/>
              </w:rPr>
              <w:t>A</w:t>
            </w:r>
            <w:r>
              <w:rPr>
                <w:rFonts w:hint="eastAsia" w:cs="宋体"/>
                <w:color w:val="auto"/>
                <w:kern w:val="0"/>
                <w:sz w:val="24"/>
                <w:szCs w:val="20"/>
                <w:highlight w:val="none"/>
                <w:lang w:val="zh-CN" w:eastAsia="zh-CN" w:bidi="ar"/>
              </w:rPr>
              <w:t>）</w:t>
            </w:r>
            <w:r>
              <w:rPr>
                <w:rFonts w:hint="eastAsia" w:ascii="Times New Roman" w:hAnsi="Times New Roman" w:eastAsia="宋体" w:cs="宋体"/>
                <w:color w:val="auto"/>
                <w:kern w:val="0"/>
                <w:sz w:val="24"/>
                <w:szCs w:val="20"/>
                <w:highlight w:val="none"/>
                <w:lang w:val="zh-CN" w:eastAsia="zh-CN" w:bidi="ar"/>
              </w:rPr>
              <w:t>之间。</w:t>
            </w:r>
            <w:r>
              <w:rPr>
                <w:rFonts w:hint="default" w:ascii="Times New Roman" w:hAnsi="Times New Roman" w:eastAsia="宋体" w:cs="宋体"/>
                <w:color w:val="auto"/>
                <w:kern w:val="0"/>
                <w:sz w:val="24"/>
                <w:szCs w:val="20"/>
                <w:highlight w:val="none"/>
                <w:lang w:val="zh-CN" w:eastAsia="zh-CN" w:bidi="ar"/>
              </w:rPr>
              <w:t>本项目主要设备噪声源见</w:t>
            </w:r>
            <w:r>
              <w:rPr>
                <w:rFonts w:hint="default" w:ascii="Times New Roman" w:hAnsi="Times New Roman" w:eastAsia="宋体" w:cs="宋体"/>
                <w:color w:val="auto"/>
                <w:kern w:val="0"/>
                <w:sz w:val="24"/>
                <w:szCs w:val="20"/>
                <w:highlight w:val="none"/>
                <w:lang w:val="zh-CN" w:eastAsia="zh-CN" w:bidi="ar"/>
              </w:rPr>
              <w:fldChar w:fldCharType="begin"/>
            </w:r>
            <w:r>
              <w:rPr>
                <w:color w:val="auto"/>
              </w:rPr>
              <w:instrText xml:space="preserve"> REF _Ref9211 \n \h  \* MERGEFORMAT</w:instrText>
            </w:r>
            <w:r>
              <w:rPr>
                <w:rFonts w:hint="default" w:ascii="Times New Roman" w:hAnsi="Times New Roman" w:eastAsia="宋体" w:cs="宋体"/>
                <w:color w:val="auto"/>
                <w:kern w:val="0"/>
                <w:sz w:val="24"/>
                <w:szCs w:val="20"/>
                <w:highlight w:val="none"/>
                <w:lang w:val="zh-CN" w:eastAsia="zh-CN" w:bidi="ar"/>
              </w:rPr>
              <w:fldChar w:fldCharType="separate"/>
            </w:r>
            <w:r>
              <w:rPr>
                <w:rFonts w:hint="default" w:ascii="Times New Roman" w:hAnsi="Times New Roman" w:eastAsia="宋体" w:cs="宋体"/>
                <w:color w:val="auto"/>
                <w:kern w:val="0"/>
                <w:sz w:val="24"/>
                <w:szCs w:val="20"/>
                <w:highlight w:val="none"/>
                <w:lang w:val="zh-CN" w:eastAsia="zh-CN" w:bidi="ar"/>
              </w:rPr>
              <w:t>表4.4-1</w:t>
            </w:r>
            <w:r>
              <w:rPr>
                <w:rFonts w:hint="default" w:ascii="Times New Roman" w:hAnsi="Times New Roman" w:eastAsia="宋体" w:cs="宋体"/>
                <w:color w:val="auto"/>
                <w:kern w:val="0"/>
                <w:sz w:val="24"/>
                <w:szCs w:val="20"/>
                <w:highlight w:val="none"/>
                <w:lang w:val="zh-CN" w:eastAsia="zh-CN" w:bidi="ar"/>
              </w:rPr>
              <w:fldChar w:fldCharType="end"/>
            </w:r>
            <w:r>
              <w:rPr>
                <w:rFonts w:hint="default" w:ascii="Times New Roman" w:hAnsi="Times New Roman" w:eastAsia="宋体" w:cs="宋体"/>
                <w:color w:val="auto"/>
                <w:kern w:val="0"/>
                <w:sz w:val="24"/>
                <w:szCs w:val="20"/>
                <w:highlight w:val="none"/>
                <w:lang w:val="zh-CN" w:eastAsia="zh-CN" w:bidi="ar"/>
              </w:rPr>
              <w:t>。</w:t>
            </w:r>
          </w:p>
          <w:p w14:paraId="00DDA3DA">
            <w:pPr>
              <w:pStyle w:val="44"/>
              <w:keepNext w:val="0"/>
              <w:keepLines w:val="0"/>
              <w:pageBreakBefore w:val="0"/>
              <w:widowControl w:val="0"/>
              <w:tabs>
                <w:tab w:val="left" w:pos="0"/>
                <w:tab w:val="clear" w:pos="420"/>
              </w:tabs>
              <w:kinsoku/>
              <w:wordWrap/>
              <w:overflowPunct/>
              <w:topLinePunct w:val="0"/>
              <w:autoSpaceDE w:val="0"/>
              <w:autoSpaceDN w:val="0"/>
              <w:bidi w:val="0"/>
              <w:adjustRightInd/>
              <w:snapToGrid/>
              <w:spacing w:before="157" w:beforeLines="50"/>
              <w:ind w:left="210" w:leftChars="0" w:firstLineChars="0"/>
              <w:textAlignment w:val="auto"/>
              <w:rPr>
                <w:rFonts w:hint="eastAsia" w:eastAsia="宋体"/>
                <w:color w:val="auto"/>
                <w:highlight w:val="none"/>
              </w:rPr>
            </w:pPr>
            <w:bookmarkStart w:id="46" w:name="_Toc2598"/>
            <w:bookmarkStart w:id="47" w:name="_Toc21104"/>
            <w:bookmarkStart w:id="48" w:name="_Toc15502"/>
            <w:r>
              <w:rPr>
                <w:rFonts w:ascii="宋体" w:hAnsi="宋体" w:eastAsia="宋体" w:cs="宋体"/>
                <w:color w:val="auto"/>
                <w:sz w:val="24"/>
                <w:szCs w:val="24"/>
                <w:highlight w:val="none"/>
              </w:rPr>
              <w:t>项目主要设备噪声一览表</w:t>
            </w:r>
          </w:p>
          <w:tbl>
            <w:tblPr>
              <w:tblStyle w:val="35"/>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232"/>
              <w:gridCol w:w="450"/>
              <w:gridCol w:w="1077"/>
              <w:gridCol w:w="675"/>
              <w:gridCol w:w="654"/>
              <w:gridCol w:w="674"/>
              <w:gridCol w:w="1261"/>
              <w:gridCol w:w="960"/>
              <w:gridCol w:w="1337"/>
            </w:tblGrid>
            <w:tr w14:paraId="5EEE65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dxa"/>
                  <w:vMerge w:val="restart"/>
                  <w:tcBorders>
                    <w:tl2br w:val="nil"/>
                    <w:tr2bl w:val="nil"/>
                  </w:tcBorders>
                  <w:vAlign w:val="center"/>
                </w:tcPr>
                <w:p w14:paraId="132E986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highlight w:val="none"/>
                      <w:vertAlign w:val="baseline"/>
                    </w:rPr>
                  </w:pPr>
                  <w:r>
                    <w:rPr>
                      <w:rFonts w:hint="eastAsia" w:ascii="Times New Roman" w:hAnsi="Times New Roman" w:eastAsia="宋体" w:cs="宋体"/>
                      <w:color w:val="auto"/>
                      <w:sz w:val="21"/>
                      <w:szCs w:val="21"/>
                      <w:highlight w:val="none"/>
                      <w:lang w:val="en-US" w:eastAsia="zh-CN"/>
                    </w:rPr>
                    <w:t>序</w:t>
                  </w:r>
                  <w:r>
                    <w:rPr>
                      <w:rFonts w:ascii="Times New Roman" w:hAnsi="Times New Roman" w:eastAsia="宋体" w:cs="宋体"/>
                      <w:color w:val="auto"/>
                      <w:sz w:val="21"/>
                      <w:szCs w:val="21"/>
                      <w:highlight w:val="none"/>
                    </w:rPr>
                    <w:t>号</w:t>
                  </w:r>
                </w:p>
              </w:tc>
              <w:tc>
                <w:tcPr>
                  <w:tcW w:w="1232" w:type="dxa"/>
                  <w:vMerge w:val="restart"/>
                  <w:tcBorders>
                    <w:tl2br w:val="nil"/>
                    <w:tr2bl w:val="nil"/>
                  </w:tcBorders>
                  <w:vAlign w:val="center"/>
                </w:tcPr>
                <w:p w14:paraId="57175DD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highlight w:val="none"/>
                      <w:vertAlign w:val="baseline"/>
                    </w:rPr>
                  </w:pPr>
                  <w:r>
                    <w:rPr>
                      <w:rFonts w:ascii="Times New Roman" w:hAnsi="Times New Roman" w:eastAsia="宋体" w:cs="宋体"/>
                      <w:color w:val="auto"/>
                      <w:sz w:val="21"/>
                      <w:szCs w:val="21"/>
                      <w:highlight w:val="none"/>
                    </w:rPr>
                    <w:t>设备名称</w:t>
                  </w:r>
                </w:p>
              </w:tc>
              <w:tc>
                <w:tcPr>
                  <w:tcW w:w="450" w:type="dxa"/>
                  <w:vMerge w:val="restart"/>
                  <w:tcBorders>
                    <w:tl2br w:val="nil"/>
                    <w:tr2bl w:val="nil"/>
                  </w:tcBorders>
                  <w:vAlign w:val="center"/>
                </w:tcPr>
                <w:p w14:paraId="214121A8">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highlight w:val="none"/>
                      <w:vertAlign w:val="baseline"/>
                    </w:rPr>
                  </w:pPr>
                  <w:r>
                    <w:rPr>
                      <w:rFonts w:ascii="Times New Roman" w:hAnsi="Times New Roman" w:eastAsia="宋体" w:cs="宋体"/>
                      <w:color w:val="auto"/>
                      <w:sz w:val="21"/>
                      <w:szCs w:val="21"/>
                      <w:highlight w:val="none"/>
                    </w:rPr>
                    <w:t>数量</w:t>
                  </w:r>
                </w:p>
              </w:tc>
              <w:tc>
                <w:tcPr>
                  <w:tcW w:w="1077" w:type="dxa"/>
                  <w:vMerge w:val="restart"/>
                  <w:tcBorders>
                    <w:tl2br w:val="nil"/>
                    <w:tr2bl w:val="nil"/>
                  </w:tcBorders>
                  <w:vAlign w:val="center"/>
                </w:tcPr>
                <w:p w14:paraId="52D50A6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highlight w:val="none"/>
                      <w:vertAlign w:val="baseline"/>
                    </w:rPr>
                  </w:pPr>
                  <w:r>
                    <w:rPr>
                      <w:rFonts w:ascii="Times New Roman" w:hAnsi="Times New Roman" w:eastAsia="宋体" w:cs="宋体"/>
                      <w:color w:val="auto"/>
                      <w:sz w:val="21"/>
                      <w:szCs w:val="21"/>
                      <w:highlight w:val="none"/>
                    </w:rPr>
                    <w:t>治理前声级</w:t>
                  </w:r>
                </w:p>
              </w:tc>
              <w:tc>
                <w:tcPr>
                  <w:tcW w:w="2003" w:type="dxa"/>
                  <w:gridSpan w:val="3"/>
                  <w:tcBorders>
                    <w:tl2br w:val="nil"/>
                    <w:tr2bl w:val="nil"/>
                  </w:tcBorders>
                  <w:vAlign w:val="center"/>
                </w:tcPr>
                <w:p w14:paraId="081E0D4C">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空间相对位置/m</w:t>
                  </w:r>
                </w:p>
              </w:tc>
              <w:tc>
                <w:tcPr>
                  <w:tcW w:w="1261" w:type="dxa"/>
                  <w:vMerge w:val="restart"/>
                  <w:tcBorders>
                    <w:tl2br w:val="nil"/>
                    <w:tr2bl w:val="nil"/>
                  </w:tcBorders>
                  <w:vAlign w:val="center"/>
                </w:tcPr>
                <w:p w14:paraId="7646FE59">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highlight w:val="none"/>
                      <w:vertAlign w:val="baseline"/>
                    </w:rPr>
                  </w:pPr>
                  <w:r>
                    <w:rPr>
                      <w:rFonts w:ascii="Times New Roman" w:hAnsi="Times New Roman" w:eastAsia="宋体" w:cs="宋体"/>
                      <w:color w:val="auto"/>
                      <w:sz w:val="21"/>
                      <w:szCs w:val="21"/>
                      <w:highlight w:val="none"/>
                    </w:rPr>
                    <w:t>噪声属性及性质</w:t>
                  </w:r>
                </w:p>
              </w:tc>
              <w:tc>
                <w:tcPr>
                  <w:tcW w:w="960" w:type="dxa"/>
                  <w:vMerge w:val="restart"/>
                  <w:tcBorders>
                    <w:tl2br w:val="nil"/>
                    <w:tr2bl w:val="nil"/>
                  </w:tcBorders>
                  <w:vAlign w:val="center"/>
                </w:tcPr>
                <w:p w14:paraId="3AD721F0">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highlight w:val="none"/>
                      <w:vertAlign w:val="baseline"/>
                    </w:rPr>
                  </w:pPr>
                  <w:r>
                    <w:rPr>
                      <w:rFonts w:ascii="Times New Roman" w:hAnsi="Times New Roman" w:eastAsia="宋体" w:cs="宋体"/>
                      <w:color w:val="auto"/>
                      <w:sz w:val="21"/>
                      <w:szCs w:val="21"/>
                      <w:highlight w:val="none"/>
                    </w:rPr>
                    <w:t>治理措施</w:t>
                  </w:r>
                </w:p>
              </w:tc>
              <w:tc>
                <w:tcPr>
                  <w:tcW w:w="1337" w:type="dxa"/>
                  <w:vMerge w:val="restart"/>
                  <w:tcBorders>
                    <w:tl2br w:val="nil"/>
                    <w:tr2bl w:val="nil"/>
                  </w:tcBorders>
                  <w:vAlign w:val="center"/>
                </w:tcPr>
                <w:p w14:paraId="1871252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highlight w:val="none"/>
                      <w:vertAlign w:val="baseline"/>
                    </w:rPr>
                  </w:pPr>
                  <w:r>
                    <w:rPr>
                      <w:rFonts w:ascii="Times New Roman" w:hAnsi="Times New Roman" w:eastAsia="宋体" w:cs="宋体"/>
                      <w:color w:val="auto"/>
                      <w:sz w:val="21"/>
                      <w:szCs w:val="21"/>
                      <w:highlight w:val="none"/>
                    </w:rPr>
                    <w:t>治理后</w:t>
                  </w:r>
                  <w:r>
                    <w:rPr>
                      <w:rFonts w:hint="eastAsia" w:ascii="Times New Roman" w:hAnsi="Times New Roman" w:eastAsia="宋体" w:cs="宋体"/>
                      <w:color w:val="auto"/>
                      <w:sz w:val="21"/>
                      <w:szCs w:val="21"/>
                      <w:highlight w:val="none"/>
                      <w:lang w:val="en-US" w:eastAsia="zh-CN"/>
                    </w:rPr>
                    <w:t>声</w:t>
                  </w:r>
                  <w:r>
                    <w:rPr>
                      <w:rFonts w:ascii="Times New Roman" w:hAnsi="Times New Roman" w:eastAsia="宋体" w:cs="宋体"/>
                      <w:color w:val="auto"/>
                      <w:sz w:val="21"/>
                      <w:szCs w:val="21"/>
                      <w:highlight w:val="none"/>
                    </w:rPr>
                    <w:t>级</w:t>
                  </w:r>
                </w:p>
              </w:tc>
            </w:tr>
            <w:tr w14:paraId="717DF0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dxa"/>
                  <w:vMerge w:val="continue"/>
                  <w:tcBorders>
                    <w:tl2br w:val="nil"/>
                    <w:tr2bl w:val="nil"/>
                  </w:tcBorders>
                  <w:vAlign w:val="center"/>
                </w:tcPr>
                <w:p w14:paraId="4008FACB">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olor w:val="auto"/>
                      <w:sz w:val="21"/>
                      <w:szCs w:val="21"/>
                      <w:highlight w:val="none"/>
                    </w:rPr>
                  </w:pPr>
                </w:p>
              </w:tc>
              <w:tc>
                <w:tcPr>
                  <w:tcW w:w="1232" w:type="dxa"/>
                  <w:vMerge w:val="continue"/>
                  <w:tcBorders>
                    <w:tl2br w:val="nil"/>
                    <w:tr2bl w:val="nil"/>
                  </w:tcBorders>
                  <w:vAlign w:val="center"/>
                </w:tcPr>
                <w:p w14:paraId="6D5C1384">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olor w:val="auto"/>
                      <w:sz w:val="21"/>
                      <w:szCs w:val="21"/>
                      <w:highlight w:val="none"/>
                    </w:rPr>
                  </w:pPr>
                </w:p>
              </w:tc>
              <w:tc>
                <w:tcPr>
                  <w:tcW w:w="450" w:type="dxa"/>
                  <w:vMerge w:val="continue"/>
                  <w:tcBorders>
                    <w:tl2br w:val="nil"/>
                    <w:tr2bl w:val="nil"/>
                  </w:tcBorders>
                  <w:vAlign w:val="center"/>
                </w:tcPr>
                <w:p w14:paraId="1DAE4CB3">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olor w:val="auto"/>
                      <w:sz w:val="21"/>
                      <w:szCs w:val="21"/>
                      <w:highlight w:val="none"/>
                    </w:rPr>
                  </w:pPr>
                </w:p>
              </w:tc>
              <w:tc>
                <w:tcPr>
                  <w:tcW w:w="1077" w:type="dxa"/>
                  <w:vMerge w:val="continue"/>
                  <w:tcBorders>
                    <w:tl2br w:val="nil"/>
                    <w:tr2bl w:val="nil"/>
                  </w:tcBorders>
                  <w:vAlign w:val="center"/>
                </w:tcPr>
                <w:p w14:paraId="4B36D12F">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宋体"/>
                      <w:color w:val="auto"/>
                      <w:sz w:val="21"/>
                      <w:szCs w:val="21"/>
                      <w:highlight w:val="none"/>
                    </w:rPr>
                  </w:pPr>
                </w:p>
              </w:tc>
              <w:tc>
                <w:tcPr>
                  <w:tcW w:w="675" w:type="dxa"/>
                  <w:tcBorders>
                    <w:tl2br w:val="nil"/>
                    <w:tr2bl w:val="nil"/>
                  </w:tcBorders>
                  <w:vAlign w:val="center"/>
                </w:tcPr>
                <w:p w14:paraId="4A10BCA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x</w:t>
                  </w:r>
                </w:p>
              </w:tc>
              <w:tc>
                <w:tcPr>
                  <w:tcW w:w="654" w:type="dxa"/>
                  <w:tcBorders>
                    <w:tl2br w:val="nil"/>
                    <w:tr2bl w:val="nil"/>
                  </w:tcBorders>
                  <w:vAlign w:val="center"/>
                </w:tcPr>
                <w:p w14:paraId="5152083A">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y</w:t>
                  </w:r>
                </w:p>
              </w:tc>
              <w:tc>
                <w:tcPr>
                  <w:tcW w:w="674" w:type="dxa"/>
                  <w:tcBorders>
                    <w:tl2br w:val="nil"/>
                    <w:tr2bl w:val="nil"/>
                  </w:tcBorders>
                  <w:vAlign w:val="center"/>
                </w:tcPr>
                <w:p w14:paraId="43B8DAD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z</w:t>
                  </w:r>
                </w:p>
              </w:tc>
              <w:tc>
                <w:tcPr>
                  <w:tcW w:w="1261" w:type="dxa"/>
                  <w:vMerge w:val="continue"/>
                  <w:tcBorders>
                    <w:tl2br w:val="nil"/>
                    <w:tr2bl w:val="nil"/>
                  </w:tcBorders>
                  <w:vAlign w:val="center"/>
                </w:tcPr>
                <w:p w14:paraId="10D7E0F5">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宋体"/>
                      <w:color w:val="auto"/>
                      <w:sz w:val="21"/>
                      <w:szCs w:val="21"/>
                      <w:highlight w:val="none"/>
                      <w:lang w:val="en-US" w:eastAsia="zh-CN"/>
                    </w:rPr>
                  </w:pPr>
                </w:p>
              </w:tc>
              <w:tc>
                <w:tcPr>
                  <w:tcW w:w="960" w:type="dxa"/>
                  <w:vMerge w:val="continue"/>
                  <w:tcBorders>
                    <w:tl2br w:val="nil"/>
                    <w:tr2bl w:val="nil"/>
                  </w:tcBorders>
                  <w:vAlign w:val="center"/>
                </w:tcPr>
                <w:p w14:paraId="322385D3">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宋体"/>
                      <w:color w:val="auto"/>
                      <w:sz w:val="21"/>
                      <w:szCs w:val="21"/>
                      <w:highlight w:val="none"/>
                      <w:lang w:val="en-US" w:eastAsia="zh-CN"/>
                    </w:rPr>
                  </w:pPr>
                </w:p>
              </w:tc>
              <w:tc>
                <w:tcPr>
                  <w:tcW w:w="1337" w:type="dxa"/>
                  <w:vMerge w:val="continue"/>
                  <w:tcBorders>
                    <w:tl2br w:val="nil"/>
                    <w:tr2bl w:val="nil"/>
                  </w:tcBorders>
                  <w:vAlign w:val="center"/>
                </w:tcPr>
                <w:p w14:paraId="23A41587">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s="宋体"/>
                      <w:color w:val="auto"/>
                      <w:sz w:val="21"/>
                      <w:szCs w:val="21"/>
                      <w:highlight w:val="none"/>
                      <w:lang w:val="en-US" w:eastAsia="zh-CN"/>
                    </w:rPr>
                  </w:pPr>
                </w:p>
              </w:tc>
            </w:tr>
            <w:tr w14:paraId="48BC30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dxa"/>
                  <w:tcBorders>
                    <w:tl2br w:val="nil"/>
                    <w:tr2bl w:val="nil"/>
                  </w:tcBorders>
                  <w:vAlign w:val="center"/>
                </w:tcPr>
                <w:p w14:paraId="63B20733">
                  <w:pPr>
                    <w:keepNext w:val="0"/>
                    <w:keepLines w:val="0"/>
                    <w:pageBreakBefore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highlight w:val="none"/>
                      <w:vertAlign w:val="baseline"/>
                    </w:rPr>
                  </w:pPr>
                  <w:r>
                    <w:rPr>
                      <w:rFonts w:hint="eastAsia" w:ascii="Times New Roman" w:hAnsi="Times New Roman" w:eastAsia="宋体" w:cs="Times New Roman"/>
                      <w:bCs/>
                      <w:color w:val="auto"/>
                      <w:sz w:val="21"/>
                      <w:szCs w:val="21"/>
                      <w:highlight w:val="none"/>
                      <w:lang w:val="en-US" w:eastAsia="zh-CN"/>
                    </w:rPr>
                    <w:t>1</w:t>
                  </w:r>
                </w:p>
              </w:tc>
              <w:tc>
                <w:tcPr>
                  <w:tcW w:w="1232" w:type="dxa"/>
                  <w:tcBorders>
                    <w:tl2br w:val="nil"/>
                    <w:tr2bl w:val="nil"/>
                  </w:tcBorders>
                  <w:shd w:val="clear" w:color="auto" w:fill="auto"/>
                  <w:vAlign w:val="center"/>
                </w:tcPr>
                <w:p w14:paraId="69D86AE9">
                  <w:pPr>
                    <w:pStyle w:val="115"/>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cs="p&gt;:#"/>
                      <w:color w:val="auto"/>
                      <w:kern w:val="0"/>
                      <w:sz w:val="21"/>
                      <w:szCs w:val="24"/>
                      <w:highlight w:val="none"/>
                      <w:lang w:val="en-US" w:eastAsia="zh-CN"/>
                    </w:rPr>
                    <w:t>分体式空调主机</w:t>
                  </w:r>
                </w:p>
              </w:tc>
              <w:tc>
                <w:tcPr>
                  <w:tcW w:w="450" w:type="dxa"/>
                  <w:tcBorders>
                    <w:tl2br w:val="nil"/>
                    <w:tr2bl w:val="nil"/>
                  </w:tcBorders>
                  <w:vAlign w:val="center"/>
                </w:tcPr>
                <w:p w14:paraId="2C08CF8C">
                  <w:pPr>
                    <w:pStyle w:val="115"/>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olor w:val="auto"/>
                      <w:sz w:val="21"/>
                      <w:szCs w:val="21"/>
                      <w:highlight w:val="none"/>
                      <w:vertAlign w:val="baseline"/>
                      <w:lang w:val="en-US"/>
                    </w:rPr>
                  </w:pPr>
                  <w:r>
                    <w:rPr>
                      <w:rFonts w:hint="eastAsia" w:ascii="Times New Roman" w:hAnsi="Times New Roman" w:eastAsia="宋体" w:cs="Times New Roman"/>
                      <w:color w:val="auto"/>
                      <w:sz w:val="21"/>
                      <w:szCs w:val="21"/>
                      <w:highlight w:val="none"/>
                      <w:lang w:val="en-US" w:eastAsia="zh-CN"/>
                    </w:rPr>
                    <w:t>1</w:t>
                  </w:r>
                  <w:r>
                    <w:rPr>
                      <w:rFonts w:hint="eastAsia" w:ascii="Times New Roman" w:hAnsi="Times New Roman" w:cs="Times New Roman"/>
                      <w:color w:val="auto"/>
                      <w:sz w:val="21"/>
                      <w:szCs w:val="21"/>
                      <w:highlight w:val="none"/>
                      <w:lang w:val="en-US" w:eastAsia="zh-CN"/>
                    </w:rPr>
                    <w:t>.</w:t>
                  </w:r>
                </w:p>
              </w:tc>
              <w:tc>
                <w:tcPr>
                  <w:tcW w:w="1077" w:type="dxa"/>
                  <w:tcBorders>
                    <w:tl2br w:val="nil"/>
                    <w:tr2bl w:val="nil"/>
                  </w:tcBorders>
                  <w:vAlign w:val="center"/>
                </w:tcPr>
                <w:p w14:paraId="3ABB9A71">
                  <w:pPr>
                    <w:pStyle w:val="48"/>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szCs w:val="21"/>
                      <w:highlight w:val="none"/>
                      <w:vertAlign w:val="baseline"/>
                      <w:lang w:val="en-US" w:eastAsia="zh-CN"/>
                    </w:rPr>
                  </w:pPr>
                  <w:r>
                    <w:rPr>
                      <w:rFonts w:hint="eastAsia" w:cs="宋体"/>
                      <w:color w:val="auto"/>
                      <w:sz w:val="21"/>
                      <w:szCs w:val="21"/>
                      <w:highlight w:val="none"/>
                      <w:lang w:val="en-US" w:eastAsia="zh-CN"/>
                    </w:rPr>
                    <w:t>7</w:t>
                  </w:r>
                  <w:r>
                    <w:rPr>
                      <w:rFonts w:hint="eastAsia" w:ascii="Times New Roman" w:hAnsi="Times New Roman" w:eastAsia="宋体" w:cs="宋体"/>
                      <w:color w:val="auto"/>
                      <w:sz w:val="21"/>
                      <w:szCs w:val="21"/>
                      <w:highlight w:val="none"/>
                      <w:lang w:val="en-US" w:eastAsia="zh-CN"/>
                    </w:rPr>
                    <w:t>5</w:t>
                  </w:r>
                  <w:r>
                    <w:rPr>
                      <w:rFonts w:ascii="Times New Roman" w:hAnsi="Times New Roman" w:eastAsia="宋体" w:cs="宋体"/>
                      <w:color w:val="auto"/>
                      <w:sz w:val="21"/>
                      <w:szCs w:val="21"/>
                      <w:highlight w:val="none"/>
                    </w:rPr>
                    <w:t>-</w:t>
                  </w:r>
                  <w:r>
                    <w:rPr>
                      <w:rFonts w:hint="eastAsia" w:cs="宋体"/>
                      <w:color w:val="auto"/>
                      <w:sz w:val="21"/>
                      <w:szCs w:val="21"/>
                      <w:highlight w:val="none"/>
                      <w:lang w:val="en-US" w:eastAsia="zh-CN"/>
                    </w:rPr>
                    <w:t>80</w:t>
                  </w:r>
                </w:p>
              </w:tc>
              <w:tc>
                <w:tcPr>
                  <w:tcW w:w="675" w:type="dxa"/>
                  <w:tcBorders>
                    <w:tl2br w:val="nil"/>
                    <w:tr2bl w:val="nil"/>
                  </w:tcBorders>
                  <w:vAlign w:val="center"/>
                </w:tcPr>
                <w:p w14:paraId="74C23EF6">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szCs w:val="21"/>
                      <w:highlight w:val="none"/>
                      <w:vertAlign w:val="baseline"/>
                      <w:lang w:val="en-US" w:eastAsia="zh-CN"/>
                    </w:rPr>
                  </w:pPr>
                  <w:r>
                    <w:rPr>
                      <w:rFonts w:hint="eastAsia" w:cs="宋体"/>
                      <w:color w:val="auto"/>
                      <w:sz w:val="21"/>
                      <w:szCs w:val="21"/>
                      <w:highlight w:val="none"/>
                      <w:lang w:val="en-US" w:eastAsia="zh-CN"/>
                    </w:rPr>
                    <w:t>23</w:t>
                  </w:r>
                </w:p>
              </w:tc>
              <w:tc>
                <w:tcPr>
                  <w:tcW w:w="654" w:type="dxa"/>
                  <w:tcBorders>
                    <w:tl2br w:val="nil"/>
                    <w:tr2bl w:val="nil"/>
                  </w:tcBorders>
                  <w:vAlign w:val="center"/>
                </w:tcPr>
                <w:p w14:paraId="63C6D48F">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szCs w:val="21"/>
                      <w:highlight w:val="none"/>
                      <w:vertAlign w:val="baseline"/>
                      <w:lang w:val="en-US" w:eastAsia="zh-CN"/>
                    </w:rPr>
                  </w:pPr>
                  <w:r>
                    <w:rPr>
                      <w:rFonts w:hint="eastAsia" w:cs="宋体"/>
                      <w:color w:val="auto"/>
                      <w:sz w:val="21"/>
                      <w:szCs w:val="21"/>
                      <w:highlight w:val="none"/>
                      <w:lang w:val="en-US" w:eastAsia="zh-CN"/>
                    </w:rPr>
                    <w:t>16</w:t>
                  </w:r>
                </w:p>
              </w:tc>
              <w:tc>
                <w:tcPr>
                  <w:tcW w:w="674" w:type="dxa"/>
                  <w:tcBorders>
                    <w:tl2br w:val="nil"/>
                    <w:tr2bl w:val="nil"/>
                  </w:tcBorders>
                  <w:vAlign w:val="center"/>
                </w:tcPr>
                <w:p w14:paraId="4BF2ECE2">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szCs w:val="21"/>
                      <w:highlight w:val="none"/>
                      <w:vertAlign w:val="baseline"/>
                      <w:lang w:val="en-US" w:eastAsia="zh-CN"/>
                    </w:rPr>
                  </w:pPr>
                  <w:r>
                    <w:rPr>
                      <w:rFonts w:hint="eastAsia" w:cs="宋体"/>
                      <w:color w:val="auto"/>
                      <w:sz w:val="21"/>
                      <w:szCs w:val="21"/>
                      <w:highlight w:val="none"/>
                      <w:lang w:val="en-US" w:eastAsia="zh-CN"/>
                    </w:rPr>
                    <w:t>25</w:t>
                  </w:r>
                </w:p>
              </w:tc>
              <w:tc>
                <w:tcPr>
                  <w:tcW w:w="1261" w:type="dxa"/>
                  <w:tcBorders>
                    <w:tl2br w:val="nil"/>
                    <w:tr2bl w:val="nil"/>
                  </w:tcBorders>
                  <w:vAlign w:val="center"/>
                </w:tcPr>
                <w:p w14:paraId="4693FFFE">
                  <w:pPr>
                    <w:pStyle w:val="48"/>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olor w:val="auto"/>
                      <w:sz w:val="21"/>
                      <w:szCs w:val="21"/>
                      <w:highlight w:val="none"/>
                      <w:vertAlign w:val="baseline"/>
                      <w:lang w:val="en-US" w:eastAsia="zh-CN"/>
                    </w:rPr>
                    <w:t>点源</w:t>
                  </w:r>
                </w:p>
              </w:tc>
              <w:tc>
                <w:tcPr>
                  <w:tcW w:w="960" w:type="dxa"/>
                  <w:vMerge w:val="restart"/>
                  <w:tcBorders>
                    <w:tl2br w:val="nil"/>
                    <w:tr2bl w:val="nil"/>
                  </w:tcBorders>
                  <w:vAlign w:val="center"/>
                </w:tcPr>
                <w:p w14:paraId="5FE617B0">
                  <w:pPr>
                    <w:pStyle w:val="48"/>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highlight w:val="none"/>
                      <w:vertAlign w:val="baseline"/>
                    </w:rPr>
                  </w:pPr>
                  <w:r>
                    <w:rPr>
                      <w:rFonts w:ascii="Times New Roman" w:hAnsi="Times New Roman" w:eastAsia="宋体" w:cs="宋体"/>
                      <w:color w:val="auto"/>
                      <w:sz w:val="21"/>
                      <w:szCs w:val="21"/>
                      <w:highlight w:val="none"/>
                    </w:rPr>
                    <w:t>高噪声设备基础安装减振，进</w:t>
                  </w:r>
                  <w:r>
                    <w:rPr>
                      <w:rFonts w:hint="eastAsia" w:cs="宋体"/>
                      <w:color w:val="auto"/>
                      <w:sz w:val="21"/>
                      <w:szCs w:val="21"/>
                      <w:highlight w:val="none"/>
                      <w:lang w:eastAsia="zh-CN"/>
                    </w:rPr>
                    <w:t>行安</w:t>
                  </w:r>
                  <w:r>
                    <w:rPr>
                      <w:rFonts w:ascii="Times New Roman" w:hAnsi="Times New Roman" w:eastAsia="宋体" w:cs="宋体"/>
                      <w:color w:val="auto"/>
                      <w:sz w:val="21"/>
                      <w:szCs w:val="21"/>
                      <w:highlight w:val="none"/>
                    </w:rPr>
                    <w:t>装消声器等降噪措施</w:t>
                  </w:r>
                </w:p>
              </w:tc>
              <w:tc>
                <w:tcPr>
                  <w:tcW w:w="1337" w:type="dxa"/>
                  <w:vMerge w:val="restart"/>
                  <w:tcBorders>
                    <w:tl2br w:val="nil"/>
                    <w:tr2bl w:val="nil"/>
                  </w:tcBorders>
                  <w:vAlign w:val="center"/>
                </w:tcPr>
                <w:p w14:paraId="041A214E">
                  <w:pPr>
                    <w:pStyle w:val="48"/>
                    <w:keepNext w:val="0"/>
                    <w:keepLines w:val="0"/>
                    <w:pageBreakBefore w:val="0"/>
                    <w:widowControl w:val="0"/>
                    <w:kinsoku/>
                    <w:wordWrap/>
                    <w:overflowPunct/>
                    <w:topLinePunct w:val="0"/>
                    <w:autoSpaceDE/>
                    <w:autoSpaceDN/>
                    <w:bidi w:val="0"/>
                    <w:adjustRightInd/>
                    <w:snapToGrid/>
                    <w:jc w:val="both"/>
                    <w:textAlignment w:val="auto"/>
                    <w:rPr>
                      <w:rFonts w:hint="eastAsia" w:ascii="Times New Roman" w:hAnsi="Times New Roman" w:eastAsia="宋体"/>
                      <w:color w:val="auto"/>
                      <w:sz w:val="21"/>
                      <w:szCs w:val="21"/>
                      <w:highlight w:val="none"/>
                      <w:vertAlign w:val="baseline"/>
                    </w:rPr>
                  </w:pPr>
                  <w:r>
                    <w:rPr>
                      <w:rFonts w:hint="eastAsia" w:ascii="Times New Roman" w:hAnsi="Times New Roman" w:eastAsia="宋体"/>
                      <w:color w:val="auto"/>
                      <w:sz w:val="21"/>
                      <w:szCs w:val="21"/>
                      <w:highlight w:val="none"/>
                      <w:vertAlign w:val="baseline"/>
                    </w:rPr>
                    <w:t>≤7</w:t>
                  </w:r>
                  <w:r>
                    <w:rPr>
                      <w:rFonts w:hint="eastAsia" w:ascii="Times New Roman" w:hAnsi="Times New Roman" w:eastAsia="宋体"/>
                      <w:color w:val="auto"/>
                      <w:sz w:val="21"/>
                      <w:szCs w:val="21"/>
                      <w:highlight w:val="none"/>
                      <w:vertAlign w:val="baseline"/>
                      <w:lang w:val="en-US" w:eastAsia="zh-CN"/>
                    </w:rPr>
                    <w:t>0</w:t>
                  </w:r>
                  <w:r>
                    <w:rPr>
                      <w:rFonts w:hint="eastAsia" w:ascii="Times New Roman" w:hAnsi="Times New Roman" w:eastAsia="宋体"/>
                      <w:color w:val="auto"/>
                      <w:sz w:val="21"/>
                      <w:szCs w:val="21"/>
                      <w:highlight w:val="none"/>
                      <w:vertAlign w:val="baseline"/>
                    </w:rPr>
                    <w:t>dB(A)</w:t>
                  </w:r>
                </w:p>
              </w:tc>
            </w:tr>
            <w:tr w14:paraId="340BF8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dxa"/>
                  <w:tcBorders>
                    <w:tl2br w:val="nil"/>
                    <w:tr2bl w:val="nil"/>
                  </w:tcBorders>
                  <w:vAlign w:val="center"/>
                </w:tcPr>
                <w:p w14:paraId="515EF950">
                  <w:pPr>
                    <w:keepNext w:val="0"/>
                    <w:keepLines w:val="0"/>
                    <w:pageBreakBefore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highlight w:val="none"/>
                      <w:vertAlign w:val="baseline"/>
                    </w:rPr>
                  </w:pPr>
                  <w:r>
                    <w:rPr>
                      <w:rFonts w:hint="eastAsia" w:ascii="Times New Roman" w:hAnsi="Times New Roman" w:eastAsia="宋体" w:cs="Times New Roman"/>
                      <w:bCs/>
                      <w:color w:val="auto"/>
                      <w:sz w:val="21"/>
                      <w:szCs w:val="21"/>
                      <w:highlight w:val="none"/>
                      <w:lang w:val="en-US" w:eastAsia="zh-CN"/>
                    </w:rPr>
                    <w:t>2</w:t>
                  </w:r>
                </w:p>
              </w:tc>
              <w:tc>
                <w:tcPr>
                  <w:tcW w:w="1232" w:type="dxa"/>
                  <w:tcBorders>
                    <w:tl2br w:val="nil"/>
                    <w:tr2bl w:val="nil"/>
                  </w:tcBorders>
                  <w:shd w:val="clear" w:color="auto" w:fill="auto"/>
                  <w:vAlign w:val="center"/>
                </w:tcPr>
                <w:p w14:paraId="0EB33016">
                  <w:pPr>
                    <w:pStyle w:val="115"/>
                    <w:keepNext w:val="0"/>
                    <w:keepLines w:val="0"/>
                    <w:pageBreakBefore w:val="0"/>
                    <w:kinsoku/>
                    <w:wordWrap/>
                    <w:overflowPunct/>
                    <w:topLinePunct w:val="0"/>
                    <w:autoSpaceDE/>
                    <w:autoSpaceDN/>
                    <w:bidi w:val="0"/>
                    <w:adjustRightInd/>
                    <w:snapToGrid/>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cs="p&gt;:#"/>
                      <w:color w:val="auto"/>
                      <w:kern w:val="0"/>
                      <w:sz w:val="21"/>
                      <w:szCs w:val="24"/>
                      <w:highlight w:val="none"/>
                      <w:lang w:val="en-US" w:eastAsia="zh-CN"/>
                    </w:rPr>
                    <w:t>风机</w:t>
                  </w:r>
                </w:p>
              </w:tc>
              <w:tc>
                <w:tcPr>
                  <w:tcW w:w="450" w:type="dxa"/>
                  <w:tcBorders>
                    <w:tl2br w:val="nil"/>
                    <w:tr2bl w:val="nil"/>
                  </w:tcBorders>
                  <w:vAlign w:val="center"/>
                </w:tcPr>
                <w:p w14:paraId="2F48A830">
                  <w:pPr>
                    <w:pStyle w:val="115"/>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olor w:val="auto"/>
                      <w:sz w:val="21"/>
                      <w:szCs w:val="21"/>
                      <w:highlight w:val="none"/>
                      <w:vertAlign w:val="baseline"/>
                    </w:rPr>
                  </w:pPr>
                  <w:r>
                    <w:rPr>
                      <w:rFonts w:hint="eastAsia" w:ascii="Times New Roman" w:hAnsi="Times New Roman" w:eastAsia="宋体" w:cs="Times New Roman"/>
                      <w:color w:val="auto"/>
                      <w:spacing w:val="-2"/>
                      <w:sz w:val="21"/>
                      <w:szCs w:val="21"/>
                      <w:highlight w:val="none"/>
                      <w:lang w:val="en-US" w:eastAsia="zh-CN"/>
                    </w:rPr>
                    <w:t>1</w:t>
                  </w:r>
                </w:p>
              </w:tc>
              <w:tc>
                <w:tcPr>
                  <w:tcW w:w="1077" w:type="dxa"/>
                  <w:tcBorders>
                    <w:tl2br w:val="nil"/>
                    <w:tr2bl w:val="nil"/>
                  </w:tcBorders>
                  <w:vAlign w:val="center"/>
                </w:tcPr>
                <w:p w14:paraId="28520022">
                  <w:pPr>
                    <w:pStyle w:val="48"/>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szCs w:val="21"/>
                      <w:highlight w:val="none"/>
                      <w:vertAlign w:val="baseline"/>
                      <w:lang w:val="en-US"/>
                    </w:rPr>
                  </w:pPr>
                  <w:r>
                    <w:rPr>
                      <w:rFonts w:hint="eastAsia" w:cs="宋体"/>
                      <w:color w:val="auto"/>
                      <w:sz w:val="21"/>
                      <w:szCs w:val="21"/>
                      <w:highlight w:val="none"/>
                      <w:lang w:val="en-US" w:eastAsia="zh-CN"/>
                    </w:rPr>
                    <w:t>7</w:t>
                  </w:r>
                  <w:r>
                    <w:rPr>
                      <w:rFonts w:hint="eastAsia" w:ascii="Times New Roman" w:hAnsi="Times New Roman" w:eastAsia="宋体" w:cs="宋体"/>
                      <w:color w:val="auto"/>
                      <w:sz w:val="21"/>
                      <w:szCs w:val="21"/>
                      <w:highlight w:val="none"/>
                      <w:lang w:val="en-US" w:eastAsia="zh-CN"/>
                    </w:rPr>
                    <w:t>5</w:t>
                  </w:r>
                  <w:r>
                    <w:rPr>
                      <w:rFonts w:ascii="Times New Roman" w:hAnsi="Times New Roman" w:eastAsia="宋体" w:cs="宋体"/>
                      <w:color w:val="auto"/>
                      <w:sz w:val="21"/>
                      <w:szCs w:val="21"/>
                      <w:highlight w:val="none"/>
                    </w:rPr>
                    <w:t>-</w:t>
                  </w:r>
                  <w:r>
                    <w:rPr>
                      <w:rFonts w:hint="eastAsia" w:cs="宋体"/>
                      <w:color w:val="auto"/>
                      <w:sz w:val="21"/>
                      <w:szCs w:val="21"/>
                      <w:highlight w:val="none"/>
                      <w:lang w:val="en-US" w:eastAsia="zh-CN"/>
                    </w:rPr>
                    <w:t>80</w:t>
                  </w:r>
                </w:p>
              </w:tc>
              <w:tc>
                <w:tcPr>
                  <w:tcW w:w="675" w:type="dxa"/>
                  <w:tcBorders>
                    <w:tl2br w:val="nil"/>
                    <w:tr2bl w:val="nil"/>
                  </w:tcBorders>
                  <w:vAlign w:val="center"/>
                </w:tcPr>
                <w:p w14:paraId="0AC3E623">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highlight w:val="none"/>
                      <w:vertAlign w:val="baseline"/>
                      <w:lang w:val="en-US" w:eastAsia="zh-CN"/>
                    </w:rPr>
                  </w:pPr>
                  <w:r>
                    <w:rPr>
                      <w:rFonts w:ascii="Times New Roman" w:hAnsi="Times New Roman" w:eastAsia="宋体" w:cs="宋体"/>
                      <w:color w:val="auto"/>
                      <w:sz w:val="21"/>
                      <w:szCs w:val="21"/>
                      <w:highlight w:val="none"/>
                    </w:rPr>
                    <w:t>8.0</w:t>
                  </w:r>
                </w:p>
              </w:tc>
              <w:tc>
                <w:tcPr>
                  <w:tcW w:w="654" w:type="dxa"/>
                  <w:tcBorders>
                    <w:tl2br w:val="nil"/>
                    <w:tr2bl w:val="nil"/>
                  </w:tcBorders>
                  <w:vAlign w:val="center"/>
                </w:tcPr>
                <w:p w14:paraId="24B61FD6">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highlight w:val="none"/>
                      <w:vertAlign w:val="baseline"/>
                      <w:lang w:val="en-US" w:eastAsia="zh-CN"/>
                    </w:rPr>
                  </w:pPr>
                  <w:r>
                    <w:rPr>
                      <w:rFonts w:hint="eastAsia" w:ascii="Times New Roman" w:hAnsi="Times New Roman" w:eastAsia="宋体" w:cs="宋体"/>
                      <w:color w:val="auto"/>
                      <w:sz w:val="21"/>
                      <w:szCs w:val="21"/>
                      <w:highlight w:val="none"/>
                      <w:lang w:val="en-US" w:eastAsia="zh-CN"/>
                    </w:rPr>
                    <w:t>9</w:t>
                  </w:r>
                  <w:r>
                    <w:rPr>
                      <w:rFonts w:ascii="Times New Roman" w:hAnsi="Times New Roman" w:eastAsia="宋体" w:cs="宋体"/>
                      <w:color w:val="auto"/>
                      <w:sz w:val="21"/>
                      <w:szCs w:val="21"/>
                      <w:highlight w:val="none"/>
                    </w:rPr>
                    <w:t>.0</w:t>
                  </w:r>
                </w:p>
              </w:tc>
              <w:tc>
                <w:tcPr>
                  <w:tcW w:w="674" w:type="dxa"/>
                  <w:tcBorders>
                    <w:tl2br w:val="nil"/>
                    <w:tr2bl w:val="nil"/>
                  </w:tcBorders>
                  <w:vAlign w:val="center"/>
                </w:tcPr>
                <w:p w14:paraId="4F7E0925">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szCs w:val="21"/>
                      <w:highlight w:val="none"/>
                      <w:vertAlign w:val="baseline"/>
                      <w:lang w:val="en-US" w:eastAsia="zh-CN"/>
                    </w:rPr>
                  </w:pPr>
                  <w:r>
                    <w:rPr>
                      <w:rFonts w:hint="eastAsia" w:cs="宋体"/>
                      <w:color w:val="auto"/>
                      <w:sz w:val="21"/>
                      <w:szCs w:val="21"/>
                      <w:highlight w:val="none"/>
                      <w:lang w:val="en-US" w:eastAsia="zh-CN"/>
                    </w:rPr>
                    <w:t>10</w:t>
                  </w:r>
                </w:p>
              </w:tc>
              <w:tc>
                <w:tcPr>
                  <w:tcW w:w="1261" w:type="dxa"/>
                  <w:tcBorders>
                    <w:tl2br w:val="nil"/>
                    <w:tr2bl w:val="nil"/>
                  </w:tcBorders>
                  <w:vAlign w:val="center"/>
                </w:tcPr>
                <w:p w14:paraId="2BE2536D">
                  <w:pPr>
                    <w:pStyle w:val="48"/>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highlight w:val="none"/>
                      <w:vertAlign w:val="baseline"/>
                    </w:rPr>
                  </w:pPr>
                  <w:r>
                    <w:rPr>
                      <w:rFonts w:hint="eastAsia" w:ascii="Times New Roman" w:hAnsi="Times New Roman" w:eastAsia="宋体"/>
                      <w:color w:val="auto"/>
                      <w:sz w:val="21"/>
                      <w:szCs w:val="21"/>
                      <w:highlight w:val="none"/>
                      <w:vertAlign w:val="baseline"/>
                      <w:lang w:val="en-US" w:eastAsia="zh-CN"/>
                    </w:rPr>
                    <w:t>点源</w:t>
                  </w:r>
                </w:p>
              </w:tc>
              <w:tc>
                <w:tcPr>
                  <w:tcW w:w="960" w:type="dxa"/>
                  <w:vMerge w:val="continue"/>
                  <w:tcBorders>
                    <w:tl2br w:val="nil"/>
                    <w:tr2bl w:val="nil"/>
                  </w:tcBorders>
                  <w:vAlign w:val="center"/>
                </w:tcPr>
                <w:p w14:paraId="36888E8E">
                  <w:pPr>
                    <w:pStyle w:val="48"/>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highlight w:val="none"/>
                      <w:vertAlign w:val="baseline"/>
                    </w:rPr>
                  </w:pPr>
                </w:p>
              </w:tc>
              <w:tc>
                <w:tcPr>
                  <w:tcW w:w="1337" w:type="dxa"/>
                  <w:vMerge w:val="continue"/>
                  <w:tcBorders>
                    <w:tl2br w:val="nil"/>
                    <w:tr2bl w:val="nil"/>
                  </w:tcBorders>
                  <w:vAlign w:val="center"/>
                </w:tcPr>
                <w:p w14:paraId="5890FE17">
                  <w:pPr>
                    <w:pStyle w:val="48"/>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highlight w:val="none"/>
                      <w:vertAlign w:val="baseline"/>
                    </w:rPr>
                  </w:pPr>
                </w:p>
              </w:tc>
            </w:tr>
            <w:tr w14:paraId="21300E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26" w:type="dxa"/>
                  <w:tcBorders>
                    <w:tl2br w:val="nil"/>
                    <w:tr2bl w:val="nil"/>
                  </w:tcBorders>
                  <w:vAlign w:val="center"/>
                </w:tcPr>
                <w:p w14:paraId="5C3CDCBF">
                  <w:pPr>
                    <w:keepNext w:val="0"/>
                    <w:keepLines w:val="0"/>
                    <w:pageBreakBefore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highlight w:val="none"/>
                      <w:vertAlign w:val="baseline"/>
                    </w:rPr>
                  </w:pPr>
                  <w:r>
                    <w:rPr>
                      <w:rFonts w:hint="eastAsia" w:ascii="Times New Roman" w:hAnsi="Times New Roman" w:eastAsia="宋体" w:cs="Times New Roman"/>
                      <w:bCs/>
                      <w:color w:val="auto"/>
                      <w:sz w:val="21"/>
                      <w:szCs w:val="21"/>
                      <w:highlight w:val="none"/>
                      <w:lang w:val="en-US" w:eastAsia="zh-CN"/>
                    </w:rPr>
                    <w:t>3</w:t>
                  </w:r>
                </w:p>
              </w:tc>
              <w:tc>
                <w:tcPr>
                  <w:tcW w:w="1232" w:type="dxa"/>
                  <w:tcBorders>
                    <w:tl2br w:val="nil"/>
                    <w:tr2bl w:val="nil"/>
                  </w:tcBorders>
                  <w:shd w:val="clear" w:color="auto" w:fill="auto"/>
                  <w:vAlign w:val="center"/>
                </w:tcPr>
                <w:p w14:paraId="235317B7">
                  <w:pPr>
                    <w:pStyle w:val="115"/>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cs="Times New Roman"/>
                      <w:color w:val="auto"/>
                      <w:kern w:val="2"/>
                      <w:sz w:val="21"/>
                      <w:szCs w:val="24"/>
                      <w:highlight w:val="none"/>
                      <w:lang w:val="en-US" w:eastAsia="zh-CN" w:bidi="ar-SA"/>
                    </w:rPr>
                    <w:t>病房人群</w:t>
                  </w:r>
                </w:p>
              </w:tc>
              <w:tc>
                <w:tcPr>
                  <w:tcW w:w="450" w:type="dxa"/>
                  <w:tcBorders>
                    <w:tl2br w:val="nil"/>
                    <w:tr2bl w:val="nil"/>
                  </w:tcBorders>
                  <w:vAlign w:val="center"/>
                </w:tcPr>
                <w:p w14:paraId="0616EB6D">
                  <w:pPr>
                    <w:pStyle w:val="115"/>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olor w:val="auto"/>
                      <w:sz w:val="21"/>
                      <w:szCs w:val="21"/>
                      <w:highlight w:val="none"/>
                      <w:vertAlign w:val="baseline"/>
                    </w:rPr>
                  </w:pPr>
                  <w:r>
                    <w:rPr>
                      <w:rFonts w:hint="eastAsia" w:ascii="Times New Roman" w:hAnsi="Times New Roman" w:cs="Times New Roman"/>
                      <w:color w:val="auto"/>
                      <w:spacing w:val="-3"/>
                      <w:sz w:val="21"/>
                      <w:szCs w:val="21"/>
                      <w:highlight w:val="none"/>
                      <w:lang w:val="en-US" w:eastAsia="zh-CN"/>
                    </w:rPr>
                    <w:t>/</w:t>
                  </w:r>
                </w:p>
              </w:tc>
              <w:tc>
                <w:tcPr>
                  <w:tcW w:w="1077" w:type="dxa"/>
                  <w:tcBorders>
                    <w:tl2br w:val="nil"/>
                    <w:tr2bl w:val="nil"/>
                  </w:tcBorders>
                  <w:vAlign w:val="center"/>
                </w:tcPr>
                <w:p w14:paraId="48B77F72">
                  <w:pPr>
                    <w:pStyle w:val="48"/>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highlight w:val="none"/>
                      <w:vertAlign w:val="baseline"/>
                    </w:rPr>
                  </w:pPr>
                  <w:r>
                    <w:rPr>
                      <w:rFonts w:hint="eastAsia" w:ascii="Times New Roman" w:hAnsi="Times New Roman" w:eastAsia="宋体" w:cs="宋体"/>
                      <w:color w:val="auto"/>
                      <w:sz w:val="21"/>
                      <w:szCs w:val="21"/>
                      <w:highlight w:val="none"/>
                      <w:lang w:val="en-US" w:eastAsia="zh-CN"/>
                    </w:rPr>
                    <w:t>65</w:t>
                  </w:r>
                  <w:r>
                    <w:rPr>
                      <w:rFonts w:ascii="Times New Roman" w:hAnsi="Times New Roman" w:eastAsia="宋体" w:cs="宋体"/>
                      <w:color w:val="auto"/>
                      <w:sz w:val="21"/>
                      <w:szCs w:val="21"/>
                      <w:highlight w:val="none"/>
                    </w:rPr>
                    <w:t>-</w:t>
                  </w:r>
                  <w:r>
                    <w:rPr>
                      <w:rFonts w:hint="eastAsia" w:ascii="Times New Roman" w:hAnsi="Times New Roman" w:eastAsia="宋体" w:cs="宋体"/>
                      <w:color w:val="auto"/>
                      <w:sz w:val="21"/>
                      <w:szCs w:val="21"/>
                      <w:highlight w:val="none"/>
                      <w:lang w:val="en-US" w:eastAsia="zh-CN"/>
                    </w:rPr>
                    <w:t>75</w:t>
                  </w:r>
                </w:p>
              </w:tc>
              <w:tc>
                <w:tcPr>
                  <w:tcW w:w="675" w:type="dxa"/>
                  <w:tcBorders>
                    <w:tl2br w:val="nil"/>
                    <w:tr2bl w:val="nil"/>
                  </w:tcBorders>
                  <w:vAlign w:val="center"/>
                </w:tcPr>
                <w:p w14:paraId="1FFA4FA7">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highlight w:val="none"/>
                      <w:vertAlign w:val="baseline"/>
                      <w:lang w:val="en-US" w:eastAsia="zh-CN"/>
                    </w:rPr>
                  </w:pPr>
                  <w:r>
                    <w:rPr>
                      <w:rFonts w:hint="eastAsia" w:cs="宋体"/>
                      <w:color w:val="auto"/>
                      <w:sz w:val="21"/>
                      <w:szCs w:val="21"/>
                      <w:highlight w:val="none"/>
                      <w:lang w:val="en-US" w:eastAsia="zh-CN"/>
                    </w:rPr>
                    <w:t>15</w:t>
                  </w:r>
                  <w:r>
                    <w:rPr>
                      <w:rFonts w:ascii="Times New Roman" w:hAnsi="Times New Roman" w:eastAsia="宋体" w:cs="宋体"/>
                      <w:color w:val="auto"/>
                      <w:sz w:val="21"/>
                      <w:szCs w:val="21"/>
                      <w:highlight w:val="none"/>
                    </w:rPr>
                    <w:t>.0</w:t>
                  </w:r>
                </w:p>
              </w:tc>
              <w:tc>
                <w:tcPr>
                  <w:tcW w:w="654" w:type="dxa"/>
                  <w:tcBorders>
                    <w:tl2br w:val="nil"/>
                    <w:tr2bl w:val="nil"/>
                  </w:tcBorders>
                  <w:vAlign w:val="center"/>
                </w:tcPr>
                <w:p w14:paraId="3E376AA4">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highlight w:val="none"/>
                      <w:vertAlign w:val="baseline"/>
                      <w:lang w:val="en-US" w:eastAsia="zh-CN"/>
                    </w:rPr>
                  </w:pPr>
                  <w:r>
                    <w:rPr>
                      <w:rFonts w:hint="eastAsia" w:cs="宋体"/>
                      <w:color w:val="auto"/>
                      <w:sz w:val="21"/>
                      <w:szCs w:val="21"/>
                      <w:highlight w:val="none"/>
                      <w:lang w:val="en-US" w:eastAsia="zh-CN"/>
                    </w:rPr>
                    <w:t>16</w:t>
                  </w:r>
                  <w:r>
                    <w:rPr>
                      <w:rFonts w:ascii="Times New Roman" w:hAnsi="Times New Roman" w:eastAsia="宋体" w:cs="宋体"/>
                      <w:color w:val="auto"/>
                      <w:sz w:val="21"/>
                      <w:szCs w:val="21"/>
                      <w:highlight w:val="none"/>
                    </w:rPr>
                    <w:t>.0</w:t>
                  </w:r>
                </w:p>
              </w:tc>
              <w:tc>
                <w:tcPr>
                  <w:tcW w:w="674" w:type="dxa"/>
                  <w:tcBorders>
                    <w:tl2br w:val="nil"/>
                    <w:tr2bl w:val="nil"/>
                  </w:tcBorders>
                  <w:vAlign w:val="center"/>
                </w:tcPr>
                <w:p w14:paraId="5CE6D83C">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default" w:ascii="Times New Roman" w:hAnsi="Times New Roman" w:eastAsia="宋体"/>
                      <w:color w:val="auto"/>
                      <w:sz w:val="21"/>
                      <w:szCs w:val="21"/>
                      <w:highlight w:val="none"/>
                      <w:vertAlign w:val="baseline"/>
                      <w:lang w:val="en-US" w:eastAsia="zh-CN"/>
                    </w:rPr>
                  </w:pPr>
                  <w:r>
                    <w:rPr>
                      <w:rFonts w:hint="eastAsia" w:cs="宋体"/>
                      <w:color w:val="auto"/>
                      <w:sz w:val="21"/>
                      <w:szCs w:val="21"/>
                      <w:highlight w:val="none"/>
                      <w:lang w:val="en-US" w:eastAsia="zh-CN"/>
                    </w:rPr>
                    <w:t>18</w:t>
                  </w:r>
                  <w:r>
                    <w:rPr>
                      <w:rFonts w:hint="eastAsia" w:ascii="Times New Roman" w:hAnsi="Times New Roman" w:eastAsia="宋体" w:cs="宋体"/>
                      <w:color w:val="auto"/>
                      <w:sz w:val="21"/>
                      <w:szCs w:val="21"/>
                      <w:highlight w:val="none"/>
                      <w:lang w:val="en-US" w:eastAsia="zh-CN"/>
                    </w:rPr>
                    <w:t>.0</w:t>
                  </w:r>
                </w:p>
              </w:tc>
              <w:tc>
                <w:tcPr>
                  <w:tcW w:w="1261" w:type="dxa"/>
                  <w:tcBorders>
                    <w:tl2br w:val="nil"/>
                    <w:tr2bl w:val="nil"/>
                  </w:tcBorders>
                  <w:vAlign w:val="center"/>
                </w:tcPr>
                <w:p w14:paraId="5270A96C">
                  <w:pPr>
                    <w:pStyle w:val="48"/>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b/>
                      <w:bCs/>
                      <w:color w:val="auto"/>
                      <w:sz w:val="21"/>
                      <w:szCs w:val="21"/>
                      <w:highlight w:val="none"/>
                      <w:vertAlign w:val="baseline"/>
                    </w:rPr>
                  </w:pPr>
                  <w:r>
                    <w:rPr>
                      <w:rFonts w:hint="eastAsia" w:ascii="Times New Roman" w:hAnsi="Times New Roman" w:eastAsia="宋体"/>
                      <w:color w:val="auto"/>
                      <w:sz w:val="21"/>
                      <w:szCs w:val="21"/>
                      <w:highlight w:val="none"/>
                      <w:vertAlign w:val="baseline"/>
                      <w:lang w:val="en-US" w:eastAsia="zh-CN"/>
                    </w:rPr>
                    <w:t>点源</w:t>
                  </w:r>
                </w:p>
              </w:tc>
              <w:tc>
                <w:tcPr>
                  <w:tcW w:w="960" w:type="dxa"/>
                  <w:vMerge w:val="continue"/>
                  <w:tcBorders>
                    <w:tl2br w:val="nil"/>
                    <w:tr2bl w:val="nil"/>
                  </w:tcBorders>
                  <w:vAlign w:val="center"/>
                </w:tcPr>
                <w:p w14:paraId="43B93904">
                  <w:pPr>
                    <w:pStyle w:val="48"/>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highlight w:val="none"/>
                      <w:vertAlign w:val="baseline"/>
                    </w:rPr>
                  </w:pPr>
                </w:p>
              </w:tc>
              <w:tc>
                <w:tcPr>
                  <w:tcW w:w="1337" w:type="dxa"/>
                  <w:vMerge w:val="continue"/>
                  <w:tcBorders>
                    <w:tl2br w:val="nil"/>
                    <w:tr2bl w:val="nil"/>
                  </w:tcBorders>
                  <w:vAlign w:val="center"/>
                </w:tcPr>
                <w:p w14:paraId="22B01AEE">
                  <w:pPr>
                    <w:pStyle w:val="48"/>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宋体"/>
                      <w:color w:val="auto"/>
                      <w:sz w:val="21"/>
                      <w:szCs w:val="21"/>
                      <w:highlight w:val="none"/>
                      <w:vertAlign w:val="baseline"/>
                    </w:rPr>
                  </w:pPr>
                </w:p>
              </w:tc>
            </w:tr>
          </w:tbl>
          <w:p w14:paraId="51790A37">
            <w:pPr>
              <w:pStyle w:val="48"/>
              <w:jc w:val="left"/>
              <w:rPr>
                <w:rFonts w:hint="default" w:eastAsia="宋体"/>
                <w:color w:val="auto"/>
                <w:highlight w:val="none"/>
                <w:lang w:val="en-US" w:eastAsia="zh-CN"/>
              </w:rPr>
            </w:pPr>
            <w:r>
              <w:rPr>
                <w:rFonts w:hint="eastAsia"/>
                <w:color w:val="auto"/>
                <w:highlight w:val="none"/>
                <w:lang w:val="en-US" w:eastAsia="zh-CN"/>
              </w:rPr>
              <w:t>注：以院区中心为原点。</w:t>
            </w:r>
          </w:p>
          <w:p w14:paraId="25E61DB2">
            <w:pPr>
              <w:pStyle w:val="4"/>
              <w:numPr>
                <w:ilvl w:val="2"/>
                <w:numId w:val="1"/>
              </w:numPr>
              <w:bidi w:val="0"/>
              <w:ind w:left="720" w:leftChars="0" w:hanging="720" w:firstLineChars="0"/>
              <w:rPr>
                <w:rFonts w:hint="eastAsia" w:eastAsia="宋体"/>
                <w:color w:val="auto"/>
                <w:highlight w:val="none"/>
              </w:rPr>
            </w:pPr>
            <w:r>
              <w:rPr>
                <w:rFonts w:hint="eastAsia" w:eastAsia="宋体"/>
                <w:color w:val="auto"/>
                <w:highlight w:val="none"/>
              </w:rPr>
              <w:t>运营期</w:t>
            </w:r>
            <w:bookmarkEnd w:id="46"/>
            <w:bookmarkEnd w:id="47"/>
            <w:bookmarkEnd w:id="48"/>
            <w:r>
              <w:rPr>
                <w:rFonts w:hint="eastAsia" w:eastAsia="宋体"/>
                <w:color w:val="auto"/>
                <w:highlight w:val="none"/>
              </w:rPr>
              <w:t>噪声预测模式</w:t>
            </w:r>
          </w:p>
          <w:p w14:paraId="44EDC4D5">
            <w:pPr>
              <w:keepNext w:val="0"/>
              <w:bidi w:val="0"/>
              <w:adjustRightInd/>
              <w:snapToGrid/>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根据《环境影响评价技术导则 声环境》（HJ2.4-20</w:t>
            </w:r>
            <w:r>
              <w:rPr>
                <w:rFonts w:hint="default" w:ascii="Times New Roman" w:hAnsi="Times New Roman" w:eastAsia="宋体" w:cs="Times New Roman"/>
                <w:color w:val="auto"/>
                <w:sz w:val="24"/>
                <w:highlight w:val="none"/>
                <w:lang w:val="en-US" w:eastAsia="zh-CN"/>
              </w:rPr>
              <w:t>21</w:t>
            </w:r>
            <w:r>
              <w:rPr>
                <w:rFonts w:hint="default" w:ascii="Times New Roman" w:hAnsi="Times New Roman" w:eastAsia="宋体" w:cs="Times New Roman"/>
                <w:color w:val="auto"/>
                <w:sz w:val="24"/>
                <w:highlight w:val="none"/>
              </w:rPr>
              <w:t>）的技术要求，本次评价采取导则推荐模式。</w:t>
            </w:r>
          </w:p>
          <w:p w14:paraId="108F16E0">
            <w:pPr>
              <w:keepNext w:val="0"/>
              <w:bidi w:val="0"/>
              <w:adjustRightInd/>
              <w:snapToGrid/>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rPr>
              <w:t>（1）</w:t>
            </w:r>
            <w:r>
              <w:rPr>
                <w:rFonts w:hint="default" w:ascii="Times New Roman" w:hAnsi="Times New Roman" w:eastAsia="宋体" w:cs="Times New Roman"/>
                <w:color w:val="auto"/>
                <w:sz w:val="24"/>
                <w:highlight w:val="none"/>
                <w:lang w:val="en-US" w:eastAsia="zh-CN"/>
              </w:rPr>
              <w:t>室内声源计算公式</w:t>
            </w:r>
          </w:p>
          <w:p w14:paraId="452C042F">
            <w:pPr>
              <w:keepNext w:val="0"/>
              <w:bidi w:val="0"/>
              <w:adjustRightInd/>
              <w:snapToGrid/>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①计算出某个室内靠近围护结构处的倍频带声压级：</w:t>
            </w:r>
          </w:p>
          <w:p w14:paraId="54238B04">
            <w:pPr>
              <w:ind w:firstLine="0" w:firstLineChars="0"/>
              <w:jc w:val="center"/>
              <w:rPr>
                <w:rFonts w:hint="default" w:ascii="Times New Roman" w:hAnsi="Times New Roman" w:cs="Times New Roman"/>
                <w:color w:val="auto"/>
                <w:highlight w:val="none"/>
              </w:rPr>
            </w:pPr>
            <w:r>
              <w:rPr>
                <w:rFonts w:hint="default" w:ascii="Times New Roman" w:hAnsi="Times New Roman" w:cs="Times New Roman"/>
                <w:color w:val="auto"/>
                <w:position w:val="-28"/>
                <w:sz w:val="24"/>
                <w:highlight w:val="none"/>
              </w:rPr>
              <w:object>
                <v:shape id="_x0000_i1025" o:spt="75" type="#_x0000_t75" style="height:34pt;width:132.95pt;" o:ole="t" filled="f" o:preferrelative="t" stroked="f" coordsize="21600,21600">
                  <v:path/>
                  <v:fill on="f" focussize="0,0"/>
                  <v:stroke on="f"/>
                  <v:imagedata r:id="rId20" o:title=""/>
                  <o:lock v:ext="edit" aspectratio="t"/>
                  <w10:wrap type="none"/>
                  <w10:anchorlock/>
                </v:shape>
                <o:OLEObject Type="Embed" ProgID="Equation.3" ShapeID="_x0000_i1025" DrawAspect="Content" ObjectID="_1468075725" r:id="rId19">
                  <o:LockedField>false</o:LockedField>
                </o:OLEObject>
              </w:object>
            </w:r>
          </w:p>
          <w:p w14:paraId="3AAB6A5C">
            <w:pPr>
              <w:keepNext w:val="0"/>
              <w:bidi w:val="0"/>
              <w:adjustRightInd/>
              <w:snapToGrid/>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式中：L</w:t>
            </w:r>
            <w:r>
              <w:rPr>
                <w:rFonts w:hint="default" w:ascii="Times New Roman" w:hAnsi="Times New Roman" w:eastAsia="宋体" w:cs="Times New Roman"/>
                <w:color w:val="auto"/>
                <w:sz w:val="24"/>
                <w:highlight w:val="none"/>
                <w:vertAlign w:val="subscript"/>
                <w:lang w:val="en-US" w:eastAsia="zh-CN"/>
              </w:rPr>
              <w:t>p1</w:t>
            </w:r>
            <w:r>
              <w:rPr>
                <w:rFonts w:hint="default" w:ascii="Times New Roman" w:hAnsi="Times New Roman" w:eastAsia="宋体" w:cs="Times New Roman"/>
                <w:color w:val="auto"/>
                <w:sz w:val="24"/>
                <w:highlight w:val="none"/>
              </w:rPr>
              <w:t>——某个室内声源在靠近围护结构处产生的倍频带声压级；</w:t>
            </w:r>
          </w:p>
          <w:p w14:paraId="56522417">
            <w:pPr>
              <w:keepNext w:val="0"/>
              <w:bidi w:val="0"/>
              <w:adjustRightInd/>
              <w:snapToGrid/>
              <w:spacing w:line="360" w:lineRule="auto"/>
              <w:ind w:firstLine="1200" w:firstLineChars="5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lang w:val="en-US" w:eastAsia="zh-CN"/>
              </w:rPr>
              <w:t>w</w:t>
            </w:r>
            <w:r>
              <w:rPr>
                <w:rFonts w:hint="default" w:ascii="Times New Roman" w:hAnsi="Times New Roman" w:eastAsia="宋体" w:cs="Times New Roman"/>
                <w:color w:val="auto"/>
                <w:sz w:val="24"/>
                <w:highlight w:val="none"/>
              </w:rPr>
              <w:t>——某个声源的倍频带声功率级；</w:t>
            </w:r>
          </w:p>
          <w:p w14:paraId="290D3028">
            <w:pPr>
              <w:keepNext w:val="0"/>
              <w:bidi w:val="0"/>
              <w:adjustRightInd/>
              <w:snapToGrid/>
              <w:spacing w:line="360" w:lineRule="auto"/>
              <w:ind w:firstLine="1200" w:firstLineChars="5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r</w:t>
            </w:r>
            <w:r>
              <w:rPr>
                <w:rFonts w:hint="default" w:ascii="Times New Roman" w:hAnsi="Times New Roman" w:eastAsia="宋体" w:cs="Times New Roman"/>
                <w:color w:val="auto"/>
                <w:sz w:val="24"/>
                <w:highlight w:val="none"/>
              </w:rPr>
              <w:t>——室内某个声源与靠近围护结构处的距离；</w:t>
            </w:r>
          </w:p>
          <w:p w14:paraId="51F28CA8">
            <w:pPr>
              <w:keepNext w:val="0"/>
              <w:bidi w:val="0"/>
              <w:adjustRightInd/>
              <w:snapToGrid/>
              <w:spacing w:line="360" w:lineRule="auto"/>
              <w:ind w:firstLine="1200" w:firstLineChars="5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R</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房间常数</w:t>
            </w:r>
            <w:r>
              <w:rPr>
                <w:rFonts w:hint="default" w:ascii="Times New Roman" w:hAnsi="Times New Roman" w:eastAsia="宋体" w:cs="Times New Roman"/>
                <w:color w:val="auto"/>
                <w:sz w:val="24"/>
                <w:highlight w:val="none"/>
              </w:rPr>
              <w:t>；</w:t>
            </w:r>
          </w:p>
          <w:p w14:paraId="56336CF7">
            <w:pPr>
              <w:keepNext w:val="0"/>
              <w:bidi w:val="0"/>
              <w:adjustRightInd/>
              <w:snapToGrid/>
              <w:spacing w:line="360" w:lineRule="auto"/>
              <w:ind w:firstLine="1200" w:firstLineChars="5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Q</w:t>
            </w:r>
            <w:r>
              <w:rPr>
                <w:rFonts w:hint="default"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lang w:val="en-US" w:eastAsia="zh-CN"/>
              </w:rPr>
              <w:t>指向性因素</w:t>
            </w:r>
            <w:r>
              <w:rPr>
                <w:rFonts w:hint="default" w:ascii="Times New Roman" w:hAnsi="Times New Roman" w:eastAsia="宋体" w:cs="Times New Roman"/>
                <w:color w:val="auto"/>
                <w:sz w:val="24"/>
                <w:highlight w:val="none"/>
              </w:rPr>
              <w:t>。</w:t>
            </w:r>
          </w:p>
          <w:p w14:paraId="0FAF9FE4">
            <w:pPr>
              <w:keepNext w:val="0"/>
              <w:bidi w:val="0"/>
              <w:adjustRightInd/>
              <w:snapToGrid/>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②计算出所有室内声源在靠近围护结构处产生的总倍频带声压级：</w:t>
            </w:r>
          </w:p>
          <w:p w14:paraId="2339323C">
            <w:pPr>
              <w:bidi w:val="0"/>
              <w:ind w:left="0" w:leftChars="0" w:firstLine="0" w:firstLineChars="0"/>
              <w:jc w:val="center"/>
              <w:rPr>
                <w:rFonts w:hint="default" w:ascii="Times New Roman" w:hAnsi="Times New Roman" w:cs="Times New Roman"/>
                <w:color w:val="auto"/>
                <w:position w:val="-32"/>
                <w:sz w:val="24"/>
                <w:highlight w:val="none"/>
              </w:rPr>
            </w:pPr>
            <w:r>
              <w:rPr>
                <w:rFonts w:hint="default" w:ascii="Times New Roman" w:hAnsi="Times New Roman" w:cs="Times New Roman"/>
                <w:color w:val="auto"/>
                <w:position w:val="-32"/>
                <w:sz w:val="24"/>
                <w:highlight w:val="none"/>
              </w:rPr>
              <w:object>
                <v:shape id="_x0000_i1026" o:spt="75" type="#_x0000_t75" style="height:38pt;width:131pt;" o:ole="t" filled="f" o:preferrelative="t" stroked="f" coordsize="21600,21600">
                  <v:path/>
                  <v:fill on="f" focussize="0,0"/>
                  <v:stroke on="f"/>
                  <v:imagedata r:id="rId22" o:title=""/>
                  <o:lock v:ext="edit" aspectratio="t"/>
                  <w10:wrap type="none"/>
                  <w10:anchorlock/>
                </v:shape>
                <o:OLEObject Type="Embed" ProgID="Equation.3" ShapeID="_x0000_i1026" DrawAspect="Content" ObjectID="_1468075726" r:id="rId21">
                  <o:LockedField>false</o:LockedField>
                </o:OLEObject>
              </w:object>
            </w:r>
          </w:p>
          <w:p w14:paraId="6AA96603">
            <w:pPr>
              <w:keepNext w:val="0"/>
              <w:bidi w:val="0"/>
              <w:adjustRightInd/>
              <w:snapToGrid/>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式中：</w:t>
            </w:r>
            <w:r>
              <w:rPr>
                <w:rFonts w:hint="eastAsia" w:ascii="Times New Roman" w:hAnsi="Times New Roman" w:eastAsia="宋体" w:cs="Times New Roman"/>
                <w:color w:val="auto"/>
                <w:sz w:val="24"/>
                <w:highlight w:val="none"/>
                <w:lang w:val="en-US" w:eastAsia="zh-CN"/>
              </w:rPr>
              <w:t>L</w:t>
            </w:r>
            <w:r>
              <w:rPr>
                <w:rFonts w:hint="eastAsia" w:ascii="Times New Roman" w:hAnsi="Times New Roman" w:eastAsia="宋体" w:cs="Times New Roman"/>
                <w:color w:val="auto"/>
                <w:sz w:val="24"/>
                <w:highlight w:val="none"/>
                <w:vertAlign w:val="subscript"/>
                <w:lang w:val="en-US" w:eastAsia="zh-CN"/>
              </w:rPr>
              <w:t>pli</w:t>
            </w:r>
            <w:r>
              <w:rPr>
                <w:rFonts w:hint="eastAsia" w:ascii="Times New Roman" w:hAnsi="Times New Roman" w:eastAsia="宋体" w:cs="Times New Roman"/>
                <w:color w:val="auto"/>
                <w:sz w:val="24"/>
                <w:highlight w:val="none"/>
                <w:lang w:val="en-US" w:eastAsia="zh-CN"/>
              </w:rPr>
              <w:t>（T）</w:t>
            </w:r>
            <w:r>
              <w:rPr>
                <w:rFonts w:hint="default" w:ascii="Times New Roman" w:hAnsi="Times New Roman" w:eastAsia="宋体" w:cs="Times New Roman"/>
                <w:color w:val="auto"/>
                <w:sz w:val="24"/>
                <w:highlight w:val="none"/>
                <w:lang w:val="en-US" w:eastAsia="zh-CN"/>
              </w:rPr>
              <w:t>——靠近维护结构处室内N个声源i倍频带的叠加声压级，dB；</w:t>
            </w:r>
          </w:p>
          <w:p w14:paraId="636065F1">
            <w:pPr>
              <w:keepNext w:val="0"/>
              <w:bidi w:val="0"/>
              <w:adjustRightInd/>
              <w:snapToGrid/>
              <w:spacing w:line="360" w:lineRule="auto"/>
              <w:ind w:firstLine="1200" w:firstLineChars="5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L</w:t>
            </w:r>
            <w:r>
              <w:rPr>
                <w:rFonts w:hint="default" w:ascii="Times New Roman" w:hAnsi="Times New Roman" w:eastAsia="宋体" w:cs="Times New Roman"/>
                <w:color w:val="auto"/>
                <w:sz w:val="24"/>
                <w:highlight w:val="none"/>
                <w:vertAlign w:val="subscript"/>
                <w:lang w:val="en-US" w:eastAsia="zh-CN"/>
              </w:rPr>
              <w:t>p</w:t>
            </w:r>
            <w:r>
              <w:rPr>
                <w:rFonts w:hint="eastAsia" w:ascii="Times New Roman" w:hAnsi="Times New Roman" w:eastAsia="宋体" w:cs="Times New Roman"/>
                <w:color w:val="auto"/>
                <w:sz w:val="24"/>
                <w:highlight w:val="none"/>
                <w:vertAlign w:val="subscript"/>
                <w:lang w:val="en-US" w:eastAsia="zh-CN"/>
              </w:rPr>
              <w:t>l</w:t>
            </w:r>
            <w:r>
              <w:rPr>
                <w:rFonts w:hint="default" w:ascii="Times New Roman" w:hAnsi="Times New Roman" w:eastAsia="宋体" w:cs="Times New Roman"/>
                <w:color w:val="auto"/>
                <w:sz w:val="24"/>
                <w:highlight w:val="none"/>
                <w:vertAlign w:val="subscript"/>
                <w:lang w:val="en-US" w:eastAsia="zh-CN"/>
              </w:rPr>
              <w:t>ij</w:t>
            </w:r>
            <w:r>
              <w:rPr>
                <w:rFonts w:hint="default" w:ascii="Times New Roman" w:hAnsi="Times New Roman" w:eastAsia="宋体" w:cs="Times New Roman"/>
                <w:color w:val="auto"/>
                <w:sz w:val="24"/>
                <w:highlight w:val="none"/>
                <w:lang w:val="en-US" w:eastAsia="zh-CN"/>
              </w:rPr>
              <w:t>——室内j声源i倍频带的声压级，dB；</w:t>
            </w:r>
          </w:p>
          <w:p w14:paraId="43630A34">
            <w:pPr>
              <w:keepNext w:val="0"/>
              <w:bidi w:val="0"/>
              <w:adjustRightInd/>
              <w:snapToGrid/>
              <w:spacing w:line="360" w:lineRule="auto"/>
              <w:ind w:firstLine="1200" w:firstLineChars="5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N——室内声源总数。</w:t>
            </w:r>
          </w:p>
          <w:p w14:paraId="284BD8D8">
            <w:pPr>
              <w:keepNext w:val="0"/>
              <w:bidi w:val="0"/>
              <w:adjustRightInd/>
              <w:snapToGrid/>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（2）</w:t>
            </w:r>
            <w:r>
              <w:rPr>
                <w:rFonts w:hint="default" w:ascii="Times New Roman" w:hAnsi="Times New Roman" w:eastAsia="宋体" w:cs="Times New Roman"/>
                <w:color w:val="auto"/>
                <w:sz w:val="24"/>
                <w:highlight w:val="none"/>
                <w:lang w:val="en-US" w:eastAsia="zh-CN"/>
              </w:rPr>
              <w:t>室外声源传播衰减公式</w:t>
            </w:r>
          </w:p>
          <w:p w14:paraId="6972A1B8">
            <w:pPr>
              <w:keepNext w:val="0"/>
              <w:bidi w:val="0"/>
              <w:adjustRightInd/>
              <w:snapToGrid/>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计算某个声源在预测点的倍频带声压级：</w:t>
            </w:r>
          </w:p>
          <w:p w14:paraId="464D133C">
            <w:pPr>
              <w:keepNext w:val="0"/>
              <w:bidi w:val="0"/>
              <w:adjustRightInd/>
              <w:snapToGrid/>
              <w:spacing w:line="360" w:lineRule="auto"/>
              <w:ind w:firstLine="480" w:firstLineChars="20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object>
                <v:shape id="_x0000_i1027" o:spt="75" type="#_x0000_t75" style="height:38pt;width:153pt;" o:ole="t" filled="f" o:preferrelative="t" stroked="f" coordsize="21600,21600">
                  <v:path/>
                  <v:fill on="f" focussize="0,0"/>
                  <v:stroke on="f"/>
                  <v:imagedata r:id="rId24" o:title=""/>
                  <o:lock v:ext="edit" aspectratio="t"/>
                  <w10:wrap type="none"/>
                  <w10:anchorlock/>
                </v:shape>
                <o:OLEObject Type="Embed" ProgID="Equation.3" ShapeID="_x0000_i1027" DrawAspect="Content" ObjectID="_1468075727" r:id="rId23">
                  <o:LockedField>false</o:LockedField>
                </o:OLEObject>
              </w:object>
            </w:r>
          </w:p>
          <w:p w14:paraId="1BD69CB5">
            <w:pPr>
              <w:keepNext w:val="0"/>
              <w:bidi w:val="0"/>
              <w:adjustRightInd/>
              <w:snapToGrid/>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式中：L</w:t>
            </w:r>
            <w:r>
              <w:rPr>
                <w:rFonts w:hint="default" w:ascii="Times New Roman" w:hAnsi="Times New Roman" w:eastAsia="宋体" w:cs="Times New Roman"/>
                <w:color w:val="auto"/>
                <w:sz w:val="24"/>
                <w:highlight w:val="none"/>
                <w:vertAlign w:val="subscript"/>
                <w:lang w:val="en-US" w:eastAsia="zh-CN"/>
              </w:rPr>
              <w:t>p</w:t>
            </w:r>
            <w:r>
              <w:rPr>
                <w:rFonts w:hint="default" w:ascii="Times New Roman" w:hAnsi="Times New Roman" w:eastAsia="宋体" w:cs="Times New Roman"/>
                <w:color w:val="auto"/>
                <w:sz w:val="24"/>
                <w:highlight w:val="none"/>
                <w:lang w:val="en-US" w:eastAsia="zh-CN"/>
              </w:rPr>
              <w:t>（r）</w:t>
            </w:r>
            <w:r>
              <w:rPr>
                <w:rFonts w:hint="default" w:ascii="Times New Roman" w:hAnsi="Times New Roman" w:eastAsia="宋体" w:cs="Times New Roman"/>
                <w:color w:val="auto"/>
                <w:sz w:val="24"/>
                <w:highlight w:val="none"/>
              </w:rPr>
              <w:t>——点声源在预测点产生的倍频带声压级；</w:t>
            </w:r>
          </w:p>
          <w:p w14:paraId="7E74695C">
            <w:pPr>
              <w:keepNext w:val="0"/>
              <w:bidi w:val="0"/>
              <w:adjustRightInd/>
              <w:snapToGrid/>
              <w:spacing w:line="360" w:lineRule="auto"/>
              <w:ind w:firstLine="1200" w:firstLineChars="5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lang w:val="en-US" w:eastAsia="zh-CN"/>
              </w:rPr>
              <w:t>p</w:t>
            </w:r>
            <w:r>
              <w:rPr>
                <w:rFonts w:hint="default" w:ascii="Times New Roman" w:hAnsi="Times New Roman" w:eastAsia="宋体" w:cs="Times New Roman"/>
                <w:color w:val="auto"/>
                <w:sz w:val="24"/>
                <w:highlight w:val="none"/>
                <w:lang w:val="en-US" w:eastAsia="zh-CN"/>
              </w:rPr>
              <w:t>（r0）</w:t>
            </w:r>
            <w:r>
              <w:rPr>
                <w:rFonts w:hint="default" w:ascii="Times New Roman" w:hAnsi="Times New Roman" w:eastAsia="宋体" w:cs="Times New Roman"/>
                <w:color w:val="auto"/>
                <w:sz w:val="24"/>
                <w:highlight w:val="none"/>
              </w:rPr>
              <w:t>——参考位置r0处的倍频带声压级；</w:t>
            </w:r>
          </w:p>
          <w:p w14:paraId="0C248073">
            <w:pPr>
              <w:keepNext w:val="0"/>
              <w:bidi w:val="0"/>
              <w:adjustRightInd/>
              <w:snapToGrid/>
              <w:spacing w:line="360" w:lineRule="auto"/>
              <w:ind w:firstLine="1200" w:firstLineChars="5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r</w:t>
            </w:r>
            <w:r>
              <w:rPr>
                <w:rFonts w:hint="default" w:ascii="Times New Roman" w:hAnsi="Times New Roman" w:eastAsia="宋体" w:cs="Times New Roman"/>
                <w:color w:val="auto"/>
                <w:sz w:val="24"/>
                <w:highlight w:val="none"/>
              </w:rPr>
              <w:t>——预测点距声源的距离，m；</w:t>
            </w:r>
          </w:p>
          <w:p w14:paraId="7D120BF9">
            <w:pPr>
              <w:keepNext w:val="0"/>
              <w:bidi w:val="0"/>
              <w:adjustRightInd/>
              <w:snapToGrid/>
              <w:spacing w:line="360" w:lineRule="auto"/>
              <w:ind w:firstLine="1200" w:firstLineChars="5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r</w:t>
            </w:r>
            <w:r>
              <w:rPr>
                <w:rFonts w:hint="default" w:ascii="Times New Roman" w:hAnsi="Times New Roman" w:eastAsia="宋体" w:cs="Times New Roman"/>
                <w:color w:val="auto"/>
                <w:sz w:val="24"/>
                <w:highlight w:val="none"/>
                <w:vertAlign w:val="subscript"/>
                <w:lang w:val="en-US" w:eastAsia="zh-CN"/>
              </w:rPr>
              <w:t>0</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参考位置距声源的距离，m</w:t>
            </w:r>
            <w:r>
              <w:rPr>
                <w:rFonts w:hint="default" w:ascii="Times New Roman" w:hAnsi="Times New Roman" w:eastAsia="宋体" w:cs="Times New Roman"/>
                <w:color w:val="auto"/>
                <w:sz w:val="24"/>
                <w:highlight w:val="none"/>
              </w:rPr>
              <w:t>；</w:t>
            </w:r>
          </w:p>
          <w:p w14:paraId="2A762774">
            <w:pPr>
              <w:keepNext w:val="0"/>
              <w:bidi w:val="0"/>
              <w:adjustRightInd/>
              <w:snapToGrid/>
              <w:spacing w:line="360" w:lineRule="auto"/>
              <w:ind w:firstLine="1200" w:firstLineChars="5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ΔL</w:t>
            </w:r>
            <w:r>
              <w:rPr>
                <w:rFonts w:hint="default" w:ascii="Times New Roman" w:hAnsi="Times New Roman" w:eastAsia="宋体" w:cs="Times New Roman"/>
                <w:color w:val="auto"/>
                <w:sz w:val="24"/>
                <w:highlight w:val="none"/>
                <w:vertAlign w:val="subscript"/>
                <w:lang w:val="en-US" w:eastAsia="zh-CN"/>
              </w:rPr>
              <w:t>p</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val="en-US" w:eastAsia="zh-CN"/>
              </w:rPr>
              <w:t>各种因素引起的衰减量</w:t>
            </w:r>
            <w:r>
              <w:rPr>
                <w:rFonts w:hint="default" w:ascii="Times New Roman" w:hAnsi="Times New Roman" w:eastAsia="宋体" w:cs="Times New Roman"/>
                <w:color w:val="auto"/>
                <w:sz w:val="24"/>
                <w:highlight w:val="none"/>
              </w:rPr>
              <w:t>。</w:t>
            </w:r>
          </w:p>
          <w:p w14:paraId="6007E73A">
            <w:pPr>
              <w:keepNext w:val="0"/>
              <w:bidi w:val="0"/>
              <w:adjustRightInd/>
              <w:snapToGrid/>
              <w:spacing w:line="360" w:lineRule="auto"/>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val="en-US" w:eastAsia="zh-CN"/>
              </w:rPr>
              <w:t>3</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rPr>
              <w:t>声源叠加贡献值公式</w:t>
            </w:r>
          </w:p>
          <w:p w14:paraId="59DF6484">
            <w:pPr>
              <w:keepNext w:val="0"/>
              <w:bidi w:val="0"/>
              <w:adjustRightInd/>
              <w:snapToGrid/>
              <w:spacing w:line="360" w:lineRule="auto"/>
              <w:ind w:firstLine="480" w:firstLineChars="200"/>
              <w:jc w:val="center"/>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object>
                <v:shape id="_x0000_i1028" o:spt="75" type="#_x0000_t75" style="height:38pt;width:132pt;" o:ole="t" filled="f" o:preferrelative="t" stroked="f" coordsize="21600,21600">
                  <v:path/>
                  <v:fill on="f" focussize="0,0"/>
                  <v:stroke on="f"/>
                  <v:imagedata r:id="rId26" o:title=""/>
                  <o:lock v:ext="edit" aspectratio="t"/>
                  <w10:wrap type="none"/>
                  <w10:anchorlock/>
                </v:shape>
                <o:OLEObject Type="Embed" ProgID="Equation.3" ShapeID="_x0000_i1028" DrawAspect="Content" ObjectID="_1468075728" r:id="rId25">
                  <o:LockedField>false</o:LockedField>
                </o:OLEObject>
              </w:object>
            </w:r>
          </w:p>
          <w:p w14:paraId="618EE4B6">
            <w:pPr>
              <w:keepNext w:val="0"/>
              <w:bidi w:val="0"/>
              <w:adjustRightInd/>
              <w:snapToGrid/>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eastAsia="zh-CN"/>
              </w:rPr>
              <w:t>式中：Leq</w:t>
            </w:r>
            <w:r>
              <w:rPr>
                <w:rFonts w:hint="default" w:ascii="Times New Roman" w:hAnsi="Times New Roman" w:eastAsia="宋体" w:cs="Times New Roman"/>
                <w:color w:val="auto"/>
                <w:sz w:val="24"/>
                <w:highlight w:val="none"/>
                <w:lang w:val="en-US" w:eastAsia="zh-CN"/>
              </w:rPr>
              <w:t>g</w:t>
            </w:r>
            <w:r>
              <w:rPr>
                <w:rFonts w:hint="default" w:ascii="Times New Roman" w:hAnsi="Times New Roman" w:eastAsia="宋体" w:cs="Times New Roman"/>
                <w:color w:val="auto"/>
                <w:sz w:val="24"/>
                <w:highlight w:val="none"/>
                <w:lang w:eastAsia="zh-CN"/>
              </w:rPr>
              <w:t>——建设项目声源在预测点的等声级贡献值，dB（A）；</w:t>
            </w:r>
          </w:p>
          <w:p w14:paraId="32794114">
            <w:pPr>
              <w:keepNext w:val="0"/>
              <w:bidi w:val="0"/>
              <w:adjustRightInd/>
              <w:snapToGrid/>
              <w:spacing w:line="360" w:lineRule="auto"/>
              <w:ind w:firstLine="1200" w:firstLineChars="500"/>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eastAsia="zh-CN"/>
              </w:rPr>
              <w:t>L</w:t>
            </w:r>
            <w:r>
              <w:rPr>
                <w:rFonts w:hint="default" w:ascii="Times New Roman" w:hAnsi="Times New Roman" w:eastAsia="宋体" w:cs="Times New Roman"/>
                <w:color w:val="auto"/>
                <w:sz w:val="24"/>
                <w:highlight w:val="none"/>
                <w:lang w:val="en-US" w:eastAsia="zh-CN"/>
              </w:rPr>
              <w:t>Ai</w:t>
            </w:r>
            <w:r>
              <w:rPr>
                <w:rFonts w:hint="default" w:ascii="Times New Roman" w:hAnsi="Times New Roman" w:eastAsia="宋体" w:cs="Times New Roman"/>
                <w:color w:val="auto"/>
                <w:sz w:val="24"/>
                <w:highlight w:val="none"/>
                <w:lang w:eastAsia="zh-CN"/>
              </w:rPr>
              <w:t>——i声源在预测点产生的A声级，dB（A）；</w:t>
            </w:r>
          </w:p>
          <w:p w14:paraId="7BEC4184">
            <w:pPr>
              <w:keepNext w:val="0"/>
              <w:bidi w:val="0"/>
              <w:adjustRightInd/>
              <w:snapToGrid/>
              <w:spacing w:line="360" w:lineRule="auto"/>
              <w:ind w:firstLine="1200" w:firstLineChars="500"/>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T</w:t>
            </w:r>
            <w:r>
              <w:rPr>
                <w:rFonts w:hint="default" w:ascii="Times New Roman" w:hAnsi="Times New Roman" w:eastAsia="宋体" w:cs="Times New Roman"/>
                <w:color w:val="auto"/>
                <w:sz w:val="24"/>
                <w:highlight w:val="none"/>
                <w:lang w:eastAsia="zh-CN"/>
              </w:rPr>
              <w:t>——预测计算的时间段，</w:t>
            </w:r>
            <w:r>
              <w:rPr>
                <w:rFonts w:hint="default" w:ascii="Times New Roman" w:hAnsi="Times New Roman" w:eastAsia="宋体" w:cs="Times New Roman"/>
                <w:color w:val="auto"/>
                <w:sz w:val="24"/>
                <w:highlight w:val="none"/>
                <w:lang w:val="en-US" w:eastAsia="zh-CN"/>
              </w:rPr>
              <w:t>s；</w:t>
            </w:r>
          </w:p>
          <w:p w14:paraId="4E10447F">
            <w:pPr>
              <w:keepNext w:val="0"/>
              <w:bidi w:val="0"/>
              <w:adjustRightInd/>
              <w:snapToGrid/>
              <w:spacing w:line="360" w:lineRule="auto"/>
              <w:ind w:firstLine="1200" w:firstLineChars="500"/>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val="en-US" w:eastAsia="zh-CN"/>
              </w:rPr>
              <w:t>ti——i声源在T时段内的运行时间，s</w:t>
            </w:r>
            <w:r>
              <w:rPr>
                <w:rFonts w:hint="default" w:ascii="Times New Roman" w:hAnsi="Times New Roman" w:eastAsia="宋体" w:cs="Times New Roman"/>
                <w:color w:val="auto"/>
                <w:sz w:val="24"/>
                <w:highlight w:val="none"/>
                <w:lang w:eastAsia="zh-CN"/>
              </w:rPr>
              <w:t>。</w:t>
            </w:r>
          </w:p>
          <w:p w14:paraId="273DFF2E">
            <w:pPr>
              <w:keepNext w:val="0"/>
              <w:bidi w:val="0"/>
              <w:adjustRightInd/>
              <w:snapToGrid/>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val="en-US" w:eastAsia="zh-CN"/>
              </w:rPr>
              <w:t>4</w:t>
            </w:r>
            <w:r>
              <w:rPr>
                <w:rFonts w:hint="default" w:ascii="Times New Roman" w:hAnsi="Times New Roman" w:eastAsia="宋体" w:cs="Times New Roman"/>
                <w:color w:val="auto"/>
                <w:sz w:val="24"/>
                <w:highlight w:val="none"/>
                <w:lang w:eastAsia="zh-CN"/>
              </w:rPr>
              <w:t>）</w:t>
            </w:r>
            <w:r>
              <w:rPr>
                <w:rFonts w:hint="default" w:ascii="Times New Roman" w:hAnsi="Times New Roman" w:eastAsia="宋体" w:cs="Times New Roman"/>
                <w:color w:val="auto"/>
                <w:sz w:val="24"/>
                <w:highlight w:val="none"/>
                <w:lang w:val="en-US" w:eastAsia="zh-CN"/>
              </w:rPr>
              <w:t>预测值公式</w:t>
            </w:r>
          </w:p>
          <w:p w14:paraId="147C04E3">
            <w:pPr>
              <w:keepNext w:val="0"/>
              <w:bidi w:val="0"/>
              <w:adjustRightInd/>
              <w:snapToGrid/>
              <w:spacing w:line="360" w:lineRule="auto"/>
              <w:ind w:firstLine="480" w:firstLineChars="200"/>
              <w:jc w:val="center"/>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eastAsia="zh-CN"/>
              </w:rPr>
              <w:object>
                <v:shape id="_x0000_i1029" o:spt="75" type="#_x0000_t75" style="height:21pt;width:135pt;" o:ole="t" filled="f" o:preferrelative="t" stroked="f" coordsize="21600,21600">
                  <v:path/>
                  <v:fill on="f" focussize="0,0"/>
                  <v:stroke on="f"/>
                  <v:imagedata r:id="rId28" o:title=""/>
                  <o:lock v:ext="edit" aspectratio="t"/>
                  <w10:wrap type="none"/>
                  <w10:anchorlock/>
                </v:shape>
                <o:OLEObject Type="Embed" ProgID="Equation.3" ShapeID="_x0000_i1029" DrawAspect="Content" ObjectID="_1468075729" r:id="rId27">
                  <o:LockedField>false</o:LockedField>
                </o:OLEObject>
              </w:object>
            </w:r>
          </w:p>
          <w:p w14:paraId="289ABC73">
            <w:pPr>
              <w:keepNext w:val="0"/>
              <w:bidi w:val="0"/>
              <w:adjustRightInd/>
              <w:snapToGrid/>
              <w:spacing w:line="360" w:lineRule="auto"/>
              <w:ind w:firstLine="480" w:firstLineChars="200"/>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eastAsia="zh-CN"/>
              </w:rPr>
              <w:t>式中：Leq——</w:t>
            </w:r>
            <w:r>
              <w:rPr>
                <w:rFonts w:hint="default" w:ascii="Times New Roman" w:hAnsi="Times New Roman" w:eastAsia="宋体" w:cs="Times New Roman"/>
                <w:color w:val="auto"/>
                <w:sz w:val="24"/>
                <w:highlight w:val="none"/>
                <w:lang w:val="en-US" w:eastAsia="zh-CN"/>
              </w:rPr>
              <w:t>预测点的总声压级</w:t>
            </w:r>
            <w:r>
              <w:rPr>
                <w:rFonts w:hint="default" w:ascii="Times New Roman" w:hAnsi="Times New Roman" w:eastAsia="宋体" w:cs="Times New Roman"/>
                <w:color w:val="auto"/>
                <w:sz w:val="24"/>
                <w:highlight w:val="none"/>
                <w:lang w:eastAsia="zh-CN"/>
              </w:rPr>
              <w:t>，dB（A）；</w:t>
            </w:r>
          </w:p>
          <w:p w14:paraId="308B7C04">
            <w:pPr>
              <w:keepNext w:val="0"/>
              <w:bidi w:val="0"/>
              <w:adjustRightInd/>
              <w:snapToGrid/>
              <w:spacing w:line="360" w:lineRule="auto"/>
              <w:ind w:firstLine="1200" w:firstLineChars="500"/>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eastAsia="zh-CN"/>
              </w:rPr>
              <w:t>L</w:t>
            </w:r>
            <w:r>
              <w:rPr>
                <w:rFonts w:hint="default" w:ascii="Times New Roman" w:hAnsi="Times New Roman" w:eastAsia="宋体" w:cs="Times New Roman"/>
                <w:color w:val="auto"/>
                <w:sz w:val="24"/>
                <w:highlight w:val="none"/>
                <w:lang w:val="en-US" w:eastAsia="zh-CN"/>
              </w:rPr>
              <w:t>eqg</w:t>
            </w:r>
            <w:r>
              <w:rPr>
                <w:rFonts w:hint="default" w:ascii="Times New Roman" w:hAnsi="Times New Roman" w:eastAsia="宋体" w:cs="Times New Roman"/>
                <w:color w:val="auto"/>
                <w:sz w:val="24"/>
                <w:highlight w:val="none"/>
                <w:lang w:eastAsia="zh-CN"/>
              </w:rPr>
              <w:t>——建设项目声源在预测点的等效声级贡献值，dB（A）；</w:t>
            </w:r>
          </w:p>
          <w:p w14:paraId="2CE4FFE7">
            <w:pPr>
              <w:keepNext w:val="0"/>
              <w:bidi w:val="0"/>
              <w:adjustRightInd/>
              <w:snapToGrid/>
              <w:spacing w:line="360" w:lineRule="auto"/>
              <w:ind w:firstLine="1200" w:firstLineChars="500"/>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lang w:eastAsia="zh-CN"/>
              </w:rPr>
              <w:t>L</w:t>
            </w:r>
            <w:r>
              <w:rPr>
                <w:rFonts w:hint="default" w:ascii="Times New Roman" w:hAnsi="Times New Roman" w:eastAsia="宋体" w:cs="Times New Roman"/>
                <w:color w:val="auto"/>
                <w:sz w:val="24"/>
                <w:highlight w:val="none"/>
                <w:lang w:val="en-US" w:eastAsia="zh-CN"/>
              </w:rPr>
              <w:t>eqb</w:t>
            </w:r>
            <w:r>
              <w:rPr>
                <w:rFonts w:hint="default" w:ascii="Times New Roman" w:hAnsi="Times New Roman" w:eastAsia="宋体" w:cs="Times New Roman"/>
                <w:color w:val="auto"/>
                <w:sz w:val="24"/>
                <w:highlight w:val="none"/>
                <w:lang w:eastAsia="zh-CN"/>
              </w:rPr>
              <w:t>——预测点的背景值，dB（A）。</w:t>
            </w:r>
          </w:p>
          <w:p w14:paraId="4E935F4F">
            <w:pPr>
              <w:pStyle w:val="4"/>
              <w:numPr>
                <w:ilvl w:val="2"/>
                <w:numId w:val="1"/>
              </w:numPr>
              <w:bidi w:val="0"/>
              <w:ind w:left="720" w:leftChars="0" w:hanging="720" w:firstLineChars="0"/>
              <w:rPr>
                <w:rFonts w:hint="eastAsia" w:eastAsia="宋体"/>
                <w:color w:val="auto"/>
                <w:highlight w:val="none"/>
              </w:rPr>
            </w:pPr>
            <w:r>
              <w:rPr>
                <w:rFonts w:hint="eastAsia" w:eastAsia="宋体"/>
                <w:color w:val="auto"/>
                <w:highlight w:val="none"/>
              </w:rPr>
              <w:t>噪声预测及影响评价</w:t>
            </w:r>
          </w:p>
          <w:p w14:paraId="6AF647D9">
            <w:pPr>
              <w:pStyle w:val="46"/>
              <w:ind w:firstLine="480"/>
              <w:rPr>
                <w:color w:val="auto"/>
                <w:highlight w:val="none"/>
              </w:rPr>
            </w:pPr>
            <w:r>
              <w:rPr>
                <w:color w:val="auto"/>
                <w:highlight w:val="none"/>
              </w:rPr>
              <w:t>本项目</w:t>
            </w:r>
            <w:r>
              <w:rPr>
                <w:rFonts w:hint="eastAsia"/>
                <w:color w:val="auto"/>
                <w:highlight w:val="none"/>
                <w:lang w:val="en-US" w:eastAsia="zh-CN"/>
              </w:rPr>
              <w:t>噪声预测结果</w:t>
            </w:r>
            <w:r>
              <w:rPr>
                <w:color w:val="auto"/>
                <w:highlight w:val="none"/>
              </w:rPr>
              <w:t>详见表</w:t>
            </w:r>
            <w:r>
              <w:rPr>
                <w:rFonts w:hint="eastAsia"/>
                <w:color w:val="auto"/>
                <w:highlight w:val="none"/>
                <w:lang w:val="en-US" w:eastAsia="zh-CN"/>
              </w:rPr>
              <w:t>4.4-2</w:t>
            </w:r>
            <w:r>
              <w:rPr>
                <w:color w:val="auto"/>
                <w:highlight w:val="none"/>
              </w:rPr>
              <w:t>。</w:t>
            </w:r>
          </w:p>
          <w:p w14:paraId="1EA7F882">
            <w:pPr>
              <w:pStyle w:val="44"/>
              <w:tabs>
                <w:tab w:val="left" w:pos="0"/>
                <w:tab w:val="clear" w:pos="420"/>
              </w:tabs>
              <w:bidi w:val="0"/>
              <w:ind w:left="210" w:leftChars="0" w:firstLineChars="0"/>
              <w:rPr>
                <w:color w:val="auto"/>
                <w:highlight w:val="none"/>
                <w:lang w:eastAsia="zh-CN"/>
              </w:rPr>
            </w:pPr>
            <w:bookmarkStart w:id="49" w:name="_Ref31583"/>
            <w:r>
              <w:rPr>
                <w:color w:val="auto"/>
                <w:highlight w:val="none"/>
                <w:lang w:eastAsia="zh-CN"/>
              </w:rPr>
              <w:t>厂界噪声预测结果与达标分析表</w:t>
            </w:r>
            <w:bookmarkEnd w:id="49"/>
          </w:p>
          <w:tbl>
            <w:tblPr>
              <w:tblStyle w:val="35"/>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72"/>
              <w:gridCol w:w="850"/>
              <w:gridCol w:w="826"/>
              <w:gridCol w:w="847"/>
              <w:gridCol w:w="820"/>
              <w:gridCol w:w="844"/>
              <w:gridCol w:w="820"/>
              <w:gridCol w:w="1562"/>
              <w:gridCol w:w="984"/>
            </w:tblGrid>
            <w:tr w14:paraId="5D47F7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372" w:type="dxa"/>
                  <w:vMerge w:val="restart"/>
                  <w:shd w:val="clear" w:color="auto" w:fill="auto"/>
                  <w:vAlign w:val="center"/>
                </w:tcPr>
                <w:p w14:paraId="5FE05ACA">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宋体" w:cs="宋体"/>
                      <w:color w:val="auto"/>
                      <w:kern w:val="2"/>
                      <w:sz w:val="21"/>
                      <w:szCs w:val="24"/>
                      <w:highlight w:val="none"/>
                      <w:lang w:val="en-US" w:eastAsia="en-US" w:bidi="ar-SA"/>
                    </w:rPr>
                  </w:pPr>
                  <w:r>
                    <w:rPr>
                      <w:rFonts w:ascii="Times New Roman" w:hAnsi="Times New Roman" w:eastAsia="宋体"/>
                      <w:b/>
                      <w:bCs/>
                      <w:color w:val="auto"/>
                      <w:spacing w:val="5"/>
                      <w:sz w:val="21"/>
                      <w:highlight w:val="none"/>
                    </w:rPr>
                    <w:t>预测点</w:t>
                  </w:r>
                </w:p>
              </w:tc>
              <w:tc>
                <w:tcPr>
                  <w:tcW w:w="1676" w:type="dxa"/>
                  <w:gridSpan w:val="2"/>
                  <w:tcBorders>
                    <w:bottom w:val="single" w:color="auto" w:sz="6" w:space="0"/>
                  </w:tcBorders>
                  <w:shd w:val="clear" w:color="auto" w:fill="auto"/>
                  <w:vAlign w:val="center"/>
                </w:tcPr>
                <w:p w14:paraId="0C021E94">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b/>
                      <w:bCs/>
                      <w:color w:val="auto"/>
                      <w:spacing w:val="5"/>
                      <w:sz w:val="21"/>
                      <w:highlight w:val="none"/>
                      <w:lang w:val="en-US" w:eastAsia="zh-CN"/>
                    </w:rPr>
                  </w:pPr>
                  <w:r>
                    <w:rPr>
                      <w:rFonts w:hint="eastAsia" w:ascii="Times New Roman" w:hAnsi="Times New Roman"/>
                      <w:b/>
                      <w:bCs/>
                      <w:color w:val="auto"/>
                      <w:spacing w:val="5"/>
                      <w:sz w:val="21"/>
                      <w:highlight w:val="none"/>
                      <w:lang w:val="en-US" w:eastAsia="zh-CN"/>
                    </w:rPr>
                    <w:t>背景值</w:t>
                  </w:r>
                </w:p>
              </w:tc>
              <w:tc>
                <w:tcPr>
                  <w:tcW w:w="1667" w:type="dxa"/>
                  <w:gridSpan w:val="2"/>
                  <w:shd w:val="clear" w:color="auto" w:fill="auto"/>
                  <w:vAlign w:val="center"/>
                </w:tcPr>
                <w:p w14:paraId="773B0198">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宋体"/>
                      <w:b/>
                      <w:bCs/>
                      <w:color w:val="auto"/>
                      <w:spacing w:val="4"/>
                      <w:sz w:val="21"/>
                      <w:highlight w:val="none"/>
                    </w:rPr>
                  </w:pPr>
                  <w:r>
                    <w:rPr>
                      <w:rFonts w:ascii="Times New Roman" w:hAnsi="Times New Roman" w:eastAsia="宋体"/>
                      <w:b/>
                      <w:bCs/>
                      <w:color w:val="auto"/>
                      <w:spacing w:val="4"/>
                      <w:sz w:val="21"/>
                      <w:highlight w:val="none"/>
                    </w:rPr>
                    <w:t>贡献值</w:t>
                  </w:r>
                </w:p>
              </w:tc>
              <w:tc>
                <w:tcPr>
                  <w:tcW w:w="1664" w:type="dxa"/>
                  <w:gridSpan w:val="2"/>
                  <w:shd w:val="clear" w:color="auto" w:fill="auto"/>
                  <w:vAlign w:val="center"/>
                </w:tcPr>
                <w:p w14:paraId="0CE88B27">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b/>
                      <w:bCs/>
                      <w:color w:val="auto"/>
                      <w:spacing w:val="4"/>
                      <w:sz w:val="21"/>
                      <w:highlight w:val="none"/>
                      <w:lang w:val="en-US" w:eastAsia="zh-CN"/>
                    </w:rPr>
                  </w:pPr>
                  <w:r>
                    <w:rPr>
                      <w:rFonts w:hint="eastAsia" w:ascii="Times New Roman" w:hAnsi="Times New Roman"/>
                      <w:b/>
                      <w:bCs/>
                      <w:color w:val="auto"/>
                      <w:spacing w:val="4"/>
                      <w:sz w:val="21"/>
                      <w:highlight w:val="none"/>
                      <w:lang w:val="en-US" w:eastAsia="zh-CN"/>
                    </w:rPr>
                    <w:t>预测值</w:t>
                  </w:r>
                </w:p>
              </w:tc>
              <w:tc>
                <w:tcPr>
                  <w:tcW w:w="1562" w:type="dxa"/>
                  <w:vMerge w:val="restart"/>
                  <w:shd w:val="clear" w:color="auto" w:fill="auto"/>
                  <w:vAlign w:val="center"/>
                </w:tcPr>
                <w:p w14:paraId="09BDB6C2">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b/>
                      <w:bCs/>
                      <w:color w:val="auto"/>
                      <w:spacing w:val="6"/>
                      <w:sz w:val="21"/>
                      <w:highlight w:val="none"/>
                      <w:lang w:val="en-US" w:eastAsia="zh-CN"/>
                    </w:rPr>
                  </w:pPr>
                  <w:r>
                    <w:rPr>
                      <w:rFonts w:hint="eastAsia" w:ascii="Times New Roman" w:hAnsi="Times New Roman" w:eastAsia="宋体"/>
                      <w:b/>
                      <w:bCs/>
                      <w:color w:val="auto"/>
                      <w:spacing w:val="6"/>
                      <w:sz w:val="21"/>
                      <w:highlight w:val="none"/>
                      <w:lang w:val="en-US" w:eastAsia="zh-CN"/>
                    </w:rPr>
                    <w:t>标准值</w:t>
                  </w:r>
                </w:p>
              </w:tc>
              <w:tc>
                <w:tcPr>
                  <w:tcW w:w="984" w:type="dxa"/>
                  <w:vMerge w:val="restart"/>
                  <w:shd w:val="clear" w:color="auto" w:fill="auto"/>
                  <w:vAlign w:val="center"/>
                </w:tcPr>
                <w:p w14:paraId="68ED8830">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b/>
                      <w:bCs/>
                      <w:color w:val="auto"/>
                      <w:spacing w:val="6"/>
                      <w:sz w:val="21"/>
                      <w:highlight w:val="none"/>
                      <w:lang w:val="en-US" w:eastAsia="zh-CN"/>
                    </w:rPr>
                  </w:pPr>
                  <w:r>
                    <w:rPr>
                      <w:rFonts w:hint="eastAsia" w:ascii="Times New Roman" w:hAnsi="Times New Roman" w:eastAsia="宋体"/>
                      <w:b/>
                      <w:bCs/>
                      <w:color w:val="auto"/>
                      <w:spacing w:val="6"/>
                      <w:sz w:val="21"/>
                      <w:highlight w:val="none"/>
                      <w:lang w:val="en-US" w:eastAsia="zh-CN"/>
                    </w:rPr>
                    <w:t>达标情况</w:t>
                  </w:r>
                </w:p>
              </w:tc>
            </w:tr>
            <w:tr w14:paraId="3B1A39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372" w:type="dxa"/>
                  <w:vMerge w:val="continue"/>
                  <w:tcBorders>
                    <w:bottom w:val="single" w:color="auto" w:sz="12" w:space="0"/>
                  </w:tcBorders>
                  <w:shd w:val="clear" w:color="auto" w:fill="auto"/>
                  <w:vAlign w:val="center"/>
                </w:tcPr>
                <w:p w14:paraId="7594A8BE">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color w:val="auto"/>
                    </w:rPr>
                  </w:pPr>
                </w:p>
              </w:tc>
              <w:tc>
                <w:tcPr>
                  <w:tcW w:w="850" w:type="dxa"/>
                  <w:tcBorders>
                    <w:top w:val="single" w:color="auto" w:sz="6" w:space="0"/>
                    <w:bottom w:val="single" w:color="auto" w:sz="12" w:space="0"/>
                  </w:tcBorders>
                  <w:shd w:val="clear" w:color="auto" w:fill="auto"/>
                  <w:vAlign w:val="center"/>
                </w:tcPr>
                <w:p w14:paraId="64601ED8">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eastAsia="宋体"/>
                      <w:color w:val="auto"/>
                      <w:lang w:val="en-US" w:eastAsia="zh-CN"/>
                    </w:rPr>
                  </w:pPr>
                  <w:r>
                    <w:rPr>
                      <w:rFonts w:hint="eastAsia"/>
                      <w:color w:val="auto"/>
                      <w:lang w:val="en-US" w:eastAsia="zh-CN"/>
                    </w:rPr>
                    <w:t>昼间</w:t>
                  </w:r>
                </w:p>
              </w:tc>
              <w:tc>
                <w:tcPr>
                  <w:tcW w:w="826" w:type="dxa"/>
                  <w:tcBorders>
                    <w:top w:val="single" w:color="auto" w:sz="6" w:space="0"/>
                    <w:bottom w:val="single" w:color="auto" w:sz="12" w:space="0"/>
                  </w:tcBorders>
                  <w:shd w:val="clear" w:color="auto" w:fill="auto"/>
                  <w:vAlign w:val="center"/>
                </w:tcPr>
                <w:p w14:paraId="599FE737">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b/>
                      <w:bCs/>
                      <w:color w:val="auto"/>
                      <w:spacing w:val="5"/>
                      <w:sz w:val="21"/>
                      <w:highlight w:val="none"/>
                      <w:lang w:val="en-US" w:eastAsia="zh-CN"/>
                    </w:rPr>
                  </w:pPr>
                  <w:r>
                    <w:rPr>
                      <w:rFonts w:hint="eastAsia" w:ascii="Times New Roman" w:hAnsi="Times New Roman"/>
                      <w:b w:val="0"/>
                      <w:bCs w:val="0"/>
                      <w:color w:val="auto"/>
                      <w:spacing w:val="5"/>
                      <w:sz w:val="21"/>
                      <w:highlight w:val="none"/>
                      <w:lang w:val="en-US" w:eastAsia="zh-CN"/>
                    </w:rPr>
                    <w:t>夜间</w:t>
                  </w:r>
                </w:p>
              </w:tc>
              <w:tc>
                <w:tcPr>
                  <w:tcW w:w="847" w:type="dxa"/>
                  <w:tcBorders>
                    <w:bottom w:val="single" w:color="auto" w:sz="12" w:space="0"/>
                  </w:tcBorders>
                  <w:shd w:val="clear" w:color="auto" w:fill="auto"/>
                  <w:vAlign w:val="center"/>
                </w:tcPr>
                <w:p w14:paraId="16F52F12">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b/>
                      <w:bCs/>
                      <w:color w:val="auto"/>
                      <w:spacing w:val="5"/>
                      <w:sz w:val="21"/>
                      <w:highlight w:val="none"/>
                      <w:lang w:val="en-US" w:eastAsia="zh-CN"/>
                    </w:rPr>
                  </w:pPr>
                  <w:r>
                    <w:rPr>
                      <w:rFonts w:hint="eastAsia"/>
                      <w:color w:val="auto"/>
                      <w:lang w:val="en-US" w:eastAsia="zh-CN"/>
                    </w:rPr>
                    <w:t>昼间</w:t>
                  </w:r>
                </w:p>
              </w:tc>
              <w:tc>
                <w:tcPr>
                  <w:tcW w:w="820" w:type="dxa"/>
                  <w:tcBorders>
                    <w:bottom w:val="single" w:color="auto" w:sz="12" w:space="0"/>
                  </w:tcBorders>
                  <w:shd w:val="clear" w:color="auto" w:fill="auto"/>
                  <w:vAlign w:val="center"/>
                </w:tcPr>
                <w:p w14:paraId="6C84566B">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b/>
                      <w:bCs/>
                      <w:color w:val="auto"/>
                      <w:spacing w:val="5"/>
                      <w:sz w:val="21"/>
                      <w:highlight w:val="none"/>
                      <w:lang w:val="en-US" w:eastAsia="zh-CN"/>
                    </w:rPr>
                  </w:pPr>
                  <w:r>
                    <w:rPr>
                      <w:rFonts w:hint="eastAsia" w:ascii="Times New Roman" w:hAnsi="Times New Roman"/>
                      <w:b w:val="0"/>
                      <w:bCs w:val="0"/>
                      <w:color w:val="auto"/>
                      <w:spacing w:val="5"/>
                      <w:sz w:val="21"/>
                      <w:highlight w:val="none"/>
                      <w:lang w:val="en-US" w:eastAsia="zh-CN"/>
                    </w:rPr>
                    <w:t>夜间</w:t>
                  </w:r>
                </w:p>
              </w:tc>
              <w:tc>
                <w:tcPr>
                  <w:tcW w:w="844" w:type="dxa"/>
                  <w:tcBorders>
                    <w:bottom w:val="single" w:color="auto" w:sz="12" w:space="0"/>
                  </w:tcBorders>
                  <w:shd w:val="clear" w:color="auto" w:fill="auto"/>
                  <w:vAlign w:val="center"/>
                </w:tcPr>
                <w:p w14:paraId="72B5ACB5">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b w:val="0"/>
                      <w:bCs w:val="0"/>
                      <w:color w:val="auto"/>
                      <w:spacing w:val="5"/>
                      <w:sz w:val="21"/>
                      <w:highlight w:val="none"/>
                      <w:lang w:val="en-US" w:eastAsia="zh-CN"/>
                    </w:rPr>
                  </w:pPr>
                  <w:r>
                    <w:rPr>
                      <w:rFonts w:hint="eastAsia"/>
                      <w:color w:val="auto"/>
                      <w:lang w:val="en-US" w:eastAsia="zh-CN"/>
                    </w:rPr>
                    <w:t>昼间</w:t>
                  </w:r>
                </w:p>
              </w:tc>
              <w:tc>
                <w:tcPr>
                  <w:tcW w:w="820" w:type="dxa"/>
                  <w:tcBorders>
                    <w:bottom w:val="single" w:color="auto" w:sz="12" w:space="0"/>
                  </w:tcBorders>
                  <w:shd w:val="clear" w:color="auto" w:fill="auto"/>
                  <w:vAlign w:val="center"/>
                </w:tcPr>
                <w:p w14:paraId="774536E0">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b w:val="0"/>
                      <w:bCs w:val="0"/>
                      <w:color w:val="auto"/>
                      <w:spacing w:val="5"/>
                      <w:sz w:val="21"/>
                      <w:highlight w:val="none"/>
                      <w:lang w:val="en-US" w:eastAsia="zh-CN"/>
                    </w:rPr>
                  </w:pPr>
                  <w:r>
                    <w:rPr>
                      <w:rFonts w:hint="eastAsia" w:ascii="Times New Roman" w:hAnsi="Times New Roman"/>
                      <w:b w:val="0"/>
                      <w:bCs w:val="0"/>
                      <w:color w:val="auto"/>
                      <w:spacing w:val="5"/>
                      <w:sz w:val="21"/>
                      <w:highlight w:val="none"/>
                      <w:lang w:val="en-US" w:eastAsia="zh-CN"/>
                    </w:rPr>
                    <w:t>夜间</w:t>
                  </w:r>
                </w:p>
              </w:tc>
              <w:tc>
                <w:tcPr>
                  <w:tcW w:w="1562" w:type="dxa"/>
                  <w:vMerge w:val="continue"/>
                  <w:tcBorders>
                    <w:bottom w:val="single" w:color="auto" w:sz="12" w:space="0"/>
                  </w:tcBorders>
                  <w:shd w:val="clear" w:color="auto" w:fill="auto"/>
                  <w:vAlign w:val="center"/>
                </w:tcPr>
                <w:p w14:paraId="6A7BDE40">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b/>
                      <w:bCs/>
                      <w:color w:val="auto"/>
                      <w:spacing w:val="5"/>
                      <w:sz w:val="21"/>
                      <w:highlight w:val="none"/>
                      <w:lang w:val="en-US" w:eastAsia="zh-CN"/>
                    </w:rPr>
                  </w:pPr>
                </w:p>
              </w:tc>
              <w:tc>
                <w:tcPr>
                  <w:tcW w:w="984" w:type="dxa"/>
                  <w:vMerge w:val="continue"/>
                  <w:tcBorders>
                    <w:bottom w:val="single" w:color="auto" w:sz="12" w:space="0"/>
                  </w:tcBorders>
                  <w:shd w:val="clear" w:color="auto" w:fill="auto"/>
                  <w:vAlign w:val="center"/>
                </w:tcPr>
                <w:p w14:paraId="0A68CA75">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b/>
                      <w:bCs/>
                      <w:color w:val="auto"/>
                      <w:spacing w:val="5"/>
                      <w:sz w:val="21"/>
                      <w:highlight w:val="none"/>
                      <w:lang w:val="en-US" w:eastAsia="zh-CN"/>
                    </w:rPr>
                  </w:pPr>
                </w:p>
              </w:tc>
            </w:tr>
            <w:tr w14:paraId="323385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72" w:type="dxa"/>
                  <w:tcBorders>
                    <w:top w:val="single" w:color="auto" w:sz="12" w:space="0"/>
                    <w:tl2br w:val="nil"/>
                    <w:tr2bl w:val="nil"/>
                  </w:tcBorders>
                  <w:shd w:val="clear" w:color="auto" w:fill="auto"/>
                  <w:vAlign w:val="center"/>
                </w:tcPr>
                <w:p w14:paraId="003182DD">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宋体" w:cs="宋体"/>
                      <w:color w:val="auto"/>
                      <w:kern w:val="2"/>
                      <w:sz w:val="21"/>
                      <w:szCs w:val="24"/>
                      <w:highlight w:val="none"/>
                      <w:lang w:val="en-US" w:eastAsia="en-US" w:bidi="ar-SA"/>
                    </w:rPr>
                  </w:pPr>
                  <w:r>
                    <w:rPr>
                      <w:rFonts w:hint="eastAsia" w:ascii="Times New Roman" w:hAnsi="Times New Roman"/>
                      <w:color w:val="auto"/>
                      <w:spacing w:val="4"/>
                      <w:sz w:val="21"/>
                      <w:highlight w:val="none"/>
                      <w:lang w:val="en-US" w:eastAsia="zh-CN"/>
                    </w:rPr>
                    <w:t>北侧</w:t>
                  </w:r>
                  <w:r>
                    <w:rPr>
                      <w:rFonts w:ascii="Times New Roman" w:hAnsi="Times New Roman" w:eastAsia="宋体"/>
                      <w:color w:val="auto"/>
                      <w:spacing w:val="4"/>
                      <w:sz w:val="21"/>
                      <w:highlight w:val="none"/>
                    </w:rPr>
                    <w:t>厂界</w:t>
                  </w:r>
                </w:p>
              </w:tc>
              <w:tc>
                <w:tcPr>
                  <w:tcW w:w="850" w:type="dxa"/>
                  <w:tcBorders>
                    <w:top w:val="single" w:color="auto" w:sz="12" w:space="0"/>
                    <w:tl2br w:val="nil"/>
                    <w:tr2bl w:val="nil"/>
                  </w:tcBorders>
                  <w:shd w:val="clear" w:color="auto" w:fill="auto"/>
                  <w:vAlign w:val="center"/>
                </w:tcPr>
                <w:p w14:paraId="4304A5DE">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olor w:val="auto"/>
                      <w:spacing w:val="4"/>
                      <w:sz w:val="21"/>
                      <w:highlight w:val="none"/>
                      <w:lang w:val="en-US" w:eastAsia="zh-CN"/>
                    </w:rPr>
                  </w:pPr>
                  <w:r>
                    <w:rPr>
                      <w:rFonts w:hint="eastAsia" w:ascii="Times New Roman" w:hAnsi="Times New Roman"/>
                      <w:color w:val="auto"/>
                      <w:spacing w:val="4"/>
                      <w:sz w:val="21"/>
                      <w:highlight w:val="none"/>
                      <w:lang w:val="en-US" w:eastAsia="zh-CN"/>
                    </w:rPr>
                    <w:t>57.6</w:t>
                  </w:r>
                </w:p>
              </w:tc>
              <w:tc>
                <w:tcPr>
                  <w:tcW w:w="826" w:type="dxa"/>
                  <w:tcBorders>
                    <w:top w:val="single" w:color="auto" w:sz="12" w:space="0"/>
                    <w:tl2br w:val="nil"/>
                    <w:tr2bl w:val="nil"/>
                  </w:tcBorders>
                  <w:shd w:val="clear" w:color="auto" w:fill="auto"/>
                  <w:vAlign w:val="center"/>
                </w:tcPr>
                <w:p w14:paraId="703DE682">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olor w:val="auto"/>
                      <w:spacing w:val="4"/>
                      <w:sz w:val="21"/>
                      <w:highlight w:val="none"/>
                      <w:lang w:val="en-US" w:eastAsia="zh-CN"/>
                    </w:rPr>
                  </w:pPr>
                  <w:r>
                    <w:rPr>
                      <w:rFonts w:hint="eastAsia" w:ascii="Times New Roman" w:hAnsi="Times New Roman"/>
                      <w:color w:val="auto"/>
                      <w:spacing w:val="4"/>
                      <w:sz w:val="21"/>
                      <w:highlight w:val="none"/>
                      <w:lang w:val="en-US" w:eastAsia="zh-CN"/>
                    </w:rPr>
                    <w:t>48.3</w:t>
                  </w:r>
                </w:p>
              </w:tc>
              <w:tc>
                <w:tcPr>
                  <w:tcW w:w="847" w:type="dxa"/>
                  <w:tcBorders>
                    <w:top w:val="single" w:color="auto" w:sz="12" w:space="0"/>
                    <w:tl2br w:val="nil"/>
                    <w:tr2bl w:val="nil"/>
                  </w:tcBorders>
                  <w:shd w:val="clear" w:color="auto" w:fill="auto"/>
                  <w:vAlign w:val="center"/>
                </w:tcPr>
                <w:p w14:paraId="505D9983">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5"/>
                      <w:sz w:val="21"/>
                      <w:highlight w:val="none"/>
                      <w:lang w:val="en-US" w:eastAsia="zh-CN"/>
                    </w:rPr>
                  </w:pPr>
                  <w:r>
                    <w:rPr>
                      <w:rFonts w:hint="eastAsia" w:ascii="Times New Roman" w:hAnsi="Times New Roman"/>
                      <w:color w:val="auto"/>
                      <w:spacing w:val="5"/>
                      <w:sz w:val="21"/>
                      <w:highlight w:val="none"/>
                      <w:lang w:val="en-US" w:eastAsia="zh-CN"/>
                    </w:rPr>
                    <w:t>50.0</w:t>
                  </w:r>
                </w:p>
              </w:tc>
              <w:tc>
                <w:tcPr>
                  <w:tcW w:w="820" w:type="dxa"/>
                  <w:tcBorders>
                    <w:top w:val="single" w:color="auto" w:sz="12" w:space="0"/>
                    <w:tl2br w:val="nil"/>
                    <w:tr2bl w:val="nil"/>
                  </w:tcBorders>
                  <w:shd w:val="clear" w:color="auto" w:fill="auto"/>
                  <w:vAlign w:val="center"/>
                </w:tcPr>
                <w:p w14:paraId="48DE43F8">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42.3</w:t>
                  </w:r>
                </w:p>
              </w:tc>
              <w:tc>
                <w:tcPr>
                  <w:tcW w:w="844" w:type="dxa"/>
                  <w:tcBorders>
                    <w:top w:val="single" w:color="auto" w:sz="12" w:space="0"/>
                    <w:tl2br w:val="nil"/>
                    <w:tr2bl w:val="nil"/>
                  </w:tcBorders>
                  <w:shd w:val="clear" w:color="auto" w:fill="auto"/>
                  <w:vAlign w:val="center"/>
                </w:tcPr>
                <w:p w14:paraId="7594CE48">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58.3</w:t>
                  </w:r>
                </w:p>
              </w:tc>
              <w:tc>
                <w:tcPr>
                  <w:tcW w:w="820" w:type="dxa"/>
                  <w:tcBorders>
                    <w:top w:val="single" w:color="auto" w:sz="12" w:space="0"/>
                    <w:tl2br w:val="nil"/>
                    <w:tr2bl w:val="nil"/>
                  </w:tcBorders>
                  <w:shd w:val="clear" w:color="auto" w:fill="auto"/>
                  <w:vAlign w:val="center"/>
                </w:tcPr>
                <w:p w14:paraId="054B7FFD">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49.3</w:t>
                  </w:r>
                </w:p>
              </w:tc>
              <w:tc>
                <w:tcPr>
                  <w:tcW w:w="1562" w:type="dxa"/>
                  <w:vMerge w:val="restart"/>
                  <w:tcBorders>
                    <w:top w:val="single" w:color="auto" w:sz="12" w:space="0"/>
                    <w:tl2br w:val="nil"/>
                    <w:tr2bl w:val="nil"/>
                  </w:tcBorders>
                  <w:shd w:val="clear" w:color="auto" w:fill="auto"/>
                  <w:vAlign w:val="center"/>
                </w:tcPr>
                <w:p w14:paraId="2A849479">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Arial" w:hAnsi="Arial" w:cs="Arial"/>
                      <w:color w:val="auto"/>
                      <w:position w:val="2"/>
                      <w:sz w:val="21"/>
                      <w:szCs w:val="20"/>
                      <w:highlight w:val="none"/>
                      <w:lang w:val="en-US" w:eastAsia="zh-CN"/>
                    </w:rPr>
                  </w:pPr>
                  <w:r>
                    <w:rPr>
                      <w:rFonts w:hint="eastAsia" w:ascii="Times New Roman" w:hAnsi="Times New Roman" w:eastAsia="宋体" w:cs="Times New Roman"/>
                      <w:color w:val="auto"/>
                      <w:position w:val="2"/>
                      <w:sz w:val="21"/>
                      <w:szCs w:val="20"/>
                      <w:highlight w:val="none"/>
                      <w:lang w:val="en-US" w:eastAsia="zh-CN"/>
                    </w:rPr>
                    <w:t>昼间</w:t>
                  </w:r>
                  <w:r>
                    <w:rPr>
                      <w:rFonts w:hint="default" w:ascii="Arial" w:hAnsi="Arial" w:cs="Arial"/>
                      <w:color w:val="auto"/>
                      <w:position w:val="2"/>
                      <w:sz w:val="21"/>
                      <w:szCs w:val="20"/>
                      <w:highlight w:val="none"/>
                      <w:lang w:val="en-US" w:eastAsia="zh-CN"/>
                    </w:rPr>
                    <w:t>≤</w:t>
                  </w:r>
                  <w:r>
                    <w:rPr>
                      <w:rFonts w:hint="eastAsia" w:cs="Times New Roman"/>
                      <w:color w:val="auto"/>
                      <w:position w:val="2"/>
                      <w:sz w:val="21"/>
                      <w:szCs w:val="20"/>
                      <w:highlight w:val="none"/>
                      <w:lang w:val="en-US" w:eastAsia="zh-CN"/>
                    </w:rPr>
                    <w:t>6</w:t>
                  </w:r>
                  <w:r>
                    <w:rPr>
                      <w:rFonts w:hint="eastAsia" w:ascii="Times New Roman" w:hAnsi="Times New Roman" w:cs="Times New Roman"/>
                      <w:color w:val="auto"/>
                      <w:position w:val="2"/>
                      <w:sz w:val="21"/>
                      <w:szCs w:val="20"/>
                      <w:highlight w:val="none"/>
                      <w:lang w:val="en-US" w:eastAsia="zh-CN"/>
                    </w:rPr>
                    <w:t>0</w:t>
                  </w:r>
                  <w:r>
                    <w:rPr>
                      <w:rFonts w:hint="eastAsia" w:cs="Times New Roman"/>
                      <w:color w:val="auto"/>
                      <w:position w:val="2"/>
                      <w:sz w:val="21"/>
                      <w:szCs w:val="20"/>
                      <w:highlight w:val="none"/>
                      <w:lang w:val="en-US" w:eastAsia="zh-CN"/>
                    </w:rPr>
                    <w:t>dB；</w:t>
                  </w:r>
                </w:p>
                <w:p w14:paraId="111B735D">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Arial" w:hAnsi="Arial" w:cs="Arial"/>
                      <w:color w:val="auto"/>
                      <w:position w:val="2"/>
                      <w:sz w:val="21"/>
                      <w:szCs w:val="20"/>
                      <w:highlight w:val="none"/>
                      <w:lang w:val="en-US" w:eastAsia="zh-CN"/>
                    </w:rPr>
                  </w:pPr>
                  <w:r>
                    <w:rPr>
                      <w:rFonts w:hint="eastAsia" w:ascii="Arial" w:hAnsi="Arial" w:cs="Arial"/>
                      <w:color w:val="auto"/>
                      <w:position w:val="2"/>
                      <w:sz w:val="21"/>
                      <w:szCs w:val="20"/>
                      <w:highlight w:val="none"/>
                      <w:lang w:val="en-US" w:eastAsia="zh-CN"/>
                    </w:rPr>
                    <w:t>夜间</w:t>
                  </w:r>
                  <w:r>
                    <w:rPr>
                      <w:rFonts w:hint="default" w:ascii="Times New Roman" w:hAnsi="Times New Roman" w:cs="Arial"/>
                      <w:color w:val="auto"/>
                      <w:position w:val="2"/>
                      <w:sz w:val="21"/>
                      <w:szCs w:val="20"/>
                      <w:highlight w:val="none"/>
                      <w:lang w:val="en-US" w:eastAsia="zh-CN"/>
                    </w:rPr>
                    <w:t>≤</w:t>
                  </w:r>
                  <w:r>
                    <w:rPr>
                      <w:rFonts w:hint="eastAsia" w:ascii="Times New Roman" w:hAnsi="Times New Roman" w:cs="Arial"/>
                      <w:color w:val="auto"/>
                      <w:position w:val="2"/>
                      <w:sz w:val="21"/>
                      <w:szCs w:val="20"/>
                      <w:highlight w:val="none"/>
                      <w:lang w:val="en-US" w:eastAsia="zh-CN"/>
                    </w:rPr>
                    <w:t>50dB</w:t>
                  </w:r>
                </w:p>
              </w:tc>
              <w:tc>
                <w:tcPr>
                  <w:tcW w:w="984" w:type="dxa"/>
                  <w:vMerge w:val="restart"/>
                  <w:tcBorders>
                    <w:top w:val="single" w:color="auto" w:sz="12" w:space="0"/>
                    <w:tl2br w:val="nil"/>
                    <w:tr2bl w:val="nil"/>
                  </w:tcBorders>
                  <w:shd w:val="clear" w:color="auto" w:fill="auto"/>
                  <w:vAlign w:val="center"/>
                </w:tcPr>
                <w:p w14:paraId="178D323E">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auto"/>
                      <w:position w:val="2"/>
                      <w:sz w:val="21"/>
                      <w:szCs w:val="20"/>
                      <w:highlight w:val="none"/>
                      <w:lang w:val="en-US" w:eastAsia="zh-CN"/>
                    </w:rPr>
                  </w:pPr>
                  <w:r>
                    <w:rPr>
                      <w:rFonts w:hint="eastAsia" w:ascii="Times New Roman" w:hAnsi="Times New Roman" w:eastAsia="宋体" w:cs="Times New Roman"/>
                      <w:color w:val="auto"/>
                      <w:position w:val="2"/>
                      <w:sz w:val="21"/>
                      <w:szCs w:val="20"/>
                      <w:highlight w:val="none"/>
                      <w:lang w:val="en-US" w:eastAsia="zh-CN"/>
                    </w:rPr>
                    <w:t>达标</w:t>
                  </w:r>
                </w:p>
              </w:tc>
            </w:tr>
            <w:tr w14:paraId="112FCB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72" w:type="dxa"/>
                  <w:tcBorders>
                    <w:tl2br w:val="nil"/>
                    <w:tr2bl w:val="nil"/>
                  </w:tcBorders>
                  <w:shd w:val="clear" w:color="auto" w:fill="auto"/>
                  <w:vAlign w:val="center"/>
                </w:tcPr>
                <w:p w14:paraId="060A7CBF">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宋体" w:cs="宋体"/>
                      <w:color w:val="auto"/>
                      <w:kern w:val="2"/>
                      <w:sz w:val="21"/>
                      <w:szCs w:val="24"/>
                      <w:highlight w:val="none"/>
                      <w:lang w:val="en-US" w:eastAsia="en-US" w:bidi="ar-SA"/>
                    </w:rPr>
                  </w:pPr>
                  <w:r>
                    <w:rPr>
                      <w:rFonts w:ascii="Times New Roman" w:hAnsi="Times New Roman" w:eastAsia="宋体"/>
                      <w:color w:val="auto"/>
                      <w:spacing w:val="5"/>
                      <w:sz w:val="21"/>
                      <w:highlight w:val="none"/>
                    </w:rPr>
                    <w:t>西</w:t>
                  </w:r>
                  <w:r>
                    <w:rPr>
                      <w:rFonts w:hint="eastAsia" w:ascii="Times New Roman" w:hAnsi="Times New Roman"/>
                      <w:color w:val="auto"/>
                      <w:spacing w:val="4"/>
                      <w:sz w:val="21"/>
                      <w:highlight w:val="none"/>
                      <w:lang w:val="en-US" w:eastAsia="zh-CN"/>
                    </w:rPr>
                    <w:t>侧</w:t>
                  </w:r>
                  <w:r>
                    <w:rPr>
                      <w:rFonts w:ascii="Times New Roman" w:hAnsi="Times New Roman" w:eastAsia="宋体"/>
                      <w:color w:val="auto"/>
                      <w:spacing w:val="5"/>
                      <w:sz w:val="21"/>
                      <w:highlight w:val="none"/>
                    </w:rPr>
                    <w:t>厂界</w:t>
                  </w:r>
                </w:p>
              </w:tc>
              <w:tc>
                <w:tcPr>
                  <w:tcW w:w="850" w:type="dxa"/>
                  <w:tcBorders>
                    <w:tl2br w:val="nil"/>
                    <w:tr2bl w:val="nil"/>
                  </w:tcBorders>
                  <w:shd w:val="clear" w:color="auto" w:fill="auto"/>
                  <w:vAlign w:val="center"/>
                </w:tcPr>
                <w:p w14:paraId="1A10D0B7">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olor w:val="auto"/>
                      <w:spacing w:val="5"/>
                      <w:sz w:val="21"/>
                      <w:highlight w:val="none"/>
                      <w:lang w:val="en-US" w:eastAsia="zh-CN"/>
                    </w:rPr>
                  </w:pPr>
                  <w:r>
                    <w:rPr>
                      <w:rFonts w:hint="eastAsia" w:ascii="Times New Roman" w:hAnsi="Times New Roman"/>
                      <w:color w:val="auto"/>
                      <w:spacing w:val="5"/>
                      <w:sz w:val="21"/>
                      <w:highlight w:val="none"/>
                      <w:lang w:val="en-US" w:eastAsia="zh-CN"/>
                    </w:rPr>
                    <w:t>58.4</w:t>
                  </w:r>
                </w:p>
              </w:tc>
              <w:tc>
                <w:tcPr>
                  <w:tcW w:w="826" w:type="dxa"/>
                  <w:tcBorders>
                    <w:tl2br w:val="nil"/>
                    <w:tr2bl w:val="nil"/>
                  </w:tcBorders>
                  <w:shd w:val="clear" w:color="auto" w:fill="auto"/>
                  <w:vAlign w:val="center"/>
                </w:tcPr>
                <w:p w14:paraId="52427005">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olor w:val="auto"/>
                      <w:spacing w:val="5"/>
                      <w:sz w:val="21"/>
                      <w:highlight w:val="none"/>
                      <w:lang w:val="en-US" w:eastAsia="zh-CN"/>
                    </w:rPr>
                  </w:pPr>
                  <w:r>
                    <w:rPr>
                      <w:rFonts w:hint="eastAsia" w:ascii="Times New Roman" w:hAnsi="Times New Roman"/>
                      <w:color w:val="auto"/>
                      <w:spacing w:val="5"/>
                      <w:sz w:val="21"/>
                      <w:highlight w:val="none"/>
                      <w:lang w:val="en-US" w:eastAsia="zh-CN"/>
                    </w:rPr>
                    <w:t>49.3</w:t>
                  </w:r>
                </w:p>
              </w:tc>
              <w:tc>
                <w:tcPr>
                  <w:tcW w:w="847" w:type="dxa"/>
                  <w:tcBorders>
                    <w:tl2br w:val="nil"/>
                    <w:tr2bl w:val="nil"/>
                  </w:tcBorders>
                  <w:shd w:val="clear" w:color="auto" w:fill="auto"/>
                  <w:vAlign w:val="center"/>
                </w:tcPr>
                <w:p w14:paraId="514BAD78">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5"/>
                      <w:sz w:val="21"/>
                      <w:highlight w:val="none"/>
                      <w:lang w:val="en-US" w:eastAsia="zh-CN"/>
                    </w:rPr>
                  </w:pPr>
                  <w:r>
                    <w:rPr>
                      <w:rFonts w:hint="eastAsia" w:ascii="Times New Roman" w:hAnsi="Times New Roman"/>
                      <w:color w:val="auto"/>
                      <w:spacing w:val="5"/>
                      <w:sz w:val="21"/>
                      <w:highlight w:val="none"/>
                      <w:lang w:val="en-US" w:eastAsia="zh-CN"/>
                    </w:rPr>
                    <w:t>49.0</w:t>
                  </w:r>
                </w:p>
              </w:tc>
              <w:tc>
                <w:tcPr>
                  <w:tcW w:w="820" w:type="dxa"/>
                  <w:tcBorders>
                    <w:tl2br w:val="nil"/>
                    <w:tr2bl w:val="nil"/>
                  </w:tcBorders>
                  <w:shd w:val="clear" w:color="auto" w:fill="auto"/>
                  <w:vAlign w:val="center"/>
                </w:tcPr>
                <w:p w14:paraId="2C9DC7BB">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40.1</w:t>
                  </w:r>
                </w:p>
              </w:tc>
              <w:tc>
                <w:tcPr>
                  <w:tcW w:w="844" w:type="dxa"/>
                  <w:tcBorders>
                    <w:tl2br w:val="nil"/>
                    <w:tr2bl w:val="nil"/>
                  </w:tcBorders>
                  <w:shd w:val="clear" w:color="auto" w:fill="auto"/>
                  <w:vAlign w:val="center"/>
                </w:tcPr>
                <w:p w14:paraId="7BE9DDE7">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58.9</w:t>
                  </w:r>
                </w:p>
              </w:tc>
              <w:tc>
                <w:tcPr>
                  <w:tcW w:w="820" w:type="dxa"/>
                  <w:tcBorders>
                    <w:tl2br w:val="nil"/>
                    <w:tr2bl w:val="nil"/>
                  </w:tcBorders>
                  <w:shd w:val="clear" w:color="auto" w:fill="auto"/>
                  <w:vAlign w:val="center"/>
                </w:tcPr>
                <w:p w14:paraId="02F2A376">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49.8</w:t>
                  </w:r>
                </w:p>
              </w:tc>
              <w:tc>
                <w:tcPr>
                  <w:tcW w:w="1562" w:type="dxa"/>
                  <w:vMerge w:val="continue"/>
                  <w:tcBorders>
                    <w:tl2br w:val="nil"/>
                    <w:tr2bl w:val="nil"/>
                  </w:tcBorders>
                  <w:shd w:val="clear" w:color="auto" w:fill="auto"/>
                  <w:vAlign w:val="center"/>
                </w:tcPr>
                <w:p w14:paraId="3AA03E81">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ascii="Times New Roman" w:hAnsi="Times New Roman" w:eastAsia="宋体" w:cs="Times New Roman"/>
                      <w:color w:val="auto"/>
                      <w:kern w:val="2"/>
                      <w:sz w:val="21"/>
                      <w:szCs w:val="20"/>
                      <w:highlight w:val="none"/>
                      <w:lang w:val="en-US" w:eastAsia="zh-CN" w:bidi="ar-SA"/>
                    </w:rPr>
                  </w:pPr>
                </w:p>
              </w:tc>
              <w:tc>
                <w:tcPr>
                  <w:tcW w:w="984" w:type="dxa"/>
                  <w:vMerge w:val="continue"/>
                  <w:tcBorders>
                    <w:tl2br w:val="nil"/>
                    <w:tr2bl w:val="nil"/>
                  </w:tcBorders>
                  <w:shd w:val="clear" w:color="auto" w:fill="auto"/>
                  <w:vAlign w:val="center"/>
                </w:tcPr>
                <w:p w14:paraId="4093C29F">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ascii="Times New Roman" w:hAnsi="Times New Roman" w:eastAsia="宋体" w:cs="Times New Roman"/>
                      <w:color w:val="auto"/>
                      <w:kern w:val="2"/>
                      <w:sz w:val="21"/>
                      <w:szCs w:val="20"/>
                      <w:highlight w:val="none"/>
                      <w:lang w:val="en-US" w:eastAsia="zh-CN" w:bidi="ar-SA"/>
                    </w:rPr>
                  </w:pPr>
                </w:p>
              </w:tc>
            </w:tr>
            <w:tr w14:paraId="2B1E15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72" w:type="dxa"/>
                  <w:tcBorders>
                    <w:tl2br w:val="nil"/>
                    <w:tr2bl w:val="nil"/>
                  </w:tcBorders>
                  <w:shd w:val="clear" w:color="auto" w:fill="auto"/>
                  <w:vAlign w:val="center"/>
                </w:tcPr>
                <w:p w14:paraId="67FBE098">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宋体" w:cs="宋体"/>
                      <w:color w:val="auto"/>
                      <w:kern w:val="2"/>
                      <w:sz w:val="21"/>
                      <w:szCs w:val="24"/>
                      <w:highlight w:val="none"/>
                      <w:lang w:val="en-US" w:eastAsia="en-US" w:bidi="ar-SA"/>
                    </w:rPr>
                  </w:pPr>
                  <w:r>
                    <w:rPr>
                      <w:rFonts w:hint="eastAsia" w:ascii="Times New Roman" w:hAnsi="Times New Roman"/>
                      <w:color w:val="auto"/>
                      <w:spacing w:val="6"/>
                      <w:sz w:val="21"/>
                      <w:highlight w:val="none"/>
                      <w:lang w:val="en-US" w:eastAsia="zh-CN"/>
                    </w:rPr>
                    <w:t>东</w:t>
                  </w:r>
                  <w:r>
                    <w:rPr>
                      <w:rFonts w:ascii="Times New Roman" w:hAnsi="Times New Roman" w:eastAsia="宋体"/>
                      <w:color w:val="auto"/>
                      <w:spacing w:val="6"/>
                      <w:sz w:val="21"/>
                      <w:highlight w:val="none"/>
                    </w:rPr>
                    <w:t>南</w:t>
                  </w:r>
                  <w:r>
                    <w:rPr>
                      <w:rFonts w:hint="eastAsia" w:ascii="Times New Roman" w:hAnsi="Times New Roman"/>
                      <w:color w:val="auto"/>
                      <w:spacing w:val="4"/>
                      <w:sz w:val="21"/>
                      <w:highlight w:val="none"/>
                      <w:lang w:val="en-US" w:eastAsia="zh-CN"/>
                    </w:rPr>
                    <w:t>侧</w:t>
                  </w:r>
                  <w:r>
                    <w:rPr>
                      <w:rFonts w:ascii="Times New Roman" w:hAnsi="Times New Roman" w:eastAsia="宋体"/>
                      <w:color w:val="auto"/>
                      <w:spacing w:val="6"/>
                      <w:sz w:val="21"/>
                      <w:highlight w:val="none"/>
                    </w:rPr>
                    <w:t>厂界</w:t>
                  </w:r>
                </w:p>
              </w:tc>
              <w:tc>
                <w:tcPr>
                  <w:tcW w:w="850" w:type="dxa"/>
                  <w:tcBorders>
                    <w:tl2br w:val="nil"/>
                    <w:tr2bl w:val="nil"/>
                  </w:tcBorders>
                  <w:shd w:val="clear" w:color="auto" w:fill="auto"/>
                  <w:vAlign w:val="center"/>
                </w:tcPr>
                <w:p w14:paraId="4F8AF20B">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olor w:val="auto"/>
                      <w:spacing w:val="6"/>
                      <w:sz w:val="21"/>
                      <w:highlight w:val="none"/>
                      <w:lang w:val="en-US" w:eastAsia="zh-CN"/>
                    </w:rPr>
                  </w:pPr>
                  <w:r>
                    <w:rPr>
                      <w:rFonts w:hint="eastAsia" w:ascii="Times New Roman" w:hAnsi="Times New Roman"/>
                      <w:color w:val="auto"/>
                      <w:spacing w:val="6"/>
                      <w:sz w:val="21"/>
                      <w:highlight w:val="none"/>
                      <w:lang w:val="en-US" w:eastAsia="zh-CN"/>
                    </w:rPr>
                    <w:t>55.3</w:t>
                  </w:r>
                </w:p>
              </w:tc>
              <w:tc>
                <w:tcPr>
                  <w:tcW w:w="826" w:type="dxa"/>
                  <w:tcBorders>
                    <w:tl2br w:val="nil"/>
                    <w:tr2bl w:val="nil"/>
                  </w:tcBorders>
                  <w:shd w:val="clear" w:color="auto" w:fill="auto"/>
                  <w:vAlign w:val="center"/>
                </w:tcPr>
                <w:p w14:paraId="2262C717">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olor w:val="auto"/>
                      <w:spacing w:val="6"/>
                      <w:sz w:val="21"/>
                      <w:highlight w:val="none"/>
                      <w:lang w:val="en-US" w:eastAsia="zh-CN"/>
                    </w:rPr>
                  </w:pPr>
                  <w:r>
                    <w:rPr>
                      <w:rFonts w:hint="eastAsia" w:ascii="Times New Roman" w:hAnsi="Times New Roman"/>
                      <w:color w:val="auto"/>
                      <w:spacing w:val="6"/>
                      <w:sz w:val="21"/>
                      <w:highlight w:val="none"/>
                      <w:lang w:val="en-US" w:eastAsia="zh-CN"/>
                    </w:rPr>
                    <w:t>46.4</w:t>
                  </w:r>
                </w:p>
              </w:tc>
              <w:tc>
                <w:tcPr>
                  <w:tcW w:w="847" w:type="dxa"/>
                  <w:tcBorders>
                    <w:tl2br w:val="nil"/>
                    <w:tr2bl w:val="nil"/>
                  </w:tcBorders>
                  <w:shd w:val="clear" w:color="auto" w:fill="auto"/>
                  <w:vAlign w:val="center"/>
                </w:tcPr>
                <w:p w14:paraId="3ACA0F71">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5"/>
                      <w:sz w:val="21"/>
                      <w:highlight w:val="none"/>
                      <w:lang w:val="en-US" w:eastAsia="zh-CN"/>
                    </w:rPr>
                  </w:pPr>
                  <w:r>
                    <w:rPr>
                      <w:rFonts w:hint="eastAsia" w:ascii="Times New Roman" w:hAnsi="Times New Roman"/>
                      <w:color w:val="auto"/>
                      <w:spacing w:val="5"/>
                      <w:sz w:val="21"/>
                      <w:highlight w:val="none"/>
                      <w:lang w:val="en-US" w:eastAsia="zh-CN"/>
                    </w:rPr>
                    <w:t>48.6</w:t>
                  </w:r>
                </w:p>
              </w:tc>
              <w:tc>
                <w:tcPr>
                  <w:tcW w:w="820" w:type="dxa"/>
                  <w:tcBorders>
                    <w:tl2br w:val="nil"/>
                    <w:tr2bl w:val="nil"/>
                  </w:tcBorders>
                  <w:shd w:val="clear" w:color="auto" w:fill="auto"/>
                  <w:vAlign w:val="center"/>
                </w:tcPr>
                <w:p w14:paraId="320BC68F">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40.4</w:t>
                  </w:r>
                </w:p>
              </w:tc>
              <w:tc>
                <w:tcPr>
                  <w:tcW w:w="844" w:type="dxa"/>
                  <w:tcBorders>
                    <w:tl2br w:val="nil"/>
                    <w:tr2bl w:val="nil"/>
                  </w:tcBorders>
                  <w:shd w:val="clear" w:color="auto" w:fill="auto"/>
                  <w:vAlign w:val="center"/>
                </w:tcPr>
                <w:p w14:paraId="7FB2ED51">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56.1</w:t>
                  </w:r>
                </w:p>
              </w:tc>
              <w:tc>
                <w:tcPr>
                  <w:tcW w:w="820" w:type="dxa"/>
                  <w:tcBorders>
                    <w:tl2br w:val="nil"/>
                    <w:tr2bl w:val="nil"/>
                  </w:tcBorders>
                  <w:shd w:val="clear" w:color="auto" w:fill="auto"/>
                  <w:vAlign w:val="center"/>
                </w:tcPr>
                <w:p w14:paraId="10B2DB0A">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47.4</w:t>
                  </w:r>
                </w:p>
              </w:tc>
              <w:tc>
                <w:tcPr>
                  <w:tcW w:w="1562" w:type="dxa"/>
                  <w:vMerge w:val="continue"/>
                  <w:tcBorders>
                    <w:tl2br w:val="nil"/>
                    <w:tr2bl w:val="nil"/>
                  </w:tcBorders>
                  <w:shd w:val="clear" w:color="auto" w:fill="auto"/>
                  <w:vAlign w:val="center"/>
                </w:tcPr>
                <w:p w14:paraId="58C446CD">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Times New Roman"/>
                      <w:color w:val="auto"/>
                      <w:kern w:val="2"/>
                      <w:position w:val="2"/>
                      <w:sz w:val="21"/>
                      <w:szCs w:val="20"/>
                      <w:highlight w:val="none"/>
                      <w:lang w:val="en-US" w:eastAsia="zh-CN" w:bidi="ar-SA"/>
                    </w:rPr>
                  </w:pPr>
                </w:p>
              </w:tc>
              <w:tc>
                <w:tcPr>
                  <w:tcW w:w="984" w:type="dxa"/>
                  <w:vMerge w:val="continue"/>
                  <w:tcBorders>
                    <w:tl2br w:val="nil"/>
                    <w:tr2bl w:val="nil"/>
                  </w:tcBorders>
                  <w:shd w:val="clear" w:color="auto" w:fill="auto"/>
                  <w:vAlign w:val="center"/>
                </w:tcPr>
                <w:p w14:paraId="0B2E2FF7">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ascii="Times New Roman" w:hAnsi="Times New Roman" w:eastAsia="宋体" w:cs="Times New Roman"/>
                      <w:color w:val="auto"/>
                      <w:kern w:val="2"/>
                      <w:sz w:val="21"/>
                      <w:szCs w:val="20"/>
                      <w:highlight w:val="none"/>
                      <w:lang w:val="en-US" w:eastAsia="zh-CN" w:bidi="ar-SA"/>
                    </w:rPr>
                  </w:pPr>
                </w:p>
              </w:tc>
            </w:tr>
            <w:tr w14:paraId="1014AA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72" w:type="dxa"/>
                  <w:tcBorders>
                    <w:tl2br w:val="nil"/>
                    <w:tr2bl w:val="nil"/>
                  </w:tcBorders>
                  <w:shd w:val="clear" w:color="auto" w:fill="auto"/>
                  <w:vAlign w:val="center"/>
                </w:tcPr>
                <w:p w14:paraId="73846243">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宋体" w:cs="宋体"/>
                      <w:color w:val="auto"/>
                      <w:kern w:val="2"/>
                      <w:sz w:val="21"/>
                      <w:szCs w:val="24"/>
                      <w:highlight w:val="none"/>
                      <w:lang w:val="en-US" w:eastAsia="en-US" w:bidi="ar-SA"/>
                    </w:rPr>
                  </w:pPr>
                  <w:r>
                    <w:rPr>
                      <w:rFonts w:hint="eastAsia" w:ascii="Times New Roman" w:hAnsi="Times New Roman"/>
                      <w:color w:val="auto"/>
                      <w:spacing w:val="5"/>
                      <w:sz w:val="21"/>
                      <w:highlight w:val="none"/>
                      <w:lang w:val="en-US" w:eastAsia="zh-CN"/>
                    </w:rPr>
                    <w:t>西南</w:t>
                  </w:r>
                  <w:r>
                    <w:rPr>
                      <w:rFonts w:hint="eastAsia" w:ascii="Times New Roman" w:hAnsi="Times New Roman"/>
                      <w:color w:val="auto"/>
                      <w:spacing w:val="4"/>
                      <w:sz w:val="21"/>
                      <w:highlight w:val="none"/>
                      <w:lang w:val="en-US" w:eastAsia="zh-CN"/>
                    </w:rPr>
                    <w:t>侧</w:t>
                  </w:r>
                  <w:r>
                    <w:rPr>
                      <w:rFonts w:ascii="Times New Roman" w:hAnsi="Times New Roman" w:eastAsia="宋体"/>
                      <w:color w:val="auto"/>
                      <w:spacing w:val="5"/>
                      <w:sz w:val="21"/>
                      <w:highlight w:val="none"/>
                    </w:rPr>
                    <w:t>厂界</w:t>
                  </w:r>
                </w:p>
              </w:tc>
              <w:tc>
                <w:tcPr>
                  <w:tcW w:w="850" w:type="dxa"/>
                  <w:tcBorders>
                    <w:tl2br w:val="nil"/>
                    <w:tr2bl w:val="nil"/>
                  </w:tcBorders>
                  <w:shd w:val="clear" w:color="auto" w:fill="auto"/>
                  <w:vAlign w:val="center"/>
                </w:tcPr>
                <w:p w14:paraId="4DF3C19E">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olor w:val="auto"/>
                      <w:spacing w:val="5"/>
                      <w:sz w:val="21"/>
                      <w:highlight w:val="none"/>
                      <w:lang w:val="en-US" w:eastAsia="zh-CN"/>
                    </w:rPr>
                  </w:pPr>
                  <w:r>
                    <w:rPr>
                      <w:rFonts w:hint="eastAsia" w:ascii="Times New Roman" w:hAnsi="Times New Roman"/>
                      <w:color w:val="auto"/>
                      <w:spacing w:val="5"/>
                      <w:sz w:val="21"/>
                      <w:highlight w:val="none"/>
                      <w:lang w:val="en-US" w:eastAsia="zh-CN"/>
                    </w:rPr>
                    <w:t>56.3</w:t>
                  </w:r>
                </w:p>
              </w:tc>
              <w:tc>
                <w:tcPr>
                  <w:tcW w:w="826" w:type="dxa"/>
                  <w:tcBorders>
                    <w:tl2br w:val="nil"/>
                    <w:tr2bl w:val="nil"/>
                  </w:tcBorders>
                  <w:shd w:val="clear" w:color="auto" w:fill="auto"/>
                  <w:vAlign w:val="center"/>
                </w:tcPr>
                <w:p w14:paraId="49A2EC02">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olor w:val="auto"/>
                      <w:spacing w:val="5"/>
                      <w:sz w:val="21"/>
                      <w:highlight w:val="none"/>
                      <w:lang w:val="en-US" w:eastAsia="zh-CN"/>
                    </w:rPr>
                  </w:pPr>
                  <w:r>
                    <w:rPr>
                      <w:rFonts w:hint="eastAsia" w:ascii="Times New Roman" w:hAnsi="Times New Roman"/>
                      <w:color w:val="auto"/>
                      <w:spacing w:val="5"/>
                      <w:sz w:val="21"/>
                      <w:highlight w:val="none"/>
                      <w:lang w:val="en-US" w:eastAsia="zh-CN"/>
                    </w:rPr>
                    <w:t>47.8</w:t>
                  </w:r>
                </w:p>
              </w:tc>
              <w:tc>
                <w:tcPr>
                  <w:tcW w:w="847" w:type="dxa"/>
                  <w:tcBorders>
                    <w:tl2br w:val="nil"/>
                    <w:tr2bl w:val="nil"/>
                  </w:tcBorders>
                  <w:shd w:val="clear" w:color="auto" w:fill="auto"/>
                  <w:vAlign w:val="center"/>
                </w:tcPr>
                <w:p w14:paraId="581718E0">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5"/>
                      <w:sz w:val="21"/>
                      <w:highlight w:val="none"/>
                      <w:lang w:val="en-US" w:eastAsia="zh-CN"/>
                    </w:rPr>
                  </w:pPr>
                  <w:r>
                    <w:rPr>
                      <w:rFonts w:hint="eastAsia" w:ascii="Times New Roman" w:hAnsi="Times New Roman"/>
                      <w:color w:val="auto"/>
                      <w:spacing w:val="5"/>
                      <w:sz w:val="21"/>
                      <w:highlight w:val="none"/>
                      <w:lang w:val="en-US" w:eastAsia="zh-CN"/>
                    </w:rPr>
                    <w:t>48.4</w:t>
                  </w:r>
                </w:p>
              </w:tc>
              <w:tc>
                <w:tcPr>
                  <w:tcW w:w="820" w:type="dxa"/>
                  <w:tcBorders>
                    <w:tl2br w:val="nil"/>
                    <w:tr2bl w:val="nil"/>
                  </w:tcBorders>
                  <w:shd w:val="clear" w:color="auto" w:fill="auto"/>
                  <w:vAlign w:val="center"/>
                </w:tcPr>
                <w:p w14:paraId="0CE6B6E2">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43.0</w:t>
                  </w:r>
                </w:p>
              </w:tc>
              <w:tc>
                <w:tcPr>
                  <w:tcW w:w="844" w:type="dxa"/>
                  <w:tcBorders>
                    <w:tl2br w:val="nil"/>
                    <w:tr2bl w:val="nil"/>
                  </w:tcBorders>
                  <w:shd w:val="clear" w:color="auto" w:fill="auto"/>
                  <w:vAlign w:val="center"/>
                </w:tcPr>
                <w:p w14:paraId="0559CC02">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57.0</w:t>
                  </w:r>
                </w:p>
              </w:tc>
              <w:tc>
                <w:tcPr>
                  <w:tcW w:w="820" w:type="dxa"/>
                  <w:tcBorders>
                    <w:tl2br w:val="nil"/>
                    <w:tr2bl w:val="nil"/>
                  </w:tcBorders>
                  <w:shd w:val="clear" w:color="auto" w:fill="auto"/>
                  <w:vAlign w:val="center"/>
                </w:tcPr>
                <w:p w14:paraId="3A3FA0B4">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49.0</w:t>
                  </w:r>
                </w:p>
              </w:tc>
              <w:tc>
                <w:tcPr>
                  <w:tcW w:w="1562" w:type="dxa"/>
                  <w:vMerge w:val="continue"/>
                  <w:tcBorders>
                    <w:tl2br w:val="nil"/>
                    <w:tr2bl w:val="nil"/>
                  </w:tcBorders>
                  <w:shd w:val="clear" w:color="auto" w:fill="auto"/>
                  <w:vAlign w:val="center"/>
                </w:tcPr>
                <w:p w14:paraId="188914CA">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ascii="Times New Roman" w:hAnsi="Times New Roman" w:eastAsia="宋体" w:cs="Times New Roman"/>
                      <w:color w:val="auto"/>
                      <w:kern w:val="2"/>
                      <w:sz w:val="21"/>
                      <w:szCs w:val="20"/>
                      <w:highlight w:val="none"/>
                      <w:lang w:val="en-US" w:eastAsia="zh-CN" w:bidi="ar-SA"/>
                    </w:rPr>
                  </w:pPr>
                </w:p>
              </w:tc>
              <w:tc>
                <w:tcPr>
                  <w:tcW w:w="984" w:type="dxa"/>
                  <w:vMerge w:val="continue"/>
                  <w:tcBorders>
                    <w:tl2br w:val="nil"/>
                    <w:tr2bl w:val="nil"/>
                  </w:tcBorders>
                  <w:shd w:val="clear" w:color="auto" w:fill="auto"/>
                  <w:vAlign w:val="center"/>
                </w:tcPr>
                <w:p w14:paraId="199287FD">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ascii="Times New Roman" w:hAnsi="Times New Roman" w:eastAsia="宋体" w:cs="Times New Roman"/>
                      <w:color w:val="auto"/>
                      <w:kern w:val="2"/>
                      <w:sz w:val="21"/>
                      <w:szCs w:val="20"/>
                      <w:highlight w:val="none"/>
                      <w:lang w:val="en-US" w:eastAsia="zh-CN" w:bidi="ar-SA"/>
                    </w:rPr>
                  </w:pPr>
                </w:p>
              </w:tc>
            </w:tr>
            <w:tr w14:paraId="1DF092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72" w:type="dxa"/>
                  <w:tcBorders>
                    <w:tl2br w:val="nil"/>
                    <w:tr2bl w:val="nil"/>
                  </w:tcBorders>
                  <w:shd w:val="clear" w:color="auto" w:fill="auto"/>
                  <w:vAlign w:val="center"/>
                </w:tcPr>
                <w:p w14:paraId="11B4D5EF">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olor w:val="auto"/>
                      <w:spacing w:val="5"/>
                      <w:sz w:val="21"/>
                      <w:highlight w:val="none"/>
                      <w:lang w:val="en-US" w:eastAsia="zh-CN"/>
                    </w:rPr>
                  </w:pPr>
                  <w:r>
                    <w:rPr>
                      <w:rFonts w:ascii="Times New Roman" w:hAnsi="Times New Roman" w:eastAsia="宋体"/>
                      <w:color w:val="auto"/>
                      <w:spacing w:val="4"/>
                      <w:sz w:val="21"/>
                      <w:highlight w:val="none"/>
                    </w:rPr>
                    <w:t>东</w:t>
                  </w:r>
                  <w:r>
                    <w:rPr>
                      <w:rFonts w:hint="eastAsia" w:ascii="Times New Roman" w:hAnsi="Times New Roman"/>
                      <w:color w:val="auto"/>
                      <w:spacing w:val="4"/>
                      <w:sz w:val="21"/>
                      <w:highlight w:val="none"/>
                      <w:lang w:val="en-US" w:eastAsia="zh-CN"/>
                    </w:rPr>
                    <w:t>侧最近居民点</w:t>
                  </w:r>
                </w:p>
              </w:tc>
              <w:tc>
                <w:tcPr>
                  <w:tcW w:w="850" w:type="dxa"/>
                  <w:tcBorders>
                    <w:tl2br w:val="nil"/>
                    <w:tr2bl w:val="nil"/>
                  </w:tcBorders>
                  <w:shd w:val="clear" w:color="auto" w:fill="auto"/>
                  <w:vAlign w:val="center"/>
                </w:tcPr>
                <w:p w14:paraId="3FF62E45">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r>
                    <w:rPr>
                      <w:rFonts w:hint="eastAsia" w:cs="Times New Roman"/>
                      <w:b w:val="0"/>
                      <w:color w:val="auto"/>
                      <w:kern w:val="2"/>
                      <w:sz w:val="21"/>
                      <w:szCs w:val="21"/>
                      <w:highlight w:val="none"/>
                      <w:lang w:val="en-US" w:eastAsia="zh-CN" w:bidi="ar"/>
                    </w:rPr>
                    <w:t>53.8</w:t>
                  </w:r>
                </w:p>
              </w:tc>
              <w:tc>
                <w:tcPr>
                  <w:tcW w:w="826" w:type="dxa"/>
                  <w:tcBorders>
                    <w:tl2br w:val="nil"/>
                    <w:tr2bl w:val="nil"/>
                  </w:tcBorders>
                  <w:shd w:val="clear" w:color="auto" w:fill="auto"/>
                  <w:vAlign w:val="center"/>
                </w:tcPr>
                <w:p w14:paraId="26864A39">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r>
                    <w:rPr>
                      <w:rFonts w:hint="eastAsia" w:cs="Times New Roman"/>
                      <w:b w:val="0"/>
                      <w:color w:val="auto"/>
                      <w:kern w:val="2"/>
                      <w:sz w:val="21"/>
                      <w:szCs w:val="21"/>
                      <w:highlight w:val="none"/>
                      <w:lang w:val="en-US" w:eastAsia="zh-CN" w:bidi="ar"/>
                    </w:rPr>
                    <w:t>41.1</w:t>
                  </w:r>
                </w:p>
              </w:tc>
              <w:tc>
                <w:tcPr>
                  <w:tcW w:w="847" w:type="dxa"/>
                  <w:tcBorders>
                    <w:tl2br w:val="nil"/>
                    <w:tr2bl w:val="nil"/>
                  </w:tcBorders>
                  <w:shd w:val="clear" w:color="auto" w:fill="auto"/>
                  <w:vAlign w:val="center"/>
                </w:tcPr>
                <w:p w14:paraId="0050E94F">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49.3</w:t>
                  </w:r>
                </w:p>
              </w:tc>
              <w:tc>
                <w:tcPr>
                  <w:tcW w:w="820" w:type="dxa"/>
                  <w:tcBorders>
                    <w:tl2br w:val="nil"/>
                    <w:tr2bl w:val="nil"/>
                  </w:tcBorders>
                  <w:shd w:val="clear" w:color="auto" w:fill="auto"/>
                  <w:vAlign w:val="center"/>
                </w:tcPr>
                <w:p w14:paraId="275BBD4D">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40.1</w:t>
                  </w:r>
                </w:p>
              </w:tc>
              <w:tc>
                <w:tcPr>
                  <w:tcW w:w="844" w:type="dxa"/>
                  <w:tcBorders>
                    <w:tl2br w:val="nil"/>
                    <w:tr2bl w:val="nil"/>
                  </w:tcBorders>
                  <w:shd w:val="clear" w:color="auto" w:fill="auto"/>
                  <w:vAlign w:val="center"/>
                </w:tcPr>
                <w:p w14:paraId="4FE30FBA">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55.1</w:t>
                  </w:r>
                </w:p>
              </w:tc>
              <w:tc>
                <w:tcPr>
                  <w:tcW w:w="820" w:type="dxa"/>
                  <w:tcBorders>
                    <w:tl2br w:val="nil"/>
                    <w:tr2bl w:val="nil"/>
                  </w:tcBorders>
                  <w:shd w:val="clear" w:color="auto" w:fill="auto"/>
                  <w:vAlign w:val="center"/>
                </w:tcPr>
                <w:p w14:paraId="33A63C69">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43.6</w:t>
                  </w:r>
                </w:p>
              </w:tc>
              <w:tc>
                <w:tcPr>
                  <w:tcW w:w="1562" w:type="dxa"/>
                  <w:vMerge w:val="continue"/>
                  <w:tcBorders>
                    <w:tl2br w:val="nil"/>
                    <w:tr2bl w:val="nil"/>
                  </w:tcBorders>
                  <w:shd w:val="clear" w:color="auto" w:fill="auto"/>
                  <w:vAlign w:val="center"/>
                </w:tcPr>
                <w:p w14:paraId="1B13868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Arial" w:hAnsi="Arial" w:cs="Arial"/>
                      <w:color w:val="auto"/>
                      <w:position w:val="2"/>
                      <w:sz w:val="21"/>
                      <w:szCs w:val="20"/>
                      <w:highlight w:val="none"/>
                      <w:lang w:val="en-US" w:eastAsia="zh-CN"/>
                    </w:rPr>
                  </w:pPr>
                </w:p>
              </w:tc>
              <w:tc>
                <w:tcPr>
                  <w:tcW w:w="984" w:type="dxa"/>
                  <w:vMerge w:val="continue"/>
                  <w:tcBorders>
                    <w:tl2br w:val="nil"/>
                    <w:tr2bl w:val="nil"/>
                  </w:tcBorders>
                  <w:shd w:val="clear" w:color="auto" w:fill="auto"/>
                  <w:vAlign w:val="center"/>
                </w:tcPr>
                <w:p w14:paraId="1B4375C9">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ascii="Times New Roman" w:hAnsi="Times New Roman" w:eastAsia="宋体" w:cs="Times New Roman"/>
                      <w:color w:val="auto"/>
                      <w:kern w:val="2"/>
                      <w:sz w:val="21"/>
                      <w:szCs w:val="20"/>
                      <w:highlight w:val="none"/>
                      <w:lang w:val="en-US" w:eastAsia="zh-CN" w:bidi="ar-SA"/>
                    </w:rPr>
                  </w:pPr>
                </w:p>
              </w:tc>
            </w:tr>
            <w:tr w14:paraId="2BC257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72" w:type="dxa"/>
                  <w:tcBorders>
                    <w:tl2br w:val="nil"/>
                    <w:tr2bl w:val="nil"/>
                  </w:tcBorders>
                  <w:shd w:val="clear" w:color="auto" w:fill="auto"/>
                  <w:vAlign w:val="center"/>
                </w:tcPr>
                <w:p w14:paraId="1AB96D06">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宋体"/>
                      <w:color w:val="auto"/>
                      <w:spacing w:val="5"/>
                      <w:sz w:val="21"/>
                      <w:highlight w:val="none"/>
                    </w:rPr>
                  </w:pPr>
                  <w:r>
                    <w:rPr>
                      <w:rFonts w:hint="eastAsia" w:ascii="Times New Roman" w:hAnsi="Times New Roman"/>
                      <w:color w:val="auto"/>
                      <w:spacing w:val="4"/>
                      <w:sz w:val="21"/>
                      <w:highlight w:val="none"/>
                      <w:lang w:val="en-US" w:eastAsia="zh-CN"/>
                    </w:rPr>
                    <w:t>南侧最近居民点</w:t>
                  </w:r>
                </w:p>
              </w:tc>
              <w:tc>
                <w:tcPr>
                  <w:tcW w:w="850" w:type="dxa"/>
                  <w:tcBorders>
                    <w:tl2br w:val="nil"/>
                    <w:tr2bl w:val="nil"/>
                  </w:tcBorders>
                  <w:shd w:val="clear" w:color="auto" w:fill="auto"/>
                  <w:vAlign w:val="center"/>
                </w:tcPr>
                <w:p w14:paraId="5951078F">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r>
                    <w:rPr>
                      <w:rFonts w:hint="eastAsia" w:cs="Times New Roman"/>
                      <w:b w:val="0"/>
                      <w:color w:val="auto"/>
                      <w:kern w:val="2"/>
                      <w:sz w:val="21"/>
                      <w:szCs w:val="21"/>
                      <w:highlight w:val="none"/>
                      <w:lang w:val="en-US" w:eastAsia="zh-CN" w:bidi="ar"/>
                    </w:rPr>
                    <w:t>53.1</w:t>
                  </w:r>
                </w:p>
              </w:tc>
              <w:tc>
                <w:tcPr>
                  <w:tcW w:w="826" w:type="dxa"/>
                  <w:tcBorders>
                    <w:tl2br w:val="nil"/>
                    <w:tr2bl w:val="nil"/>
                  </w:tcBorders>
                  <w:shd w:val="clear" w:color="auto" w:fill="auto"/>
                  <w:vAlign w:val="center"/>
                </w:tcPr>
                <w:p w14:paraId="1C9D0666">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r>
                    <w:rPr>
                      <w:rFonts w:hint="eastAsia" w:cs="Times New Roman"/>
                      <w:b w:val="0"/>
                      <w:color w:val="auto"/>
                      <w:kern w:val="2"/>
                      <w:sz w:val="21"/>
                      <w:szCs w:val="21"/>
                      <w:highlight w:val="none"/>
                      <w:lang w:val="en-US" w:eastAsia="zh-CN" w:bidi="ar"/>
                    </w:rPr>
                    <w:t>42.2</w:t>
                  </w:r>
                </w:p>
              </w:tc>
              <w:tc>
                <w:tcPr>
                  <w:tcW w:w="847" w:type="dxa"/>
                  <w:tcBorders>
                    <w:tl2br w:val="nil"/>
                    <w:tr2bl w:val="nil"/>
                  </w:tcBorders>
                  <w:shd w:val="clear" w:color="auto" w:fill="auto"/>
                  <w:vAlign w:val="center"/>
                </w:tcPr>
                <w:p w14:paraId="26004557">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50.2</w:t>
                  </w:r>
                </w:p>
              </w:tc>
              <w:tc>
                <w:tcPr>
                  <w:tcW w:w="820" w:type="dxa"/>
                  <w:tcBorders>
                    <w:tl2br w:val="nil"/>
                    <w:tr2bl w:val="nil"/>
                  </w:tcBorders>
                  <w:shd w:val="clear" w:color="auto" w:fill="auto"/>
                  <w:vAlign w:val="center"/>
                </w:tcPr>
                <w:p w14:paraId="7CB3E702">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42.7</w:t>
                  </w:r>
                </w:p>
              </w:tc>
              <w:tc>
                <w:tcPr>
                  <w:tcW w:w="844" w:type="dxa"/>
                  <w:tcBorders>
                    <w:tl2br w:val="nil"/>
                    <w:tr2bl w:val="nil"/>
                  </w:tcBorders>
                  <w:shd w:val="clear" w:color="auto" w:fill="auto"/>
                  <w:vAlign w:val="center"/>
                </w:tcPr>
                <w:p w14:paraId="0D1B9128">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54.9</w:t>
                  </w:r>
                </w:p>
              </w:tc>
              <w:tc>
                <w:tcPr>
                  <w:tcW w:w="820" w:type="dxa"/>
                  <w:tcBorders>
                    <w:tl2br w:val="nil"/>
                    <w:tr2bl w:val="nil"/>
                  </w:tcBorders>
                  <w:shd w:val="clear" w:color="auto" w:fill="auto"/>
                  <w:vAlign w:val="center"/>
                </w:tcPr>
                <w:p w14:paraId="2A7FDB4C">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45.5</w:t>
                  </w:r>
                </w:p>
              </w:tc>
              <w:tc>
                <w:tcPr>
                  <w:tcW w:w="1562" w:type="dxa"/>
                  <w:vMerge w:val="continue"/>
                  <w:tcBorders>
                    <w:tl2br w:val="nil"/>
                    <w:tr2bl w:val="nil"/>
                  </w:tcBorders>
                  <w:shd w:val="clear" w:color="auto" w:fill="auto"/>
                  <w:vAlign w:val="center"/>
                </w:tcPr>
                <w:p w14:paraId="567D6DC9">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ascii="Times New Roman" w:hAnsi="Times New Roman" w:eastAsia="宋体" w:cs="Times New Roman"/>
                      <w:color w:val="auto"/>
                      <w:kern w:val="2"/>
                      <w:sz w:val="21"/>
                      <w:szCs w:val="20"/>
                      <w:highlight w:val="none"/>
                      <w:lang w:val="en-US" w:eastAsia="zh-CN" w:bidi="ar-SA"/>
                    </w:rPr>
                  </w:pPr>
                </w:p>
              </w:tc>
              <w:tc>
                <w:tcPr>
                  <w:tcW w:w="984" w:type="dxa"/>
                  <w:vMerge w:val="continue"/>
                  <w:tcBorders>
                    <w:tl2br w:val="nil"/>
                    <w:tr2bl w:val="nil"/>
                  </w:tcBorders>
                  <w:shd w:val="clear" w:color="auto" w:fill="auto"/>
                  <w:vAlign w:val="center"/>
                </w:tcPr>
                <w:p w14:paraId="0536424A">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ascii="Times New Roman" w:hAnsi="Times New Roman" w:eastAsia="宋体" w:cs="Times New Roman"/>
                      <w:color w:val="auto"/>
                      <w:kern w:val="2"/>
                      <w:sz w:val="21"/>
                      <w:szCs w:val="20"/>
                      <w:highlight w:val="none"/>
                      <w:lang w:val="en-US" w:eastAsia="zh-CN" w:bidi="ar-SA"/>
                    </w:rPr>
                  </w:pPr>
                </w:p>
              </w:tc>
            </w:tr>
            <w:tr w14:paraId="4092D3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72" w:type="dxa"/>
                  <w:tcBorders>
                    <w:tl2br w:val="nil"/>
                    <w:tr2bl w:val="nil"/>
                  </w:tcBorders>
                  <w:shd w:val="clear" w:color="auto" w:fill="auto"/>
                  <w:vAlign w:val="center"/>
                </w:tcPr>
                <w:p w14:paraId="36281FCB">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宋体"/>
                      <w:color w:val="auto"/>
                      <w:spacing w:val="5"/>
                      <w:sz w:val="21"/>
                      <w:highlight w:val="none"/>
                    </w:rPr>
                  </w:pPr>
                  <w:r>
                    <w:rPr>
                      <w:rFonts w:hint="eastAsia" w:ascii="Times New Roman" w:hAnsi="Times New Roman"/>
                      <w:color w:val="auto"/>
                      <w:spacing w:val="4"/>
                      <w:sz w:val="21"/>
                      <w:highlight w:val="none"/>
                      <w:lang w:val="en-US" w:eastAsia="zh-CN"/>
                    </w:rPr>
                    <w:t>西侧最近居民点</w:t>
                  </w:r>
                </w:p>
              </w:tc>
              <w:tc>
                <w:tcPr>
                  <w:tcW w:w="850" w:type="dxa"/>
                  <w:tcBorders>
                    <w:tl2br w:val="nil"/>
                    <w:tr2bl w:val="nil"/>
                  </w:tcBorders>
                  <w:shd w:val="clear" w:color="auto" w:fill="auto"/>
                  <w:vAlign w:val="center"/>
                </w:tcPr>
                <w:p w14:paraId="735029F3">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r>
                    <w:rPr>
                      <w:rFonts w:hint="eastAsia" w:cs="Times New Roman"/>
                      <w:b w:val="0"/>
                      <w:color w:val="auto"/>
                      <w:kern w:val="2"/>
                      <w:sz w:val="21"/>
                      <w:szCs w:val="21"/>
                      <w:highlight w:val="none"/>
                      <w:lang w:val="en-US" w:eastAsia="zh-CN" w:bidi="ar"/>
                    </w:rPr>
                    <w:t>58.1</w:t>
                  </w:r>
                </w:p>
              </w:tc>
              <w:tc>
                <w:tcPr>
                  <w:tcW w:w="826" w:type="dxa"/>
                  <w:tcBorders>
                    <w:tl2br w:val="nil"/>
                    <w:tr2bl w:val="nil"/>
                  </w:tcBorders>
                  <w:shd w:val="clear" w:color="auto" w:fill="auto"/>
                  <w:vAlign w:val="center"/>
                </w:tcPr>
                <w:p w14:paraId="0B0745B0">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r>
                    <w:rPr>
                      <w:rFonts w:hint="eastAsia" w:cs="Times New Roman"/>
                      <w:b w:val="0"/>
                      <w:color w:val="auto"/>
                      <w:kern w:val="2"/>
                      <w:sz w:val="21"/>
                      <w:szCs w:val="21"/>
                      <w:highlight w:val="none"/>
                      <w:lang w:val="en-US" w:eastAsia="zh-CN" w:bidi="ar"/>
                    </w:rPr>
                    <w:t>47.4</w:t>
                  </w:r>
                </w:p>
              </w:tc>
              <w:tc>
                <w:tcPr>
                  <w:tcW w:w="847" w:type="dxa"/>
                  <w:tcBorders>
                    <w:tl2br w:val="nil"/>
                    <w:tr2bl w:val="nil"/>
                  </w:tcBorders>
                  <w:shd w:val="clear" w:color="auto" w:fill="auto"/>
                  <w:vAlign w:val="center"/>
                </w:tcPr>
                <w:p w14:paraId="1B6A673C">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52.3</w:t>
                  </w:r>
                </w:p>
              </w:tc>
              <w:tc>
                <w:tcPr>
                  <w:tcW w:w="820" w:type="dxa"/>
                  <w:tcBorders>
                    <w:tl2br w:val="nil"/>
                    <w:tr2bl w:val="nil"/>
                  </w:tcBorders>
                  <w:shd w:val="clear" w:color="auto" w:fill="auto"/>
                  <w:vAlign w:val="center"/>
                </w:tcPr>
                <w:p w14:paraId="65EFE9D0">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43.5</w:t>
                  </w:r>
                </w:p>
              </w:tc>
              <w:tc>
                <w:tcPr>
                  <w:tcW w:w="844" w:type="dxa"/>
                  <w:tcBorders>
                    <w:tl2br w:val="nil"/>
                    <w:tr2bl w:val="nil"/>
                  </w:tcBorders>
                  <w:shd w:val="clear" w:color="auto" w:fill="auto"/>
                  <w:vAlign w:val="center"/>
                </w:tcPr>
                <w:p w14:paraId="2DF3138E">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59.1</w:t>
                  </w:r>
                </w:p>
              </w:tc>
              <w:tc>
                <w:tcPr>
                  <w:tcW w:w="820" w:type="dxa"/>
                  <w:tcBorders>
                    <w:tl2br w:val="nil"/>
                    <w:tr2bl w:val="nil"/>
                  </w:tcBorders>
                  <w:shd w:val="clear" w:color="auto" w:fill="auto"/>
                  <w:vAlign w:val="center"/>
                </w:tcPr>
                <w:p w14:paraId="5C35BA72">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48.9</w:t>
                  </w:r>
                </w:p>
              </w:tc>
              <w:tc>
                <w:tcPr>
                  <w:tcW w:w="1562" w:type="dxa"/>
                  <w:vMerge w:val="continue"/>
                  <w:tcBorders>
                    <w:tl2br w:val="nil"/>
                    <w:tr2bl w:val="nil"/>
                  </w:tcBorders>
                  <w:shd w:val="clear" w:color="auto" w:fill="auto"/>
                  <w:vAlign w:val="center"/>
                </w:tcPr>
                <w:p w14:paraId="4DB41C27">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ascii="Times New Roman" w:hAnsi="Times New Roman" w:eastAsia="宋体" w:cs="Times New Roman"/>
                      <w:color w:val="auto"/>
                      <w:kern w:val="2"/>
                      <w:sz w:val="21"/>
                      <w:szCs w:val="20"/>
                      <w:highlight w:val="none"/>
                      <w:lang w:val="en-US" w:eastAsia="zh-CN" w:bidi="ar-SA"/>
                    </w:rPr>
                  </w:pPr>
                </w:p>
              </w:tc>
              <w:tc>
                <w:tcPr>
                  <w:tcW w:w="984" w:type="dxa"/>
                  <w:vMerge w:val="continue"/>
                  <w:tcBorders>
                    <w:tl2br w:val="nil"/>
                    <w:tr2bl w:val="nil"/>
                  </w:tcBorders>
                  <w:shd w:val="clear" w:color="auto" w:fill="auto"/>
                  <w:vAlign w:val="center"/>
                </w:tcPr>
                <w:p w14:paraId="0EB2EB1B">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ascii="Times New Roman" w:hAnsi="Times New Roman" w:eastAsia="宋体" w:cs="Times New Roman"/>
                      <w:color w:val="auto"/>
                      <w:kern w:val="2"/>
                      <w:sz w:val="21"/>
                      <w:szCs w:val="20"/>
                      <w:highlight w:val="none"/>
                      <w:lang w:val="en-US" w:eastAsia="zh-CN" w:bidi="ar-SA"/>
                    </w:rPr>
                  </w:pPr>
                </w:p>
              </w:tc>
            </w:tr>
            <w:tr w14:paraId="29C91F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72" w:type="dxa"/>
                  <w:tcBorders>
                    <w:tl2br w:val="nil"/>
                    <w:tr2bl w:val="nil"/>
                  </w:tcBorders>
                  <w:shd w:val="clear" w:color="auto" w:fill="auto"/>
                  <w:vAlign w:val="center"/>
                </w:tcPr>
                <w:p w14:paraId="6DC16D09">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宋体"/>
                      <w:color w:val="auto"/>
                      <w:spacing w:val="5"/>
                      <w:sz w:val="21"/>
                      <w:highlight w:val="none"/>
                    </w:rPr>
                  </w:pPr>
                  <w:r>
                    <w:rPr>
                      <w:rFonts w:hint="eastAsia" w:ascii="Times New Roman" w:hAnsi="Times New Roman"/>
                      <w:color w:val="auto"/>
                      <w:spacing w:val="4"/>
                      <w:sz w:val="21"/>
                      <w:highlight w:val="none"/>
                      <w:lang w:val="en-US" w:eastAsia="zh-CN"/>
                    </w:rPr>
                    <w:t>北侧最近居民点</w:t>
                  </w:r>
                </w:p>
              </w:tc>
              <w:tc>
                <w:tcPr>
                  <w:tcW w:w="850" w:type="dxa"/>
                  <w:tcBorders>
                    <w:tl2br w:val="nil"/>
                    <w:tr2bl w:val="nil"/>
                  </w:tcBorders>
                  <w:shd w:val="clear" w:color="auto" w:fill="auto"/>
                  <w:vAlign w:val="center"/>
                </w:tcPr>
                <w:p w14:paraId="72D29C01">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r>
                    <w:rPr>
                      <w:rFonts w:hint="eastAsia" w:cs="Times New Roman"/>
                      <w:b w:val="0"/>
                      <w:color w:val="auto"/>
                      <w:kern w:val="2"/>
                      <w:sz w:val="21"/>
                      <w:szCs w:val="21"/>
                      <w:highlight w:val="none"/>
                      <w:lang w:val="en-US" w:eastAsia="zh-CN" w:bidi="ar"/>
                    </w:rPr>
                    <w:t>58.0</w:t>
                  </w:r>
                </w:p>
              </w:tc>
              <w:tc>
                <w:tcPr>
                  <w:tcW w:w="826" w:type="dxa"/>
                  <w:tcBorders>
                    <w:tl2br w:val="nil"/>
                    <w:tr2bl w:val="nil"/>
                  </w:tcBorders>
                  <w:shd w:val="clear" w:color="auto" w:fill="auto"/>
                  <w:vAlign w:val="center"/>
                </w:tcPr>
                <w:p w14:paraId="382662D2">
                  <w:pPr>
                    <w:keepNext w:val="0"/>
                    <w:keepLines w:val="0"/>
                    <w:widowControl w:val="0"/>
                    <w:suppressLineNumbers w:val="0"/>
                    <w:spacing w:before="0" w:beforeAutospacing="0" w:after="0" w:afterAutospacing="0"/>
                    <w:ind w:left="0" w:leftChars="0" w:right="0" w:rightChars="0"/>
                    <w:jc w:val="center"/>
                    <w:rPr>
                      <w:rFonts w:hint="default" w:ascii="Times New Roman" w:hAnsi="Times New Roman" w:eastAsia="宋体" w:cs="Times New Roman"/>
                      <w:b w:val="0"/>
                      <w:color w:val="auto"/>
                      <w:kern w:val="2"/>
                      <w:sz w:val="21"/>
                      <w:szCs w:val="21"/>
                      <w:highlight w:val="none"/>
                      <w:lang w:val="en-US" w:eastAsia="zh-CN" w:bidi="ar"/>
                    </w:rPr>
                  </w:pPr>
                  <w:r>
                    <w:rPr>
                      <w:rFonts w:hint="eastAsia" w:cs="Times New Roman"/>
                      <w:b w:val="0"/>
                      <w:color w:val="auto"/>
                      <w:kern w:val="2"/>
                      <w:sz w:val="21"/>
                      <w:szCs w:val="21"/>
                      <w:highlight w:val="none"/>
                      <w:lang w:val="en-US" w:eastAsia="zh-CN" w:bidi="ar"/>
                    </w:rPr>
                    <w:t>44.9</w:t>
                  </w:r>
                </w:p>
              </w:tc>
              <w:tc>
                <w:tcPr>
                  <w:tcW w:w="847" w:type="dxa"/>
                  <w:tcBorders>
                    <w:tl2br w:val="nil"/>
                    <w:tr2bl w:val="nil"/>
                  </w:tcBorders>
                  <w:shd w:val="clear" w:color="auto" w:fill="auto"/>
                  <w:vAlign w:val="center"/>
                </w:tcPr>
                <w:p w14:paraId="13A2E570">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51.7</w:t>
                  </w:r>
                </w:p>
              </w:tc>
              <w:tc>
                <w:tcPr>
                  <w:tcW w:w="820" w:type="dxa"/>
                  <w:tcBorders>
                    <w:tl2br w:val="nil"/>
                    <w:tr2bl w:val="nil"/>
                  </w:tcBorders>
                  <w:shd w:val="clear" w:color="auto" w:fill="auto"/>
                  <w:vAlign w:val="center"/>
                </w:tcPr>
                <w:p w14:paraId="20530FE5">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42.6</w:t>
                  </w:r>
                </w:p>
              </w:tc>
              <w:tc>
                <w:tcPr>
                  <w:tcW w:w="844" w:type="dxa"/>
                  <w:tcBorders>
                    <w:tl2br w:val="nil"/>
                    <w:tr2bl w:val="nil"/>
                  </w:tcBorders>
                  <w:shd w:val="clear" w:color="auto" w:fill="auto"/>
                  <w:vAlign w:val="center"/>
                </w:tcPr>
                <w:p w14:paraId="2B940F1F">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58.9</w:t>
                  </w:r>
                </w:p>
              </w:tc>
              <w:tc>
                <w:tcPr>
                  <w:tcW w:w="820" w:type="dxa"/>
                  <w:tcBorders>
                    <w:tl2br w:val="nil"/>
                    <w:tr2bl w:val="nil"/>
                  </w:tcBorders>
                  <w:shd w:val="clear" w:color="auto" w:fill="auto"/>
                  <w:vAlign w:val="center"/>
                </w:tcPr>
                <w:p w14:paraId="6F9891C6">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olor w:val="auto"/>
                      <w:spacing w:val="4"/>
                      <w:sz w:val="21"/>
                      <w:highlight w:val="none"/>
                      <w:lang w:val="en-US" w:eastAsia="zh-CN"/>
                    </w:rPr>
                  </w:pPr>
                  <w:r>
                    <w:rPr>
                      <w:rFonts w:hint="eastAsia" w:ascii="Times New Roman" w:hAnsi="Times New Roman"/>
                      <w:color w:val="auto"/>
                      <w:spacing w:val="4"/>
                      <w:sz w:val="21"/>
                      <w:highlight w:val="none"/>
                      <w:lang w:val="en-US" w:eastAsia="zh-CN"/>
                    </w:rPr>
                    <w:t>46.9</w:t>
                  </w:r>
                </w:p>
              </w:tc>
              <w:tc>
                <w:tcPr>
                  <w:tcW w:w="1562" w:type="dxa"/>
                  <w:vMerge w:val="continue"/>
                  <w:tcBorders>
                    <w:tl2br w:val="nil"/>
                    <w:tr2bl w:val="nil"/>
                  </w:tcBorders>
                  <w:shd w:val="clear" w:color="auto" w:fill="auto"/>
                  <w:vAlign w:val="center"/>
                </w:tcPr>
                <w:p w14:paraId="6243B431">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ascii="Times New Roman" w:hAnsi="Times New Roman" w:eastAsia="宋体" w:cs="Times New Roman"/>
                      <w:color w:val="auto"/>
                      <w:kern w:val="2"/>
                      <w:sz w:val="21"/>
                      <w:szCs w:val="20"/>
                      <w:highlight w:val="none"/>
                      <w:lang w:val="en-US" w:eastAsia="zh-CN" w:bidi="ar-SA"/>
                    </w:rPr>
                  </w:pPr>
                </w:p>
              </w:tc>
              <w:tc>
                <w:tcPr>
                  <w:tcW w:w="984" w:type="dxa"/>
                  <w:vMerge w:val="continue"/>
                  <w:tcBorders>
                    <w:tl2br w:val="nil"/>
                    <w:tr2bl w:val="nil"/>
                  </w:tcBorders>
                  <w:shd w:val="clear" w:color="auto" w:fill="auto"/>
                  <w:vAlign w:val="center"/>
                </w:tcPr>
                <w:p w14:paraId="361E1A9A">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ascii="Times New Roman" w:hAnsi="Times New Roman" w:eastAsia="宋体" w:cs="Times New Roman"/>
                      <w:color w:val="auto"/>
                      <w:kern w:val="2"/>
                      <w:sz w:val="21"/>
                      <w:szCs w:val="20"/>
                      <w:highlight w:val="none"/>
                      <w:lang w:val="en-US" w:eastAsia="zh-CN" w:bidi="ar-SA"/>
                    </w:rPr>
                  </w:pPr>
                </w:p>
              </w:tc>
            </w:tr>
            <w:tr w14:paraId="243BCB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8925" w:type="dxa"/>
                  <w:gridSpan w:val="9"/>
                  <w:tcBorders>
                    <w:tl2br w:val="nil"/>
                    <w:tr2bl w:val="nil"/>
                  </w:tcBorders>
                  <w:shd w:val="clear" w:color="auto" w:fill="auto"/>
                  <w:vAlign w:val="center"/>
                </w:tcPr>
                <w:p w14:paraId="4EB37DDA">
                  <w:pPr>
                    <w:keepNext w:val="0"/>
                    <w:keepLines w:val="0"/>
                    <w:pageBreakBefore w:val="0"/>
                    <w:widowControl w:val="0"/>
                    <w:kinsoku/>
                    <w:wordWrap/>
                    <w:overflowPunct/>
                    <w:topLinePunct w:val="0"/>
                    <w:autoSpaceDE/>
                    <w:autoSpaceDN/>
                    <w:bidi w:val="0"/>
                    <w:adjustRightInd/>
                    <w:snapToGrid/>
                    <w:spacing w:line="240" w:lineRule="auto"/>
                    <w:ind w:left="0" w:leftChars="0"/>
                    <w:textAlignment w:val="auto"/>
                    <w:rPr>
                      <w:rFonts w:hint="default" w:cs="Times New Roman"/>
                      <w:color w:val="auto"/>
                      <w:kern w:val="2"/>
                      <w:sz w:val="21"/>
                      <w:szCs w:val="20"/>
                      <w:highlight w:val="none"/>
                      <w:lang w:val="en-US" w:eastAsia="zh-CN" w:bidi="ar-SA"/>
                    </w:rPr>
                  </w:pPr>
                  <w:r>
                    <w:rPr>
                      <w:rFonts w:hint="eastAsia" w:cs="Times New Roman"/>
                      <w:color w:val="auto"/>
                      <w:kern w:val="2"/>
                      <w:sz w:val="21"/>
                      <w:szCs w:val="20"/>
                      <w:highlight w:val="none"/>
                      <w:lang w:val="en-US" w:eastAsia="zh-CN" w:bidi="ar-SA"/>
                    </w:rPr>
                    <w:t>注：北侧厂界、西侧厂界、东南侧厂界、西南侧厂界的噪声背景值引用于</w:t>
                  </w:r>
                  <w:r>
                    <w:rPr>
                      <w:rFonts w:hint="eastAsia" w:ascii="Times New Roman" w:hAnsi="Times New Roman" w:cs="Times New Roman"/>
                      <w:color w:val="auto"/>
                      <w:kern w:val="2"/>
                      <w:sz w:val="21"/>
                      <w:szCs w:val="20"/>
                      <w:highlight w:val="none"/>
                      <w:lang w:val="en-US" w:eastAsia="zh-CN" w:bidi="ar-SA"/>
                    </w:rPr>
                    <w:t>《罗源县医院扩建病房大楼工程环境保护竣工验收检测》（检测报告编号：JWJC230511002）详见附件14；</w:t>
                  </w:r>
                </w:p>
              </w:tc>
            </w:tr>
          </w:tbl>
          <w:p w14:paraId="5DF40EF6">
            <w:pPr>
              <w:pStyle w:val="103"/>
              <w:widowControl/>
              <w:autoSpaceDE w:val="0"/>
              <w:autoSpaceDN w:val="0"/>
              <w:spacing w:before="120" w:beforeLines="50" w:line="360" w:lineRule="auto"/>
              <w:ind w:firstLine="482"/>
              <w:jc w:val="both"/>
              <w:rPr>
                <w:rFonts w:hint="eastAsia" w:eastAsia="宋体" w:cs="宋体"/>
                <w:color w:val="auto"/>
                <w:highlight w:val="none"/>
                <w:lang w:eastAsia="zh-CN"/>
              </w:rPr>
            </w:pPr>
            <w:r>
              <w:rPr>
                <w:color w:val="auto"/>
                <w:spacing w:val="-1"/>
                <w:sz w:val="24"/>
                <w:szCs w:val="24"/>
                <w:highlight w:val="none"/>
              </w:rPr>
              <w:t>由上表可见，本项目昼间四至厂界噪声贡献值可分别达到《工业企业厂界环境噪声排放标准》（</w:t>
            </w:r>
            <w:r>
              <w:rPr>
                <w:rFonts w:ascii="Times New Roman" w:hAnsi="Times New Roman" w:eastAsia="Times New Roman" w:cs="Times New Roman"/>
                <w:color w:val="auto"/>
                <w:spacing w:val="-1"/>
                <w:sz w:val="24"/>
                <w:szCs w:val="24"/>
                <w:highlight w:val="none"/>
              </w:rPr>
              <w:t>GB12348-2008</w:t>
            </w:r>
            <w:r>
              <w:rPr>
                <w:color w:val="auto"/>
                <w:spacing w:val="-1"/>
                <w:sz w:val="24"/>
                <w:szCs w:val="24"/>
                <w:highlight w:val="none"/>
              </w:rPr>
              <w:t>）中的</w:t>
            </w:r>
            <w:r>
              <w:rPr>
                <w:rFonts w:hint="eastAsia" w:eastAsia="宋体" w:cs="Times New Roman"/>
                <w:color w:val="auto"/>
                <w:spacing w:val="-1"/>
                <w:sz w:val="24"/>
                <w:szCs w:val="24"/>
                <w:highlight w:val="none"/>
                <w:lang w:val="en-US" w:eastAsia="zh-CN"/>
              </w:rPr>
              <w:t>2</w:t>
            </w:r>
            <w:r>
              <w:rPr>
                <w:color w:val="auto"/>
                <w:spacing w:val="-1"/>
                <w:sz w:val="24"/>
                <w:szCs w:val="24"/>
                <w:highlight w:val="none"/>
              </w:rPr>
              <w:t>类标准</w:t>
            </w:r>
            <w:r>
              <w:rPr>
                <w:color w:val="auto"/>
                <w:spacing w:val="-2"/>
                <w:sz w:val="24"/>
                <w:szCs w:val="24"/>
                <w:highlight w:val="none"/>
              </w:rPr>
              <w:t>限值要求。因</w:t>
            </w:r>
            <w:r>
              <w:rPr>
                <w:color w:val="auto"/>
                <w:sz w:val="24"/>
                <w:szCs w:val="24"/>
                <w:highlight w:val="none"/>
              </w:rPr>
              <w:t>此，项目运营期间，在采取相应降噪措施后，</w:t>
            </w:r>
            <w:r>
              <w:rPr>
                <w:color w:val="auto"/>
                <w:spacing w:val="-1"/>
                <w:sz w:val="24"/>
                <w:szCs w:val="24"/>
                <w:highlight w:val="none"/>
              </w:rPr>
              <w:t>对区域声环境的影响较小。</w:t>
            </w:r>
          </w:p>
          <w:p w14:paraId="31FA0B68">
            <w:pPr>
              <w:pStyle w:val="4"/>
              <w:numPr>
                <w:ilvl w:val="2"/>
                <w:numId w:val="1"/>
              </w:numPr>
              <w:bidi w:val="0"/>
              <w:ind w:left="720" w:leftChars="0" w:hanging="720" w:firstLineChars="0"/>
              <w:rPr>
                <w:rFonts w:hint="eastAsia" w:eastAsia="宋体"/>
                <w:color w:val="auto"/>
                <w:highlight w:val="none"/>
              </w:rPr>
            </w:pPr>
            <w:r>
              <w:rPr>
                <w:rFonts w:hint="eastAsia" w:eastAsia="宋体"/>
                <w:color w:val="auto"/>
                <w:highlight w:val="none"/>
              </w:rPr>
              <w:t>噪声环境监测要求</w:t>
            </w:r>
          </w:p>
          <w:p w14:paraId="63D98E69">
            <w:pPr>
              <w:pStyle w:val="46"/>
              <w:ind w:firstLine="480"/>
              <w:rPr>
                <w:rFonts w:hint="eastAsia" w:eastAsia="宋体"/>
                <w:color w:val="auto"/>
                <w:highlight w:val="none"/>
                <w:lang w:eastAsia="zh-CN"/>
              </w:rPr>
            </w:pPr>
            <w:r>
              <w:rPr>
                <w:rFonts w:hint="eastAsia"/>
                <w:color w:val="auto"/>
                <w:highlight w:val="none"/>
              </w:rPr>
              <w:t>项目噪声监测计划见下表</w:t>
            </w:r>
            <w:r>
              <w:rPr>
                <w:rFonts w:hint="eastAsia"/>
                <w:color w:val="auto"/>
                <w:highlight w:val="none"/>
                <w:lang w:eastAsia="zh-CN"/>
              </w:rPr>
              <w:t>。</w:t>
            </w:r>
          </w:p>
          <w:p w14:paraId="735C1242">
            <w:pPr>
              <w:pStyle w:val="44"/>
              <w:keepNext/>
              <w:keepLines/>
              <w:pageBreakBefore w:val="0"/>
              <w:widowControl w:val="0"/>
              <w:numPr>
                <w:ilvl w:val="7"/>
                <w:numId w:val="13"/>
              </w:numPr>
              <w:tabs>
                <w:tab w:val="left" w:pos="0"/>
              </w:tabs>
              <w:kinsoku/>
              <w:wordWrap/>
              <w:overflowPunct/>
              <w:topLinePunct w:val="0"/>
              <w:autoSpaceDE/>
              <w:autoSpaceDN/>
              <w:bidi w:val="0"/>
              <w:adjustRightInd/>
              <w:snapToGrid/>
              <w:spacing w:after="0"/>
              <w:ind w:left="630" w:leftChars="0" w:firstLine="0" w:firstLineChars="0"/>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噪声监测计划</w:t>
            </w:r>
          </w:p>
          <w:tbl>
            <w:tblPr>
              <w:tblStyle w:val="34"/>
              <w:tblW w:w="4997" w:type="pct"/>
              <w:tblInd w:w="0" w:type="dxa"/>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Layout w:type="autofit"/>
              <w:tblCellMar>
                <w:top w:w="0" w:type="dxa"/>
                <w:left w:w="108" w:type="dxa"/>
                <w:bottom w:w="0" w:type="dxa"/>
                <w:right w:w="108" w:type="dxa"/>
              </w:tblCellMar>
            </w:tblPr>
            <w:tblGrid>
              <w:gridCol w:w="1180"/>
              <w:gridCol w:w="1355"/>
              <w:gridCol w:w="4281"/>
              <w:gridCol w:w="2109"/>
            </w:tblGrid>
            <w:tr w14:paraId="3EBBEA3D">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rPr>
                <w:trHeight w:val="357" w:hRule="atLeast"/>
              </w:trPr>
              <w:tc>
                <w:tcPr>
                  <w:tcW w:w="661" w:type="pct"/>
                  <w:tcBorders>
                    <w:tl2br w:val="nil"/>
                    <w:tr2bl w:val="nil"/>
                  </w:tcBorders>
                  <w:vAlign w:val="center"/>
                </w:tcPr>
                <w:p w14:paraId="322CAB3C">
                  <w:pPr>
                    <w:pStyle w:val="48"/>
                    <w:tabs>
                      <w:tab w:val="left" w:pos="0"/>
                    </w:tabs>
                    <w:rPr>
                      <w:color w:val="auto"/>
                      <w:highlight w:val="none"/>
                    </w:rPr>
                  </w:pPr>
                  <w:r>
                    <w:rPr>
                      <w:color w:val="auto"/>
                      <w:highlight w:val="none"/>
                    </w:rPr>
                    <w:t>监测点位</w:t>
                  </w:r>
                </w:p>
              </w:tc>
              <w:tc>
                <w:tcPr>
                  <w:tcW w:w="759" w:type="pct"/>
                  <w:tcBorders>
                    <w:tl2br w:val="nil"/>
                    <w:tr2bl w:val="nil"/>
                  </w:tcBorders>
                  <w:vAlign w:val="center"/>
                </w:tcPr>
                <w:p w14:paraId="30468C1C">
                  <w:pPr>
                    <w:pStyle w:val="48"/>
                    <w:tabs>
                      <w:tab w:val="left" w:pos="0"/>
                    </w:tabs>
                    <w:rPr>
                      <w:color w:val="auto"/>
                      <w:highlight w:val="none"/>
                    </w:rPr>
                  </w:pPr>
                  <w:r>
                    <w:rPr>
                      <w:color w:val="auto"/>
                      <w:highlight w:val="none"/>
                    </w:rPr>
                    <w:t>监测项目</w:t>
                  </w:r>
                </w:p>
              </w:tc>
              <w:tc>
                <w:tcPr>
                  <w:tcW w:w="2397" w:type="pct"/>
                  <w:tcBorders>
                    <w:tl2br w:val="nil"/>
                    <w:tr2bl w:val="nil"/>
                  </w:tcBorders>
                  <w:vAlign w:val="center"/>
                </w:tcPr>
                <w:p w14:paraId="0CA84CEF">
                  <w:pPr>
                    <w:pStyle w:val="48"/>
                    <w:tabs>
                      <w:tab w:val="left" w:pos="0"/>
                    </w:tabs>
                    <w:rPr>
                      <w:color w:val="auto"/>
                      <w:highlight w:val="none"/>
                    </w:rPr>
                  </w:pPr>
                  <w:r>
                    <w:rPr>
                      <w:color w:val="auto"/>
                      <w:highlight w:val="none"/>
                    </w:rPr>
                    <w:t>执行标准</w:t>
                  </w:r>
                </w:p>
              </w:tc>
              <w:tc>
                <w:tcPr>
                  <w:tcW w:w="1181" w:type="pct"/>
                  <w:tcBorders>
                    <w:tl2br w:val="nil"/>
                    <w:tr2bl w:val="nil"/>
                  </w:tcBorders>
                  <w:vAlign w:val="center"/>
                </w:tcPr>
                <w:p w14:paraId="6C1D73B3">
                  <w:pPr>
                    <w:pStyle w:val="48"/>
                    <w:tabs>
                      <w:tab w:val="left" w:pos="0"/>
                    </w:tabs>
                    <w:rPr>
                      <w:color w:val="auto"/>
                      <w:highlight w:val="none"/>
                    </w:rPr>
                  </w:pPr>
                  <w:r>
                    <w:rPr>
                      <w:color w:val="auto"/>
                      <w:highlight w:val="none"/>
                    </w:rPr>
                    <w:t>监测频率</w:t>
                  </w:r>
                </w:p>
              </w:tc>
            </w:tr>
            <w:tr w14:paraId="6DFC9A07">
              <w:tblPrEx>
                <w:tblBorders>
                  <w:top w:val="single" w:color="auto" w:sz="12" w:space="0"/>
                  <w:left w:val="none" w:color="auto" w:sz="0" w:space="0"/>
                  <w:bottom w:val="single" w:color="auto" w:sz="12" w:space="0"/>
                  <w:right w:val="none" w:color="auto" w:sz="0" w:space="0"/>
                  <w:insideH w:val="single" w:color="auto" w:sz="12" w:space="0"/>
                  <w:insideV w:val="single" w:color="auto" w:sz="4" w:space="0"/>
                </w:tblBorders>
                <w:tblCellMar>
                  <w:top w:w="0" w:type="dxa"/>
                  <w:left w:w="108" w:type="dxa"/>
                  <w:bottom w:w="0" w:type="dxa"/>
                  <w:right w:w="108" w:type="dxa"/>
                </w:tblCellMar>
              </w:tblPrEx>
              <w:trPr>
                <w:trHeight w:val="666" w:hRule="atLeast"/>
              </w:trPr>
              <w:tc>
                <w:tcPr>
                  <w:tcW w:w="661" w:type="pct"/>
                  <w:tcBorders>
                    <w:tl2br w:val="nil"/>
                    <w:tr2bl w:val="nil"/>
                  </w:tcBorders>
                  <w:vAlign w:val="center"/>
                </w:tcPr>
                <w:p w14:paraId="6D26F8FC">
                  <w:pPr>
                    <w:pStyle w:val="48"/>
                    <w:tabs>
                      <w:tab w:val="left" w:pos="0"/>
                    </w:tabs>
                    <w:ind w:left="0" w:leftChars="0" w:firstLine="0" w:firstLineChars="0"/>
                    <w:rPr>
                      <w:rFonts w:hint="eastAsia"/>
                      <w:color w:val="auto"/>
                      <w:highlight w:val="none"/>
                      <w:lang w:val="en-US" w:eastAsia="zh-CN"/>
                    </w:rPr>
                  </w:pPr>
                  <w:r>
                    <w:rPr>
                      <w:color w:val="auto"/>
                      <w:highlight w:val="none"/>
                    </w:rPr>
                    <w:t>厂界</w:t>
                  </w:r>
                </w:p>
              </w:tc>
              <w:tc>
                <w:tcPr>
                  <w:tcW w:w="759" w:type="pct"/>
                  <w:tcBorders>
                    <w:tl2br w:val="nil"/>
                    <w:tr2bl w:val="nil"/>
                  </w:tcBorders>
                  <w:vAlign w:val="center"/>
                </w:tcPr>
                <w:p w14:paraId="7C051808">
                  <w:pPr>
                    <w:pStyle w:val="48"/>
                    <w:tabs>
                      <w:tab w:val="left" w:pos="0"/>
                    </w:tabs>
                    <w:ind w:left="0" w:leftChars="0" w:firstLine="0" w:firstLineChars="0"/>
                    <w:rPr>
                      <w:color w:val="auto"/>
                      <w:highlight w:val="none"/>
                    </w:rPr>
                  </w:pPr>
                  <w:r>
                    <w:rPr>
                      <w:color w:val="auto"/>
                      <w:highlight w:val="none"/>
                    </w:rPr>
                    <w:t>Leq(A)</w:t>
                  </w:r>
                </w:p>
              </w:tc>
              <w:tc>
                <w:tcPr>
                  <w:tcW w:w="2397" w:type="pct"/>
                  <w:tcBorders>
                    <w:tl2br w:val="nil"/>
                    <w:tr2bl w:val="nil"/>
                  </w:tcBorders>
                  <w:vAlign w:val="center"/>
                </w:tcPr>
                <w:p w14:paraId="01541A79">
                  <w:pPr>
                    <w:pStyle w:val="48"/>
                    <w:tabs>
                      <w:tab w:val="left" w:pos="0"/>
                    </w:tabs>
                    <w:ind w:left="0" w:leftChars="0" w:firstLine="0" w:firstLineChars="0"/>
                    <w:rPr>
                      <w:color w:val="auto"/>
                      <w:highlight w:val="none"/>
                    </w:rPr>
                  </w:pPr>
                  <w:r>
                    <w:rPr>
                      <w:color w:val="auto"/>
                      <w:highlight w:val="none"/>
                    </w:rPr>
                    <w:t>《工业企业厂界环境噪声排放标准》</w:t>
                  </w:r>
                  <w:r>
                    <w:rPr>
                      <w:rFonts w:hint="eastAsia"/>
                      <w:color w:val="auto"/>
                      <w:highlight w:val="none"/>
                      <w:lang w:eastAsia="zh-CN"/>
                    </w:rPr>
                    <w:t>（</w:t>
                  </w:r>
                  <w:r>
                    <w:rPr>
                      <w:color w:val="auto"/>
                      <w:highlight w:val="none"/>
                    </w:rPr>
                    <w:t>GB12348-2008</w:t>
                  </w:r>
                  <w:r>
                    <w:rPr>
                      <w:rFonts w:hint="eastAsia"/>
                      <w:color w:val="auto"/>
                      <w:highlight w:val="none"/>
                      <w:lang w:eastAsia="zh-CN"/>
                    </w:rPr>
                    <w:t>）</w:t>
                  </w:r>
                  <w:r>
                    <w:rPr>
                      <w:color w:val="auto"/>
                      <w:highlight w:val="none"/>
                    </w:rPr>
                    <w:t>的</w:t>
                  </w:r>
                  <w:r>
                    <w:rPr>
                      <w:rFonts w:hint="eastAsia"/>
                      <w:color w:val="auto"/>
                      <w:highlight w:val="none"/>
                      <w:lang w:val="en-US" w:eastAsia="zh-CN"/>
                    </w:rPr>
                    <w:t>2</w:t>
                  </w:r>
                  <w:r>
                    <w:rPr>
                      <w:color w:val="auto"/>
                      <w:highlight w:val="none"/>
                    </w:rPr>
                    <w:t>类</w:t>
                  </w:r>
                </w:p>
              </w:tc>
              <w:tc>
                <w:tcPr>
                  <w:tcW w:w="1181" w:type="pct"/>
                  <w:tcBorders>
                    <w:tl2br w:val="nil"/>
                    <w:tr2bl w:val="nil"/>
                  </w:tcBorders>
                  <w:vAlign w:val="center"/>
                </w:tcPr>
                <w:p w14:paraId="02A0220A">
                  <w:pPr>
                    <w:pStyle w:val="48"/>
                    <w:tabs>
                      <w:tab w:val="left" w:pos="0"/>
                    </w:tabs>
                    <w:ind w:left="0" w:leftChars="0" w:firstLine="0" w:firstLineChars="0"/>
                    <w:rPr>
                      <w:color w:val="auto"/>
                      <w:highlight w:val="none"/>
                    </w:rPr>
                  </w:pPr>
                  <w:r>
                    <w:rPr>
                      <w:color w:val="auto"/>
                      <w:highlight w:val="none"/>
                    </w:rPr>
                    <w:t>1次/季</w:t>
                  </w:r>
                </w:p>
              </w:tc>
            </w:tr>
          </w:tbl>
          <w:p w14:paraId="3CE8EACE">
            <w:pPr>
              <w:pStyle w:val="3"/>
              <w:numPr>
                <w:ilvl w:val="1"/>
                <w:numId w:val="1"/>
              </w:numPr>
              <w:bidi w:val="0"/>
              <w:ind w:left="0" w:leftChars="0" w:firstLine="0" w:firstLineChars="0"/>
              <w:rPr>
                <w:rFonts w:hint="eastAsia" w:eastAsia="宋体"/>
                <w:color w:val="auto"/>
                <w:highlight w:val="none"/>
                <w:lang w:val="en-US" w:eastAsia="zh-CN"/>
              </w:rPr>
            </w:pPr>
            <w:r>
              <w:rPr>
                <w:rFonts w:hint="eastAsia" w:eastAsia="宋体"/>
                <w:color w:val="auto"/>
                <w:highlight w:val="none"/>
                <w:lang w:val="en-US" w:eastAsia="zh-CN"/>
              </w:rPr>
              <w:t>固体废物</w:t>
            </w:r>
          </w:p>
          <w:p w14:paraId="39F7DCBB">
            <w:pPr>
              <w:pStyle w:val="4"/>
              <w:numPr>
                <w:ilvl w:val="2"/>
                <w:numId w:val="1"/>
              </w:numPr>
              <w:bidi w:val="0"/>
              <w:ind w:left="720" w:leftChars="0" w:hanging="720" w:firstLineChars="0"/>
              <w:rPr>
                <w:rFonts w:hint="eastAsia" w:eastAsia="宋体"/>
                <w:color w:val="auto"/>
                <w:highlight w:val="none"/>
              </w:rPr>
            </w:pPr>
            <w:r>
              <w:rPr>
                <w:rFonts w:hint="eastAsia" w:eastAsia="宋体"/>
                <w:color w:val="auto"/>
                <w:highlight w:val="none"/>
              </w:rPr>
              <w:t>固废污染源分析</w:t>
            </w:r>
          </w:p>
          <w:p w14:paraId="46441F7E">
            <w:pPr>
              <w:pStyle w:val="46"/>
              <w:ind w:firstLine="480"/>
              <w:rPr>
                <w:rFonts w:hint="eastAsia" w:cs="宋体"/>
                <w:color w:val="auto"/>
                <w:highlight w:val="none"/>
                <w:lang w:val="en-US" w:eastAsia="zh-CN"/>
              </w:rPr>
            </w:pPr>
            <w:r>
              <w:rPr>
                <w:rFonts w:hint="eastAsia" w:cs="宋体"/>
                <w:color w:val="auto"/>
                <w:highlight w:val="none"/>
                <w:lang w:val="en-US" w:eastAsia="zh-CN"/>
              </w:rPr>
              <w:t>本项目产生的固体废物主要为医疗废物、污水处理站污泥、职工生活垃圾等。</w:t>
            </w:r>
          </w:p>
          <w:p w14:paraId="3C468069">
            <w:pPr>
              <w:pStyle w:val="46"/>
              <w:ind w:firstLine="480"/>
              <w:rPr>
                <w:rFonts w:hint="eastAsia" w:ascii="Times New Roman" w:hAnsi="Times New Roman" w:eastAsia="宋体" w:cs="宋体"/>
                <w:color w:val="auto"/>
                <w:highlight w:val="none"/>
                <w:lang w:val="en-US" w:eastAsia="zh-CN"/>
              </w:rPr>
            </w:pPr>
            <w:r>
              <w:rPr>
                <w:rFonts w:hint="eastAsia" w:cs="宋体"/>
                <w:color w:val="auto"/>
                <w:highlight w:val="none"/>
                <w:lang w:val="en-US" w:eastAsia="zh-CN"/>
              </w:rPr>
              <w:t>1.</w:t>
            </w:r>
            <w:r>
              <w:rPr>
                <w:rFonts w:hint="eastAsia" w:ascii="Times New Roman" w:hAnsi="Times New Roman" w:eastAsia="宋体" w:cs="宋体"/>
                <w:color w:val="auto"/>
                <w:highlight w:val="none"/>
                <w:lang w:val="en-US" w:eastAsia="zh-CN"/>
              </w:rPr>
              <w:t>生活垃圾</w:t>
            </w:r>
          </w:p>
          <w:p w14:paraId="49BB8C96">
            <w:pPr>
              <w:pStyle w:val="46"/>
              <w:ind w:firstLine="480"/>
              <w:rPr>
                <w:rFonts w:hint="eastAsia" w:ascii="Times New Roman" w:hAnsi="Times New Roman" w:eastAsia="宋体" w:cs="宋体"/>
                <w:color w:val="auto"/>
                <w:highlight w:val="none"/>
                <w:lang w:val="en-US" w:eastAsia="zh-CN"/>
              </w:rPr>
            </w:pPr>
            <w:r>
              <w:rPr>
                <w:rFonts w:hint="eastAsia" w:ascii="Times New Roman" w:hAnsi="Times New Roman" w:eastAsia="宋体" w:cs="宋体"/>
                <w:color w:val="auto"/>
                <w:highlight w:val="none"/>
                <w:lang w:val="en-US" w:eastAsia="zh-CN"/>
              </w:rPr>
              <w:t>生活垃圾主要来自医院行政办公及住院病人，生活垃圾包括纸张、果皮、一次性饭盒、塑料包装、废药品包装盒等。生活垃圾按住院病人1.0kg/床-日，医务人员生活垃圾产生系数按0.5kg/d计，本项目病床数</w:t>
            </w:r>
            <w:r>
              <w:rPr>
                <w:rFonts w:hint="eastAsia" w:cs="宋体"/>
                <w:color w:val="auto"/>
                <w:highlight w:val="none"/>
                <w:lang w:val="en-US" w:eastAsia="zh-CN"/>
              </w:rPr>
              <w:t>270</w:t>
            </w:r>
            <w:r>
              <w:rPr>
                <w:rFonts w:hint="eastAsia" w:ascii="Times New Roman" w:hAnsi="Times New Roman" w:eastAsia="宋体" w:cs="宋体"/>
                <w:color w:val="auto"/>
                <w:highlight w:val="none"/>
                <w:lang w:val="en-US" w:eastAsia="zh-CN"/>
              </w:rPr>
              <w:t>张，医务人员</w:t>
            </w:r>
            <w:r>
              <w:rPr>
                <w:rFonts w:hint="eastAsia" w:cs="宋体"/>
                <w:color w:val="auto"/>
                <w:highlight w:val="none"/>
                <w:lang w:val="en-US" w:eastAsia="zh-CN"/>
              </w:rPr>
              <w:t>136</w:t>
            </w:r>
            <w:r>
              <w:rPr>
                <w:rFonts w:hint="eastAsia" w:ascii="Times New Roman" w:hAnsi="Times New Roman" w:eastAsia="宋体" w:cs="宋体"/>
                <w:color w:val="auto"/>
                <w:highlight w:val="none"/>
                <w:lang w:val="en-US" w:eastAsia="zh-CN"/>
              </w:rPr>
              <w:t>人，则生活垃圾产生量约为</w:t>
            </w:r>
            <w:r>
              <w:rPr>
                <w:rFonts w:hint="eastAsia" w:cs="宋体"/>
                <w:color w:val="auto"/>
                <w:highlight w:val="none"/>
                <w:lang w:val="en-US" w:eastAsia="zh-CN"/>
              </w:rPr>
              <w:t>338</w:t>
            </w:r>
            <w:r>
              <w:rPr>
                <w:rFonts w:hint="eastAsia" w:ascii="Times New Roman" w:hAnsi="Times New Roman" w:eastAsia="宋体" w:cs="宋体"/>
                <w:color w:val="auto"/>
                <w:highlight w:val="none"/>
                <w:lang w:val="en-US" w:eastAsia="zh-CN"/>
              </w:rPr>
              <w:t>kg/d</w:t>
            </w:r>
            <w:r>
              <w:rPr>
                <w:rFonts w:hint="eastAsia" w:cs="宋体"/>
                <w:color w:val="auto"/>
                <w:highlight w:val="none"/>
                <w:lang w:val="en-US" w:eastAsia="zh-CN"/>
              </w:rPr>
              <w:t>（123.37t/</w:t>
            </w:r>
            <w:r>
              <w:rPr>
                <w:rFonts w:hint="eastAsia" w:ascii="Times New Roman" w:hAnsi="Times New Roman" w:eastAsia="宋体" w:cs="宋体"/>
                <w:color w:val="auto"/>
                <w:highlight w:val="none"/>
                <w:lang w:val="en-US" w:eastAsia="zh-CN"/>
              </w:rPr>
              <w:t>a</w:t>
            </w:r>
            <w:r>
              <w:rPr>
                <w:rFonts w:hint="eastAsia" w:cs="宋体"/>
                <w:color w:val="auto"/>
                <w:highlight w:val="none"/>
                <w:lang w:val="en-US" w:eastAsia="zh-CN"/>
              </w:rPr>
              <w:t>）</w:t>
            </w:r>
            <w:r>
              <w:rPr>
                <w:rFonts w:hint="eastAsia" w:ascii="Times New Roman" w:hAnsi="Times New Roman" w:eastAsia="宋体" w:cs="宋体"/>
                <w:color w:val="auto"/>
                <w:highlight w:val="none"/>
                <w:lang w:val="en-US" w:eastAsia="zh-CN"/>
              </w:rPr>
              <w:t>。生活垃圾由清洁工收集后由环卫部门定期清运。</w:t>
            </w:r>
          </w:p>
          <w:p w14:paraId="3EC08F98">
            <w:pPr>
              <w:pStyle w:val="118"/>
              <w:spacing w:line="360" w:lineRule="auto"/>
              <w:jc w:val="both"/>
              <w:rPr>
                <w:rFonts w:hint="eastAsia" w:ascii="Times New Roman" w:hAnsi="Times New Roman" w:eastAsia="宋体" w:cs="Times New Roman"/>
                <w:bCs/>
                <w:color w:val="auto"/>
                <w:highlight w:val="none"/>
                <w:lang w:val="en-US" w:eastAsia="zh-CN"/>
              </w:rPr>
            </w:pPr>
            <w:r>
              <w:rPr>
                <w:rFonts w:hint="eastAsia" w:cs="Times New Roman"/>
                <w:bCs/>
                <w:color w:val="auto"/>
                <w:highlight w:val="none"/>
                <w:lang w:val="en-US" w:eastAsia="zh-CN"/>
              </w:rPr>
              <w:t>2.</w:t>
            </w:r>
            <w:r>
              <w:rPr>
                <w:rFonts w:hint="eastAsia" w:ascii="Times New Roman" w:hAnsi="Times New Roman" w:eastAsia="宋体" w:cs="Times New Roman"/>
                <w:bCs/>
                <w:color w:val="auto"/>
                <w:highlight w:val="none"/>
                <w:lang w:val="en-US" w:eastAsia="zh-CN"/>
              </w:rPr>
              <w:t>一般工业固体废物</w:t>
            </w:r>
          </w:p>
          <w:p w14:paraId="64E750E2">
            <w:pPr>
              <w:pStyle w:val="118"/>
              <w:spacing w:line="360" w:lineRule="auto"/>
              <w:jc w:val="both"/>
              <w:rPr>
                <w:rFonts w:hint="eastAsia" w:cs="Times New Roman"/>
                <w:color w:val="auto"/>
                <w:highlight w:val="none"/>
                <w:lang w:val="en-US" w:eastAsia="zh-CN"/>
              </w:rPr>
            </w:pPr>
            <w:r>
              <w:rPr>
                <w:rFonts w:hint="eastAsia" w:cs="Times New Roman"/>
                <w:color w:val="auto"/>
                <w:highlight w:val="none"/>
                <w:lang w:val="en-US" w:eastAsia="zh-CN"/>
              </w:rPr>
              <w:t>废包装材料</w:t>
            </w:r>
          </w:p>
          <w:p w14:paraId="36CC2479">
            <w:pPr>
              <w:pStyle w:val="118"/>
              <w:spacing w:line="360" w:lineRule="auto"/>
              <w:jc w:val="both"/>
              <w:rPr>
                <w:rFonts w:hint="eastAsia" w:cs="Times New Roman"/>
                <w:color w:val="auto"/>
                <w:highlight w:val="none"/>
                <w:lang w:val="en-US" w:eastAsia="zh-CN"/>
              </w:rPr>
            </w:pPr>
            <w:r>
              <w:rPr>
                <w:rFonts w:hint="eastAsia" w:cs="Times New Roman"/>
                <w:color w:val="auto"/>
                <w:highlight w:val="none"/>
                <w:lang w:val="en-US" w:eastAsia="zh-CN"/>
              </w:rPr>
              <w:t>根据建设单位提供的信息资料，未使用、未污染、不属于危废的一次性输液瓶、袋等产生量约1.5t/a，由市政环卫部门定时清运。</w:t>
            </w:r>
          </w:p>
          <w:p w14:paraId="21124252">
            <w:pPr>
              <w:spacing w:line="360" w:lineRule="auto"/>
              <w:ind w:firstLine="482"/>
              <w:rPr>
                <w:rFonts w:ascii="Times New Roman" w:hAnsi="Times New Roman"/>
                <w:color w:val="auto"/>
                <w:sz w:val="24"/>
                <w:highlight w:val="none"/>
              </w:rPr>
            </w:pPr>
            <w:r>
              <w:rPr>
                <w:rFonts w:hint="eastAsia"/>
                <w:color w:val="auto"/>
                <w:sz w:val="24"/>
                <w:highlight w:val="none"/>
                <w:lang w:eastAsia="zh-CN"/>
              </w:rPr>
              <w:t>3.</w:t>
            </w:r>
            <w:r>
              <w:rPr>
                <w:rFonts w:ascii="Times New Roman" w:hAnsi="Times New Roman"/>
                <w:color w:val="auto"/>
                <w:sz w:val="24"/>
                <w:highlight w:val="none"/>
              </w:rPr>
              <w:t>危险废物</w:t>
            </w:r>
          </w:p>
          <w:p w14:paraId="16AA8E09">
            <w:pPr>
              <w:pStyle w:val="12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①污水处理</w:t>
            </w:r>
            <w:r>
              <w:rPr>
                <w:rFonts w:hint="eastAsia" w:cs="Times New Roman"/>
                <w:color w:val="auto"/>
                <w:highlight w:val="none"/>
                <w:lang w:val="en-US" w:eastAsia="zh-CN"/>
              </w:rPr>
              <w:t>设施</w:t>
            </w:r>
            <w:r>
              <w:rPr>
                <w:rFonts w:hint="eastAsia" w:ascii="Times New Roman" w:hAnsi="Times New Roman" w:eastAsia="宋体" w:cs="Times New Roman"/>
                <w:color w:val="auto"/>
                <w:highlight w:val="none"/>
                <w:lang w:val="en-US" w:eastAsia="zh-CN"/>
              </w:rPr>
              <w:t>污泥</w:t>
            </w:r>
          </w:p>
          <w:p w14:paraId="3A384F1D">
            <w:pPr>
              <w:pStyle w:val="12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医疗废水先经化粪池处理后进入医院自建的污水处理</w:t>
            </w:r>
            <w:r>
              <w:rPr>
                <w:rFonts w:hint="eastAsia" w:cs="Times New Roman"/>
                <w:color w:val="auto"/>
                <w:highlight w:val="none"/>
                <w:lang w:val="en-US" w:eastAsia="zh-CN"/>
              </w:rPr>
              <w:t>设施</w:t>
            </w:r>
            <w:r>
              <w:rPr>
                <w:rFonts w:hint="eastAsia" w:ascii="Times New Roman" w:hAnsi="Times New Roman" w:eastAsia="宋体" w:cs="Times New Roman"/>
                <w:color w:val="auto"/>
                <w:highlight w:val="none"/>
                <w:lang w:val="en-US" w:eastAsia="zh-CN"/>
              </w:rPr>
              <w:t>处理后排入市政污水管网。医疗污水处理过程产生的污泥量与原水的悬浮固体及处理工艺有关。医院污水处理站拟采用“生物接触氧化法+沉淀+消毒工艺”，污泥</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包括格栅、污水处理站污泥和化粪池污泥</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，项目医疗日废水量</w:t>
            </w:r>
            <w:r>
              <w:rPr>
                <w:rFonts w:hint="eastAsia" w:cs="Times New Roman"/>
                <w:color w:val="auto"/>
                <w:highlight w:val="none"/>
                <w:lang w:val="en-US" w:eastAsia="zh-CN"/>
              </w:rPr>
              <w:t>116.306</w:t>
            </w:r>
            <w:r>
              <w:rPr>
                <w:rFonts w:hint="eastAsia" w:ascii="Times New Roman" w:hAnsi="Times New Roman" w:eastAsia="宋体" w:cs="Times New Roman"/>
                <w:color w:val="auto"/>
                <w:highlight w:val="none"/>
                <w:lang w:val="en-US" w:eastAsia="zh-CN"/>
              </w:rPr>
              <w:t>‬t/d，污泥产生系数按0.1kg污泥/t废水计算，则医院污泥产生量约</w:t>
            </w:r>
            <w:r>
              <w:rPr>
                <w:rFonts w:hint="eastAsia" w:cs="Times New Roman"/>
                <w:color w:val="auto"/>
                <w:highlight w:val="none"/>
                <w:lang w:val="en-US" w:eastAsia="zh-CN"/>
              </w:rPr>
              <w:t>11.63</w:t>
            </w:r>
            <w:r>
              <w:rPr>
                <w:rFonts w:hint="eastAsia" w:ascii="Times New Roman" w:hAnsi="Times New Roman" w:eastAsia="宋体" w:cs="Times New Roman"/>
                <w:color w:val="auto"/>
                <w:highlight w:val="none"/>
                <w:lang w:val="en-US" w:eastAsia="zh-CN"/>
              </w:rPr>
              <w:t>kg/d，全年产生量约</w:t>
            </w:r>
            <w:r>
              <w:rPr>
                <w:rFonts w:hint="eastAsia" w:cs="Times New Roman"/>
                <w:color w:val="auto"/>
                <w:highlight w:val="none"/>
                <w:lang w:val="en-US" w:eastAsia="zh-CN"/>
              </w:rPr>
              <w:t>4.245</w:t>
            </w:r>
            <w:r>
              <w:rPr>
                <w:rFonts w:hint="eastAsia" w:ascii="Times New Roman" w:hAnsi="Times New Roman" w:eastAsia="宋体" w:cs="Times New Roman"/>
                <w:color w:val="auto"/>
                <w:highlight w:val="none"/>
                <w:lang w:val="en-US" w:eastAsia="zh-CN"/>
              </w:rPr>
              <w:t>a。</w:t>
            </w:r>
          </w:p>
          <w:p w14:paraId="1669A8A2">
            <w:pPr>
              <w:pStyle w:val="12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根据《医疗机构水污染物排放标准》GB18466-2005及《医院污水处理工程技术规范》HJ2029-2013，医院污水处理产生的污泥</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包括栅渣、化粪池和污水处理站污泥</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应按危险废物</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HW01，8</w:t>
            </w:r>
            <w:r>
              <w:rPr>
                <w:rFonts w:hint="eastAsia" w:cs="Times New Roman"/>
                <w:color w:val="auto"/>
                <w:highlight w:val="none"/>
                <w:lang w:val="en-US" w:eastAsia="zh-CN"/>
              </w:rPr>
              <w:t>4</w:t>
            </w:r>
            <w:r>
              <w:rPr>
                <w:rFonts w:hint="eastAsia" w:ascii="Times New Roman" w:hAnsi="Times New Roman" w:eastAsia="宋体" w:cs="Times New Roman"/>
                <w:color w:val="auto"/>
                <w:highlight w:val="none"/>
                <w:lang w:val="en-US" w:eastAsia="zh-CN"/>
              </w:rPr>
              <w:t>1-001-01</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进行处理和处置。</w:t>
            </w:r>
            <w:r>
              <w:rPr>
                <w:rFonts w:hint="eastAsia" w:ascii="Times New Roman" w:hAnsi="Times New Roman" w:eastAsia="宋体" w:cs="Times New Roman"/>
                <w:color w:val="auto"/>
                <w:highlight w:val="none"/>
                <w:lang w:val="en-US" w:eastAsia="zh-CN"/>
              </w:rPr>
              <w:t>经收集后暂存于危险废物</w:t>
            </w:r>
            <w:r>
              <w:rPr>
                <w:rFonts w:hint="eastAsia" w:cs="Times New Roman"/>
                <w:color w:val="auto"/>
                <w:highlight w:val="none"/>
                <w:lang w:val="en-US" w:eastAsia="zh-CN"/>
              </w:rPr>
              <w:t>储存库</w:t>
            </w:r>
            <w:r>
              <w:rPr>
                <w:rFonts w:hint="eastAsia" w:ascii="Times New Roman" w:hAnsi="Times New Roman" w:eastAsia="宋体" w:cs="Times New Roman"/>
                <w:color w:val="auto"/>
                <w:highlight w:val="none"/>
                <w:lang w:val="en-US" w:eastAsia="zh-CN"/>
              </w:rPr>
              <w:t>，定期委托有危废资质的单位回收处理。</w:t>
            </w:r>
          </w:p>
          <w:p w14:paraId="3238241E">
            <w:pPr>
              <w:pStyle w:val="12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②废活性炭</w:t>
            </w:r>
          </w:p>
          <w:p w14:paraId="597ACF0E">
            <w:pPr>
              <w:pStyle w:val="12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项目产生的废活性炭属于《国家危险废物名录》中HW49</w:t>
            </w:r>
            <w:r>
              <w:rPr>
                <w:rFonts w:hint="eastAsia" w:cs="Times New Roman"/>
                <w:color w:val="auto"/>
                <w:highlight w:val="none"/>
                <w:lang w:val="en-US" w:eastAsia="zh-CN"/>
              </w:rPr>
              <w:t>（900-041-49）</w:t>
            </w:r>
            <w:r>
              <w:rPr>
                <w:rFonts w:hint="eastAsia" w:ascii="Times New Roman" w:hAnsi="Times New Roman" w:eastAsia="宋体" w:cs="Times New Roman"/>
                <w:color w:val="auto"/>
                <w:highlight w:val="none"/>
                <w:lang w:val="en-US" w:eastAsia="zh-CN"/>
              </w:rPr>
              <w:t>含有或沾染毒性、感染性危险废物的废弃包装物、容器、过滤吸附介质，活性炭饱和吸附量本次评价取20%，项目活性炭用量=</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氨气去除量+硫化氢去除量</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/0.2</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则活性炭用量=(0.002</w:t>
            </w:r>
            <w:r>
              <w:rPr>
                <w:rFonts w:hint="eastAsia" w:cs="Times New Roman"/>
                <w:color w:val="auto"/>
                <w:highlight w:val="none"/>
                <w:lang w:val="en-US" w:eastAsia="zh-CN"/>
              </w:rPr>
              <w:t>533t</w:t>
            </w:r>
            <w:r>
              <w:rPr>
                <w:rFonts w:hint="eastAsia" w:ascii="Times New Roman" w:hAnsi="Times New Roman" w:eastAsia="宋体" w:cs="Times New Roman"/>
                <w:color w:val="auto"/>
                <w:highlight w:val="none"/>
                <w:lang w:val="en-US" w:eastAsia="zh-CN"/>
              </w:rPr>
              <w:t>/a+0.00009</w:t>
            </w:r>
            <w:r>
              <w:rPr>
                <w:rFonts w:hint="eastAsia" w:cs="Times New Roman"/>
                <w:color w:val="auto"/>
                <w:highlight w:val="none"/>
                <w:lang w:val="en-US" w:eastAsia="zh-CN"/>
              </w:rPr>
              <w:t>6</w:t>
            </w:r>
            <w:r>
              <w:rPr>
                <w:rFonts w:hint="eastAsia" w:ascii="Times New Roman" w:hAnsi="Times New Roman" w:eastAsia="宋体" w:cs="Times New Roman"/>
                <w:color w:val="auto"/>
                <w:highlight w:val="none"/>
                <w:lang w:val="en-US" w:eastAsia="zh-CN"/>
              </w:rPr>
              <w:t>4</w:t>
            </w:r>
            <w:r>
              <w:rPr>
                <w:rFonts w:hint="eastAsia" w:cs="Times New Roman"/>
                <w:color w:val="auto"/>
                <w:highlight w:val="none"/>
                <w:lang w:val="en-US" w:eastAsia="zh-CN"/>
              </w:rPr>
              <w:t>t</w:t>
            </w:r>
            <w:r>
              <w:rPr>
                <w:rFonts w:hint="eastAsia" w:ascii="Times New Roman" w:hAnsi="Times New Roman" w:eastAsia="宋体" w:cs="Times New Roman"/>
                <w:color w:val="auto"/>
                <w:highlight w:val="none"/>
                <w:lang w:val="en-US" w:eastAsia="zh-CN"/>
              </w:rPr>
              <w:t>/a)/0.2=</w:t>
            </w:r>
            <w:r>
              <w:rPr>
                <w:rFonts w:hint="eastAsia" w:cs="Times New Roman"/>
                <w:color w:val="auto"/>
                <w:highlight w:val="none"/>
                <w:lang w:val="en-US" w:eastAsia="zh-CN"/>
              </w:rPr>
              <w:t>0.013147t</w:t>
            </w:r>
            <w:r>
              <w:rPr>
                <w:rFonts w:hint="eastAsia" w:ascii="Times New Roman" w:hAnsi="Times New Roman" w:eastAsia="宋体" w:cs="Times New Roman"/>
                <w:color w:val="auto"/>
                <w:highlight w:val="none"/>
                <w:lang w:val="en-US" w:eastAsia="zh-CN"/>
              </w:rPr>
              <w:t>/a</w:t>
            </w:r>
            <w:r>
              <w:rPr>
                <w:rFonts w:hint="eastAsia"/>
                <w:color w:val="auto"/>
                <w:lang w:eastAsia="zh-CN"/>
              </w:rPr>
              <w:t>（</w:t>
            </w:r>
            <w:r>
              <w:rPr>
                <w:rFonts w:hint="eastAsia"/>
                <w:color w:val="auto"/>
                <w:lang w:val="en-US" w:eastAsia="zh-CN"/>
              </w:rPr>
              <w:t>13.147kg/a）</w:t>
            </w:r>
            <w:r>
              <w:rPr>
                <w:rFonts w:hint="eastAsia" w:ascii="Times New Roman" w:hAnsi="Times New Roman" w:eastAsia="宋体" w:cs="Times New Roman"/>
                <w:color w:val="auto"/>
                <w:highlight w:val="none"/>
                <w:lang w:val="en-US" w:eastAsia="zh-CN"/>
              </w:rPr>
              <w:t>，废活性炭年产生量</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0.002</w:t>
            </w:r>
            <w:r>
              <w:rPr>
                <w:rFonts w:hint="eastAsia" w:cs="Times New Roman"/>
                <w:color w:val="auto"/>
                <w:highlight w:val="none"/>
                <w:lang w:val="en-US" w:eastAsia="zh-CN"/>
              </w:rPr>
              <w:t>533t</w:t>
            </w:r>
            <w:r>
              <w:rPr>
                <w:rFonts w:hint="eastAsia" w:ascii="Times New Roman" w:hAnsi="Times New Roman" w:eastAsia="宋体" w:cs="Times New Roman"/>
                <w:color w:val="auto"/>
                <w:highlight w:val="none"/>
                <w:lang w:val="en-US" w:eastAsia="zh-CN"/>
              </w:rPr>
              <w:t>/a+0.00009</w:t>
            </w:r>
            <w:r>
              <w:rPr>
                <w:rFonts w:hint="eastAsia" w:cs="Times New Roman"/>
                <w:color w:val="auto"/>
                <w:highlight w:val="none"/>
                <w:lang w:val="en-US" w:eastAsia="zh-CN"/>
              </w:rPr>
              <w:t>6</w:t>
            </w:r>
            <w:r>
              <w:rPr>
                <w:rFonts w:hint="eastAsia" w:ascii="Times New Roman" w:hAnsi="Times New Roman" w:eastAsia="宋体" w:cs="Times New Roman"/>
                <w:color w:val="auto"/>
                <w:highlight w:val="none"/>
                <w:lang w:val="en-US" w:eastAsia="zh-CN"/>
              </w:rPr>
              <w:t>4</w:t>
            </w:r>
            <w:r>
              <w:rPr>
                <w:rFonts w:hint="eastAsia" w:cs="Times New Roman"/>
                <w:color w:val="auto"/>
                <w:highlight w:val="none"/>
                <w:lang w:val="en-US" w:eastAsia="zh-CN"/>
              </w:rPr>
              <w:t>t</w:t>
            </w:r>
            <w:r>
              <w:rPr>
                <w:rFonts w:hint="eastAsia" w:ascii="Times New Roman" w:hAnsi="Times New Roman" w:eastAsia="宋体" w:cs="Times New Roman"/>
                <w:color w:val="auto"/>
                <w:highlight w:val="none"/>
                <w:lang w:val="en-US" w:eastAsia="zh-CN"/>
              </w:rPr>
              <w:t>/a+</w:t>
            </w:r>
            <w:r>
              <w:rPr>
                <w:rFonts w:hint="eastAsia" w:cs="Times New Roman"/>
                <w:color w:val="auto"/>
                <w:highlight w:val="none"/>
                <w:lang w:val="en-US" w:eastAsia="zh-CN"/>
              </w:rPr>
              <w:t>0.013147t</w:t>
            </w:r>
            <w:r>
              <w:rPr>
                <w:rFonts w:hint="eastAsia" w:ascii="Times New Roman" w:hAnsi="Times New Roman" w:eastAsia="宋体" w:cs="Times New Roman"/>
                <w:color w:val="auto"/>
                <w:highlight w:val="none"/>
                <w:lang w:val="en-US" w:eastAsia="zh-CN"/>
              </w:rPr>
              <w:t>/a</w:t>
            </w:r>
            <w:r>
              <w:rPr>
                <w:rFonts w:hint="eastAsia" w:cs="Times New Roman"/>
                <w:color w:val="auto"/>
                <w:highlight w:val="none"/>
                <w:lang w:val="en-US" w:eastAsia="zh-CN"/>
              </w:rPr>
              <w:t>t</w:t>
            </w:r>
            <w:r>
              <w:rPr>
                <w:rFonts w:hint="eastAsia" w:ascii="Times New Roman" w:hAnsi="Times New Roman" w:eastAsia="宋体" w:cs="Times New Roman"/>
                <w:color w:val="auto"/>
                <w:highlight w:val="none"/>
                <w:lang w:val="en-US" w:eastAsia="zh-CN"/>
              </w:rPr>
              <w:t>/a</w:t>
            </w:r>
            <w:r>
              <w:rPr>
                <w:rFonts w:hint="eastAsia" w:cs="Times New Roman"/>
                <w:color w:val="auto"/>
                <w:highlight w:val="none"/>
                <w:lang w:val="en-US" w:eastAsia="zh-CN"/>
              </w:rPr>
              <w:t>=0.01577t</w:t>
            </w:r>
            <w:r>
              <w:rPr>
                <w:rFonts w:hint="eastAsia" w:ascii="Times New Roman" w:hAnsi="Times New Roman" w:eastAsia="宋体" w:cs="Times New Roman"/>
                <w:color w:val="auto"/>
                <w:highlight w:val="none"/>
                <w:lang w:val="en-US" w:eastAsia="zh-CN"/>
              </w:rPr>
              <w:t>/a</w:t>
            </w:r>
            <w:r>
              <w:rPr>
                <w:rFonts w:hint="eastAsia" w:cs="Times New Roman"/>
                <w:color w:val="auto"/>
                <w:highlight w:val="none"/>
                <w:lang w:val="en-US" w:eastAsia="zh-CN"/>
              </w:rPr>
              <w:t>（15.77</w:t>
            </w:r>
            <w:r>
              <w:rPr>
                <w:rFonts w:hint="eastAsia"/>
                <w:color w:val="auto"/>
                <w:lang w:val="en-US" w:eastAsia="zh-CN"/>
              </w:rPr>
              <w:t>kg/a）</w:t>
            </w:r>
            <w:r>
              <w:rPr>
                <w:rFonts w:hint="eastAsia" w:ascii="Times New Roman" w:hAnsi="Times New Roman" w:eastAsia="宋体" w:cs="Times New Roman"/>
                <w:color w:val="auto"/>
                <w:highlight w:val="none"/>
                <w:lang w:val="en-US" w:eastAsia="zh-CN"/>
              </w:rPr>
              <w:t>。废活性炭按即产即运进行管理，委托有资质的单位清运处置。</w:t>
            </w:r>
          </w:p>
          <w:p w14:paraId="03F9D982">
            <w:pPr>
              <w:pStyle w:val="12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③医疗废物</w:t>
            </w:r>
          </w:p>
          <w:p w14:paraId="74DBF4BC">
            <w:pPr>
              <w:pStyle w:val="12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本项目医疗废物主要来自病房、手术室等科室，根据《国家危险废物名录》</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202</w:t>
            </w:r>
            <w:r>
              <w:rPr>
                <w:rFonts w:hint="eastAsia" w:cs="Times New Roman"/>
                <w:color w:val="auto"/>
                <w:highlight w:val="none"/>
                <w:lang w:val="en-US" w:eastAsia="zh-CN"/>
              </w:rPr>
              <w:t>5</w:t>
            </w:r>
            <w:r>
              <w:rPr>
                <w:rFonts w:hint="eastAsia" w:ascii="Times New Roman" w:hAnsi="Times New Roman" w:eastAsia="宋体" w:cs="Times New Roman"/>
                <w:color w:val="auto"/>
                <w:highlight w:val="none"/>
                <w:lang w:val="en-US" w:eastAsia="zh-CN"/>
              </w:rPr>
              <w:t>年版</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，医疗废物均属于HW01医疗废物。项目病床数</w:t>
            </w:r>
            <w:r>
              <w:rPr>
                <w:rFonts w:hint="eastAsia" w:cs="Times New Roman"/>
                <w:color w:val="auto"/>
                <w:highlight w:val="none"/>
                <w:lang w:val="en-US" w:eastAsia="zh-CN"/>
              </w:rPr>
              <w:t>270</w:t>
            </w:r>
            <w:r>
              <w:rPr>
                <w:rFonts w:hint="eastAsia" w:ascii="Times New Roman" w:hAnsi="Times New Roman" w:eastAsia="宋体" w:cs="Times New Roman"/>
                <w:color w:val="auto"/>
                <w:highlight w:val="none"/>
                <w:lang w:val="en-US" w:eastAsia="zh-CN"/>
              </w:rPr>
              <w:t>床，估算指标0.8kg/床-d</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则医疗废弃物产生量为</w:t>
            </w:r>
            <w:r>
              <w:rPr>
                <w:rFonts w:hint="eastAsia" w:cs="Times New Roman"/>
                <w:color w:val="auto"/>
                <w:highlight w:val="none"/>
                <w:lang w:val="en-US" w:eastAsia="zh-CN"/>
              </w:rPr>
              <w:t>216</w:t>
            </w:r>
            <w:r>
              <w:rPr>
                <w:rFonts w:hint="eastAsia" w:ascii="Times New Roman" w:hAnsi="Times New Roman" w:eastAsia="宋体" w:cs="Times New Roman"/>
                <w:color w:val="auto"/>
                <w:highlight w:val="none"/>
                <w:lang w:val="en-US" w:eastAsia="zh-CN"/>
              </w:rPr>
              <w:t>kg/d</w:t>
            </w:r>
            <w:r>
              <w:rPr>
                <w:rFonts w:hint="eastAsia" w:cs="Times New Roman"/>
                <w:color w:val="auto"/>
                <w:highlight w:val="none"/>
                <w:lang w:val="en-US" w:eastAsia="zh-CN"/>
              </w:rPr>
              <w:t>（78.84</w:t>
            </w:r>
            <w:r>
              <w:rPr>
                <w:rFonts w:hint="eastAsia" w:ascii="Times New Roman" w:hAnsi="Times New Roman" w:eastAsia="宋体" w:cs="Times New Roman"/>
                <w:color w:val="auto"/>
                <w:highlight w:val="none"/>
                <w:lang w:val="en-US" w:eastAsia="zh-CN"/>
              </w:rPr>
              <w:t>t</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a</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w:t>
            </w:r>
          </w:p>
          <w:p w14:paraId="14FC3A01">
            <w:pPr>
              <w:pStyle w:val="120"/>
              <w:rPr>
                <w:rFonts w:hint="default" w:ascii="微软雅黑" w:hAnsi="微软雅黑" w:eastAsia="微软雅黑" w:cs="微软雅黑"/>
                <w:color w:val="auto"/>
                <w:highlight w:val="none"/>
                <w:lang w:val="en-US" w:eastAsia="zh-CN"/>
              </w:rPr>
            </w:pPr>
            <w:r>
              <w:rPr>
                <w:rFonts w:hint="eastAsia" w:ascii="微软雅黑" w:hAnsi="微软雅黑" w:eastAsia="微软雅黑" w:cs="微软雅黑"/>
                <w:color w:val="auto"/>
                <w:highlight w:val="none"/>
                <w:lang w:val="en-US" w:eastAsia="zh-CN"/>
              </w:rPr>
              <w:t>④</w:t>
            </w:r>
            <w:r>
              <w:rPr>
                <w:rFonts w:hint="eastAsia" w:cs="Times New Roman"/>
                <w:color w:val="auto"/>
                <w:highlight w:val="none"/>
                <w:lang w:val="en-US" w:eastAsia="zh-CN"/>
              </w:rPr>
              <w:t>口腔科</w:t>
            </w:r>
            <w:r>
              <w:rPr>
                <w:rFonts w:hint="eastAsia" w:ascii="Times New Roman" w:hAnsi="Times New Roman" w:eastAsia="宋体" w:cs="Times New Roman"/>
                <w:color w:val="auto"/>
                <w:highlight w:val="none"/>
                <w:lang w:val="en-US" w:eastAsia="zh-CN"/>
              </w:rPr>
              <w:t>洗片</w:t>
            </w:r>
            <w:r>
              <w:rPr>
                <w:rFonts w:hint="eastAsia" w:cs="Times New Roman"/>
                <w:color w:val="auto"/>
                <w:highlight w:val="none"/>
                <w:lang w:val="en-US" w:eastAsia="zh-CN"/>
              </w:rPr>
              <w:t>废物</w:t>
            </w:r>
          </w:p>
          <w:p w14:paraId="5AE79033">
            <w:pPr>
              <w:pStyle w:val="120"/>
            </w:pPr>
            <w:r>
              <w:rPr>
                <w:rFonts w:hint="eastAsia" w:ascii="Times New Roman" w:hAnsi="Times New Roman" w:eastAsia="宋体" w:cs="Times New Roman"/>
                <w:color w:val="auto"/>
                <w:highlight w:val="none"/>
                <w:lang w:val="en-US" w:eastAsia="zh-CN"/>
              </w:rPr>
              <w:t>本项目</w:t>
            </w:r>
            <w:r>
              <w:rPr>
                <w:rFonts w:hint="eastAsia" w:cs="Times New Roman"/>
                <w:color w:val="auto"/>
                <w:highlight w:val="none"/>
                <w:lang w:val="en-US" w:eastAsia="zh-CN"/>
              </w:rPr>
              <w:t>口腔科</w:t>
            </w:r>
            <w:r>
              <w:rPr>
                <w:rFonts w:hint="eastAsia" w:ascii="Times New Roman" w:hAnsi="Times New Roman" w:eastAsia="宋体" w:cs="Times New Roman"/>
                <w:color w:val="auto"/>
                <w:highlight w:val="none"/>
                <w:lang w:val="en-US" w:eastAsia="zh-CN"/>
              </w:rPr>
              <w:t>X光片洗片过程中产生显影废液</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定影废液</w:t>
            </w:r>
            <w:r>
              <w:rPr>
                <w:rFonts w:hint="eastAsia" w:cs="Times New Roman"/>
                <w:color w:val="auto"/>
                <w:highlight w:val="none"/>
                <w:lang w:val="en-US" w:eastAsia="zh-CN"/>
              </w:rPr>
              <w:t>、废胶片</w:t>
            </w:r>
            <w:r>
              <w:rPr>
                <w:rFonts w:hint="eastAsia" w:ascii="Times New Roman" w:hAnsi="Times New Roman" w:eastAsia="宋体" w:cs="Times New Roman"/>
                <w:color w:val="auto"/>
                <w:highlight w:val="none"/>
                <w:lang w:val="en-US" w:eastAsia="zh-CN"/>
              </w:rPr>
              <w:t>，属于《国家危险废物名录》（2025年版）中HW16感光材料废物，代码900-019-16，危险特性为T（毒性），产生量约为</w:t>
            </w:r>
            <w:r>
              <w:rPr>
                <w:rFonts w:hint="eastAsia" w:cs="Times New Roman"/>
                <w:color w:val="auto"/>
                <w:highlight w:val="none"/>
                <w:lang w:val="en-US" w:eastAsia="zh-CN"/>
              </w:rPr>
              <w:t>0.01</w:t>
            </w:r>
            <w:r>
              <w:rPr>
                <w:rFonts w:hint="eastAsia" w:ascii="Times New Roman" w:hAnsi="Times New Roman" w:eastAsia="宋体" w:cs="Times New Roman"/>
                <w:color w:val="auto"/>
                <w:highlight w:val="none"/>
                <w:lang w:val="en-US" w:eastAsia="zh-CN"/>
              </w:rPr>
              <w:t>t</w:t>
            </w: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a，经专用耐腐蚀容器分类收集后暂存于</w:t>
            </w:r>
            <w:r>
              <w:rPr>
                <w:rFonts w:hint="eastAsia" w:cs="Times New Roman"/>
                <w:color w:val="auto"/>
                <w:highlight w:val="none"/>
                <w:lang w:val="en-US" w:eastAsia="zh-CN"/>
              </w:rPr>
              <w:t>危废储存库</w:t>
            </w:r>
            <w:r>
              <w:rPr>
                <w:rFonts w:hint="eastAsia" w:ascii="Times New Roman" w:hAnsi="Times New Roman" w:eastAsia="宋体" w:cs="Times New Roman"/>
                <w:color w:val="auto"/>
                <w:highlight w:val="none"/>
                <w:lang w:val="en-US" w:eastAsia="zh-CN"/>
              </w:rPr>
              <w:t>，定期委托持有HW16处置资质的危废经营单位进行安全处置，执行危险废物转移联单制度。</w:t>
            </w:r>
          </w:p>
          <w:p w14:paraId="72349238">
            <w:pPr>
              <w:pStyle w:val="120"/>
              <w:rPr>
                <w:rFonts w:hint="eastAsia" w:ascii="微软雅黑" w:hAnsi="微软雅黑" w:eastAsia="微软雅黑" w:cs="微软雅黑"/>
                <w:color w:val="auto"/>
                <w:highlight w:val="none"/>
                <w:lang w:val="en-US" w:eastAsia="zh-CN"/>
              </w:rPr>
            </w:pPr>
            <w:r>
              <w:rPr>
                <w:rFonts w:hint="eastAsia" w:ascii="微软雅黑" w:hAnsi="微软雅黑" w:eastAsia="微软雅黑" w:cs="微软雅黑"/>
                <w:color w:val="auto"/>
                <w:highlight w:val="none"/>
                <w:lang w:val="en-US" w:eastAsia="zh-CN"/>
              </w:rPr>
              <w:t>⑤</w:t>
            </w:r>
            <w:r>
              <w:rPr>
                <w:rFonts w:hint="eastAsia" w:ascii="Times New Roman" w:hAnsi="Times New Roman" w:eastAsia="宋体" w:cs="Times New Roman"/>
                <w:color w:val="auto"/>
                <w:highlight w:val="none"/>
                <w:lang w:val="en-US" w:eastAsia="zh-CN"/>
              </w:rPr>
              <w:t>废紫外线消毒灯管</w:t>
            </w:r>
          </w:p>
          <w:p w14:paraId="0FF2ADCC">
            <w:pPr>
              <w:pStyle w:val="120"/>
              <w:rPr>
                <w:rFonts w:hint="eastAsia" w:cs="Times New Roman"/>
                <w:color w:val="auto"/>
                <w:highlight w:val="none"/>
                <w:lang w:val="en-US" w:eastAsia="zh-CN"/>
              </w:rPr>
            </w:pPr>
            <w:r>
              <w:rPr>
                <w:rFonts w:hint="eastAsia" w:ascii="Times New Roman" w:hAnsi="Times New Roman" w:eastAsia="宋体" w:cs="Times New Roman"/>
                <w:color w:val="auto"/>
                <w:highlight w:val="none"/>
                <w:lang w:val="en-US" w:eastAsia="zh-CN"/>
              </w:rPr>
              <w:t>本项目运营过程中产生废紫外线消毒灯管，属于《国家危险废物名录》（2025年版）中HW29含汞废物，代码900-023-29（生产、销售及使用过程中产生的废含汞荧光灯管及其他废含汞电光源），危险特性为T（毒性），产生量约为</w:t>
            </w:r>
            <w:r>
              <w:rPr>
                <w:rFonts w:hint="eastAsia" w:cs="Times New Roman"/>
                <w:color w:val="auto"/>
                <w:highlight w:val="none"/>
                <w:lang w:val="en-US" w:eastAsia="zh-CN"/>
              </w:rPr>
              <w:t>0.3t</w:t>
            </w:r>
            <w:r>
              <w:rPr>
                <w:rFonts w:hint="eastAsia" w:ascii="Times New Roman" w:hAnsi="Times New Roman" w:eastAsia="宋体" w:cs="Times New Roman"/>
                <w:color w:val="auto"/>
                <w:highlight w:val="none"/>
                <w:lang w:val="en-US" w:eastAsia="zh-CN"/>
              </w:rPr>
              <w:t>/a。废灯管保持完整、禁止破碎，经专用防渗包装容器收集后暂存于</w:t>
            </w:r>
            <w:r>
              <w:rPr>
                <w:rFonts w:hint="eastAsia" w:cs="Times New Roman"/>
                <w:color w:val="auto"/>
                <w:highlight w:val="none"/>
                <w:lang w:val="en-US" w:eastAsia="zh-CN"/>
              </w:rPr>
              <w:t>危废储存库</w:t>
            </w:r>
            <w:r>
              <w:rPr>
                <w:rFonts w:hint="eastAsia" w:ascii="Times New Roman" w:hAnsi="Times New Roman" w:eastAsia="宋体" w:cs="Times New Roman"/>
                <w:color w:val="auto"/>
                <w:highlight w:val="none"/>
                <w:lang w:val="en-US" w:eastAsia="zh-CN"/>
              </w:rPr>
              <w:t>，定期委托持有HW29处置资质的危废经营单位进行安全处置，执行危险废物转移联单制度</w:t>
            </w:r>
            <w:r>
              <w:rPr>
                <w:rFonts w:hint="eastAsia" w:cs="Times New Roman"/>
                <w:color w:val="auto"/>
                <w:highlight w:val="none"/>
                <w:lang w:val="en-US" w:eastAsia="zh-CN"/>
              </w:rPr>
              <w:t>。</w:t>
            </w:r>
          </w:p>
          <w:p w14:paraId="4C64B41C">
            <w:pPr>
              <w:pStyle w:val="12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医疗废物的组成及特征见下表。</w:t>
            </w:r>
          </w:p>
          <w:p w14:paraId="6B970D03">
            <w:pPr>
              <w:pStyle w:val="44"/>
              <w:keepNext/>
              <w:keepLines/>
              <w:pageBreakBefore w:val="0"/>
              <w:widowControl w:val="0"/>
              <w:numPr>
                <w:ilvl w:val="7"/>
                <w:numId w:val="15"/>
              </w:numPr>
              <w:tabs>
                <w:tab w:val="left" w:pos="0"/>
              </w:tabs>
              <w:kinsoku/>
              <w:wordWrap/>
              <w:overflowPunct/>
              <w:topLinePunct w:val="0"/>
              <w:autoSpaceDE/>
              <w:autoSpaceDN/>
              <w:bidi w:val="0"/>
              <w:adjustRightInd/>
              <w:snapToGrid/>
              <w:spacing w:before="157" w:beforeLines="50" w:after="0"/>
              <w:ind w:left="630" w:leftChars="0" w:firstLine="0" w:firstLineChars="0"/>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医疗废物组成及特征一览表</w:t>
            </w:r>
          </w:p>
          <w:tbl>
            <w:tblPr>
              <w:tblStyle w:val="34"/>
              <w:tblW w:w="0" w:type="auto"/>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7"/>
              <w:gridCol w:w="1536"/>
              <w:gridCol w:w="3580"/>
              <w:gridCol w:w="3347"/>
            </w:tblGrid>
            <w:tr w14:paraId="588AA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C9729">
                  <w:pPr>
                    <w:keepNext w:val="0"/>
                    <w:keepLines w:val="0"/>
                    <w:pageBreakBefore w:val="0"/>
                    <w:widowControl/>
                    <w:suppressLineNumbers w:val="0"/>
                    <w:kinsoku/>
                    <w:wordWrap/>
                    <w:overflowPunct/>
                    <w:topLinePunct w:val="0"/>
                    <w:autoSpaceDE/>
                    <w:autoSpaceDN/>
                    <w:bidi w:val="0"/>
                    <w:adjustRightInd/>
                    <w:snapToGrid/>
                    <w:jc w:val="left"/>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类别</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BA0BF">
                  <w:pPr>
                    <w:keepNext w:val="0"/>
                    <w:keepLines w:val="0"/>
                    <w:pageBreakBefore w:val="0"/>
                    <w:widowControl/>
                    <w:suppressLineNumbers w:val="0"/>
                    <w:kinsoku/>
                    <w:wordWrap/>
                    <w:overflowPunct/>
                    <w:topLinePunct w:val="0"/>
                    <w:autoSpaceDE/>
                    <w:autoSpaceDN/>
                    <w:bidi w:val="0"/>
                    <w:adjustRightInd/>
                    <w:snapToGrid/>
                    <w:jc w:val="center"/>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特征</w:t>
                  </w:r>
                </w:p>
              </w:tc>
              <w:tc>
                <w:tcPr>
                  <w:tcW w:w="3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EC4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常见组分或废物名称</w:t>
                  </w:r>
                </w:p>
              </w:tc>
              <w:tc>
                <w:tcPr>
                  <w:tcW w:w="3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29D17">
                  <w:pPr>
                    <w:keepNext w:val="0"/>
                    <w:keepLines w:val="0"/>
                    <w:pageBreakBefore w:val="0"/>
                    <w:widowControl/>
                    <w:suppressLineNumbers w:val="0"/>
                    <w:kinsoku/>
                    <w:wordWrap/>
                    <w:overflowPunct/>
                    <w:topLinePunct w:val="0"/>
                    <w:autoSpaceDE/>
                    <w:autoSpaceDN/>
                    <w:bidi w:val="0"/>
                    <w:adjustRightInd/>
                    <w:snapToGrid/>
                    <w:jc w:val="center"/>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收集方式</w:t>
                  </w:r>
                </w:p>
              </w:tc>
            </w:tr>
            <w:tr w14:paraId="66E13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40" w:hRule="atLeast"/>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ACD64">
                  <w:pPr>
                    <w:keepNext w:val="0"/>
                    <w:keepLines w:val="0"/>
                    <w:pageBreakBefore w:val="0"/>
                    <w:widowControl/>
                    <w:suppressLineNumbers w:val="0"/>
                    <w:kinsoku/>
                    <w:wordWrap/>
                    <w:overflowPunct/>
                    <w:topLinePunct w:val="0"/>
                    <w:autoSpaceDE/>
                    <w:autoSpaceDN/>
                    <w:bidi w:val="0"/>
                    <w:adjustRightInd/>
                    <w:snapToGrid/>
                    <w:jc w:val="left"/>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感染</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性废</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物</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1D5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携带病原微生物具有引发感染性疾病传播危险的医疗废</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物。</w:t>
                  </w:r>
                </w:p>
              </w:tc>
              <w:tc>
                <w:tcPr>
                  <w:tcW w:w="3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8246E">
                  <w:pPr>
                    <w:keepNext w:val="0"/>
                    <w:keepLines w:val="0"/>
                    <w:pageBreakBefore w:val="0"/>
                    <w:widowControl/>
                    <w:suppressLineNumbers w:val="0"/>
                    <w:kinsoku/>
                    <w:wordWrap/>
                    <w:overflowPunct/>
                    <w:topLinePunct w:val="0"/>
                    <w:autoSpaceDE/>
                    <w:autoSpaceDN/>
                    <w:bidi w:val="0"/>
                    <w:adjustRightInd/>
                    <w:snapToGrid/>
                    <w:jc w:val="left"/>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1.被患者血液、体液、排泄物等污染的除锐器以外的废物</w:t>
                  </w:r>
                  <w:r>
                    <w:rPr>
                      <w:rFonts w:hint="eastAsia" w:ascii="Times New Roman" w:hAnsi="Times New Roman" w:eastAsia="宋体" w:cs="宋体"/>
                      <w:i w:val="0"/>
                      <w:iCs w:val="0"/>
                      <w:color w:val="auto"/>
                      <w:kern w:val="0"/>
                      <w:sz w:val="21"/>
                      <w:szCs w:val="12"/>
                      <w:u w:val="none"/>
                      <w:lang w:val="en-US" w:eastAsia="zh-CN" w:bidi="ar"/>
                    </w:rPr>
                    <w:t>；</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2.使用后废弃的一次性使用医疗器械，如注射器、输液器、透析器等</w:t>
                  </w:r>
                  <w:r>
                    <w:rPr>
                      <w:rFonts w:hint="eastAsia" w:ascii="Times New Roman" w:hAnsi="Times New Roman" w:eastAsia="宋体" w:cs="宋体"/>
                      <w:i w:val="0"/>
                      <w:iCs w:val="0"/>
                      <w:color w:val="auto"/>
                      <w:kern w:val="0"/>
                      <w:sz w:val="21"/>
                      <w:szCs w:val="12"/>
                      <w:u w:val="none"/>
                      <w:lang w:val="en-US" w:eastAsia="zh-CN" w:bidi="ar"/>
                    </w:rPr>
                    <w:t>；</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3.病原微生物实验室废弃的病原体培养基、标本，菌种和毒种保存液及其容器：其他实验室及科</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室废弃的血液、血清、分泌物等</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标本和容器</w:t>
                  </w:r>
                  <w:r>
                    <w:rPr>
                      <w:rFonts w:hint="eastAsia" w:ascii="Times New Roman" w:hAnsi="Times New Roman" w:eastAsia="宋体" w:cs="宋体"/>
                      <w:i w:val="0"/>
                      <w:iCs w:val="0"/>
                      <w:color w:val="auto"/>
                      <w:kern w:val="0"/>
                      <w:sz w:val="21"/>
                      <w:szCs w:val="12"/>
                      <w:u w:val="none"/>
                      <w:lang w:val="en-US" w:eastAsia="zh-CN" w:bidi="ar"/>
                    </w:rPr>
                    <w:t>；</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4.隔离传染病患者或者疑似传染</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病患者产生的废弃物。</w:t>
                  </w:r>
                </w:p>
              </w:tc>
              <w:tc>
                <w:tcPr>
                  <w:tcW w:w="3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60BE6">
                  <w:pPr>
                    <w:keepNext w:val="0"/>
                    <w:keepLines w:val="0"/>
                    <w:pageBreakBefore w:val="0"/>
                    <w:widowControl/>
                    <w:suppressLineNumbers w:val="0"/>
                    <w:kinsoku/>
                    <w:wordWrap/>
                    <w:overflowPunct/>
                    <w:topLinePunct w:val="0"/>
                    <w:autoSpaceDE/>
                    <w:autoSpaceDN/>
                    <w:bidi w:val="0"/>
                    <w:adjustRightInd/>
                    <w:snapToGrid/>
                    <w:jc w:val="left"/>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1.收集于符合《医疗废物专用包装袋、容器和警示标志标准》</w:t>
                  </w:r>
                  <w:r>
                    <w:rPr>
                      <w:rFonts w:hint="eastAsia" w:cs="宋体"/>
                      <w:i w:val="0"/>
                      <w:iCs w:val="0"/>
                      <w:color w:val="auto"/>
                      <w:kern w:val="0"/>
                      <w:sz w:val="21"/>
                      <w:szCs w:val="12"/>
                      <w:u w:val="none"/>
                      <w:lang w:val="en-US" w:eastAsia="zh-CN" w:bidi="ar"/>
                    </w:rPr>
                    <w:t>（</w:t>
                  </w:r>
                  <w:r>
                    <w:rPr>
                      <w:rFonts w:ascii="Times New Roman" w:hAnsi="Times New Roman" w:eastAsia="宋体" w:cs="宋体"/>
                      <w:i w:val="0"/>
                      <w:iCs w:val="0"/>
                      <w:color w:val="auto"/>
                      <w:kern w:val="0"/>
                      <w:sz w:val="21"/>
                      <w:szCs w:val="12"/>
                      <w:u w:val="none"/>
                      <w:lang w:val="en-US" w:eastAsia="zh-CN" w:bidi="ar"/>
                    </w:rPr>
                    <w:t>HJ421</w:t>
                  </w:r>
                  <w:r>
                    <w:rPr>
                      <w:rFonts w:hint="eastAsia" w:cs="宋体"/>
                      <w:i w:val="0"/>
                      <w:iCs w:val="0"/>
                      <w:color w:val="auto"/>
                      <w:kern w:val="0"/>
                      <w:sz w:val="21"/>
                      <w:szCs w:val="12"/>
                      <w:u w:val="none"/>
                      <w:lang w:val="en-US" w:eastAsia="zh-CN" w:bidi="ar"/>
                    </w:rPr>
                    <w:t>）</w:t>
                  </w:r>
                  <w:r>
                    <w:rPr>
                      <w:rFonts w:ascii="Times New Roman" w:hAnsi="Times New Roman" w:eastAsia="宋体" w:cs="宋体"/>
                      <w:i w:val="0"/>
                      <w:iCs w:val="0"/>
                      <w:color w:val="auto"/>
                      <w:kern w:val="0"/>
                      <w:sz w:val="21"/>
                      <w:szCs w:val="12"/>
                      <w:u w:val="none"/>
                      <w:lang w:val="en-US" w:eastAsia="zh-CN" w:bidi="ar"/>
                    </w:rPr>
                    <w:t>的医疗废物包装袋中；</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2.隔离传染病患者或者疑似传染病患者产生的医疗废物应当使用双层医疗废物包装袋盛装。</w:t>
                  </w:r>
                </w:p>
              </w:tc>
            </w:tr>
            <w:tr w14:paraId="37B7F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5" w:hRule="atLeast"/>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17CB9">
                  <w:pPr>
                    <w:keepNext w:val="0"/>
                    <w:keepLines w:val="0"/>
                    <w:pageBreakBefore w:val="0"/>
                    <w:widowControl/>
                    <w:suppressLineNumbers w:val="0"/>
                    <w:kinsoku/>
                    <w:wordWrap/>
                    <w:overflowPunct/>
                    <w:topLinePunct w:val="0"/>
                    <w:autoSpaceDE/>
                    <w:autoSpaceDN/>
                    <w:bidi w:val="0"/>
                    <w:adjustRightInd/>
                    <w:snapToGrid/>
                    <w:jc w:val="left"/>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损伤</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性废</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物</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1C7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能够刺伤或者割伤人体的废弃的医用锐器。</w:t>
                  </w:r>
                </w:p>
              </w:tc>
              <w:tc>
                <w:tcPr>
                  <w:tcW w:w="3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E98F4">
                  <w:pPr>
                    <w:keepNext w:val="0"/>
                    <w:keepLines w:val="0"/>
                    <w:pageBreakBefore w:val="0"/>
                    <w:widowControl/>
                    <w:suppressLineNumbers w:val="0"/>
                    <w:kinsoku/>
                    <w:wordWrap/>
                    <w:overflowPunct/>
                    <w:topLinePunct w:val="0"/>
                    <w:autoSpaceDE/>
                    <w:autoSpaceDN/>
                    <w:bidi w:val="0"/>
                    <w:adjustRightInd/>
                    <w:snapToGrid/>
                    <w:jc w:val="left"/>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1.废弃的金属类锐器，如针头、缝合针、针灸针、探针、穿刺针、</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解剖刀、手术刀、手术锯、备皮</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刀、钢钉和导丝等</w:t>
                  </w:r>
                  <w:r>
                    <w:rPr>
                      <w:rFonts w:hint="eastAsia" w:ascii="Times New Roman" w:hAnsi="Times New Roman" w:eastAsia="宋体" w:cs="宋体"/>
                      <w:i w:val="0"/>
                      <w:iCs w:val="0"/>
                      <w:color w:val="auto"/>
                      <w:kern w:val="0"/>
                      <w:sz w:val="21"/>
                      <w:szCs w:val="12"/>
                      <w:u w:val="none"/>
                      <w:lang w:val="en-US" w:eastAsia="zh-CN" w:bidi="ar"/>
                    </w:rPr>
                    <w:t>；</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2.废弃的玻璃类锐器，如盖玻片、</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载玻片、玻璃安瓿等</w:t>
                  </w:r>
                  <w:r>
                    <w:rPr>
                      <w:rFonts w:hint="eastAsia" w:ascii="Times New Roman" w:hAnsi="Times New Roman" w:eastAsia="宋体" w:cs="宋体"/>
                      <w:i w:val="0"/>
                      <w:iCs w:val="0"/>
                      <w:color w:val="auto"/>
                      <w:kern w:val="0"/>
                      <w:sz w:val="21"/>
                      <w:szCs w:val="12"/>
                      <w:u w:val="none"/>
                      <w:lang w:val="en-US" w:eastAsia="zh-CN" w:bidi="ar"/>
                    </w:rPr>
                    <w:t>；</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3.废弃的其他材质类锐器</w:t>
                  </w:r>
                  <w:r>
                    <w:rPr>
                      <w:rFonts w:hint="eastAsia" w:ascii="Times New Roman" w:hAnsi="Times New Roman" w:eastAsia="宋体" w:cs="宋体"/>
                      <w:i w:val="0"/>
                      <w:iCs w:val="0"/>
                      <w:color w:val="auto"/>
                      <w:kern w:val="0"/>
                      <w:sz w:val="21"/>
                      <w:szCs w:val="12"/>
                      <w:u w:val="none"/>
                      <w:lang w:val="en-US" w:eastAsia="zh-CN" w:bidi="ar"/>
                    </w:rPr>
                    <w:t>。</w:t>
                  </w:r>
                </w:p>
              </w:tc>
              <w:tc>
                <w:tcPr>
                  <w:tcW w:w="3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AA437">
                  <w:pPr>
                    <w:keepNext w:val="0"/>
                    <w:keepLines w:val="0"/>
                    <w:pageBreakBefore w:val="0"/>
                    <w:widowControl/>
                    <w:suppressLineNumbers w:val="0"/>
                    <w:kinsoku/>
                    <w:wordWrap/>
                    <w:overflowPunct/>
                    <w:topLinePunct w:val="0"/>
                    <w:autoSpaceDE/>
                    <w:autoSpaceDN/>
                    <w:bidi w:val="0"/>
                    <w:adjustRightInd/>
                    <w:snapToGrid/>
                    <w:jc w:val="left"/>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1.收集于符合《医疗废物专用包装袋、容器和警示标志标准》</w:t>
                  </w:r>
                  <w:r>
                    <w:rPr>
                      <w:rFonts w:hint="eastAsia" w:cs="宋体"/>
                      <w:i w:val="0"/>
                      <w:iCs w:val="0"/>
                      <w:color w:val="auto"/>
                      <w:kern w:val="0"/>
                      <w:sz w:val="21"/>
                      <w:szCs w:val="12"/>
                      <w:u w:val="none"/>
                      <w:lang w:val="en-US" w:eastAsia="zh-CN" w:bidi="ar"/>
                    </w:rPr>
                    <w:t>（</w:t>
                  </w:r>
                  <w:r>
                    <w:rPr>
                      <w:rFonts w:ascii="Times New Roman" w:hAnsi="Times New Roman" w:eastAsia="宋体" w:cs="宋体"/>
                      <w:i w:val="0"/>
                      <w:iCs w:val="0"/>
                      <w:color w:val="auto"/>
                      <w:kern w:val="0"/>
                      <w:sz w:val="21"/>
                      <w:szCs w:val="12"/>
                      <w:u w:val="none"/>
                      <w:lang w:val="en-US" w:eastAsia="zh-CN" w:bidi="ar"/>
                    </w:rPr>
                    <w:t>HJ421</w:t>
                  </w:r>
                  <w:r>
                    <w:rPr>
                      <w:rFonts w:hint="eastAsia" w:cs="宋体"/>
                      <w:i w:val="0"/>
                      <w:iCs w:val="0"/>
                      <w:color w:val="auto"/>
                      <w:kern w:val="0"/>
                      <w:sz w:val="21"/>
                      <w:szCs w:val="12"/>
                      <w:u w:val="none"/>
                      <w:lang w:val="en-US" w:eastAsia="zh-CN" w:bidi="ar"/>
                    </w:rPr>
                    <w:t>）</w:t>
                  </w:r>
                  <w:r>
                    <w:rPr>
                      <w:rFonts w:ascii="Times New Roman" w:hAnsi="Times New Roman" w:eastAsia="宋体" w:cs="宋体"/>
                      <w:i w:val="0"/>
                      <w:iCs w:val="0"/>
                      <w:color w:val="auto"/>
                      <w:kern w:val="0"/>
                      <w:sz w:val="21"/>
                      <w:szCs w:val="12"/>
                      <w:u w:val="none"/>
                      <w:lang w:val="en-US" w:eastAsia="zh-CN" w:bidi="ar"/>
                    </w:rPr>
                    <w:t>的利器盒中</w:t>
                  </w:r>
                  <w:r>
                    <w:rPr>
                      <w:rFonts w:hint="eastAsia" w:ascii="Times New Roman" w:hAnsi="Times New Roman" w:eastAsia="宋体" w:cs="宋体"/>
                      <w:i w:val="0"/>
                      <w:iCs w:val="0"/>
                      <w:color w:val="auto"/>
                      <w:kern w:val="0"/>
                      <w:sz w:val="21"/>
                      <w:szCs w:val="12"/>
                      <w:u w:val="none"/>
                      <w:lang w:val="en-US" w:eastAsia="zh-CN" w:bidi="ar"/>
                    </w:rPr>
                    <w:t>；</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2.利器盒达到3/4满时，应当封闭严密，按流程运送、贮存。</w:t>
                  </w:r>
                </w:p>
              </w:tc>
            </w:tr>
            <w:tr w14:paraId="66060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0" w:hRule="atLeast"/>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C7371">
                  <w:pPr>
                    <w:keepNext w:val="0"/>
                    <w:keepLines w:val="0"/>
                    <w:pageBreakBefore w:val="0"/>
                    <w:widowControl/>
                    <w:suppressLineNumbers w:val="0"/>
                    <w:kinsoku/>
                    <w:wordWrap/>
                    <w:overflowPunct/>
                    <w:topLinePunct w:val="0"/>
                    <w:autoSpaceDE/>
                    <w:autoSpaceDN/>
                    <w:bidi w:val="0"/>
                    <w:adjustRightInd/>
                    <w:snapToGrid/>
                    <w:jc w:val="right"/>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病理</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性废</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物</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E0C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诊疗过程中产生的人体废弃物和医学实验动物尸体等。</w:t>
                  </w:r>
                </w:p>
              </w:tc>
              <w:tc>
                <w:tcPr>
                  <w:tcW w:w="3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0B9EF">
                  <w:pPr>
                    <w:keepNext w:val="0"/>
                    <w:keepLines w:val="0"/>
                    <w:pageBreakBefore w:val="0"/>
                    <w:widowControl/>
                    <w:suppressLineNumbers w:val="0"/>
                    <w:kinsoku/>
                    <w:wordWrap/>
                    <w:overflowPunct/>
                    <w:topLinePunct w:val="0"/>
                    <w:autoSpaceDE/>
                    <w:autoSpaceDN/>
                    <w:bidi w:val="0"/>
                    <w:adjustRightInd/>
                    <w:snapToGrid/>
                    <w:jc w:val="left"/>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1.手术及其他医学服务过程中产生的废弃的人体组织、器官：</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2.病理切片后废弃的人体组织、病理蜡块；</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3.废弃的医学实验动物的组织和尸体：</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4.16周胎龄以下或重量不足500克的胚胎组织等：</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5.确诊、疑似传染病或携带传染病病原体的产妇的胎盘。</w:t>
                  </w:r>
                </w:p>
              </w:tc>
              <w:tc>
                <w:tcPr>
                  <w:tcW w:w="3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A74B3">
                  <w:pPr>
                    <w:keepNext w:val="0"/>
                    <w:keepLines w:val="0"/>
                    <w:pageBreakBefore w:val="0"/>
                    <w:widowControl/>
                    <w:suppressLineNumbers w:val="0"/>
                    <w:kinsoku/>
                    <w:wordWrap/>
                    <w:overflowPunct/>
                    <w:topLinePunct w:val="0"/>
                    <w:autoSpaceDE/>
                    <w:autoSpaceDN/>
                    <w:bidi w:val="0"/>
                    <w:adjustRightInd/>
                    <w:snapToGrid/>
                    <w:jc w:val="left"/>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1.收集于符合《医疗废物专用包装袋、容器和警示标志标准》</w:t>
                  </w:r>
                  <w:r>
                    <w:rPr>
                      <w:rFonts w:hint="eastAsia" w:cs="宋体"/>
                      <w:i w:val="0"/>
                      <w:iCs w:val="0"/>
                      <w:color w:val="auto"/>
                      <w:kern w:val="0"/>
                      <w:sz w:val="21"/>
                      <w:szCs w:val="12"/>
                      <w:u w:val="none"/>
                      <w:lang w:val="en-US" w:eastAsia="zh-CN" w:bidi="ar"/>
                    </w:rPr>
                    <w:t>（</w:t>
                  </w:r>
                  <w:r>
                    <w:rPr>
                      <w:rFonts w:ascii="Times New Roman" w:hAnsi="Times New Roman" w:eastAsia="宋体" w:cs="宋体"/>
                      <w:i w:val="0"/>
                      <w:iCs w:val="0"/>
                      <w:color w:val="auto"/>
                      <w:kern w:val="0"/>
                      <w:sz w:val="21"/>
                      <w:szCs w:val="12"/>
                      <w:u w:val="none"/>
                      <w:lang w:val="en-US" w:eastAsia="zh-CN" w:bidi="ar"/>
                    </w:rPr>
                    <w:t>HJ421</w:t>
                  </w:r>
                  <w:r>
                    <w:rPr>
                      <w:rFonts w:hint="eastAsia" w:cs="宋体"/>
                      <w:i w:val="0"/>
                      <w:iCs w:val="0"/>
                      <w:color w:val="auto"/>
                      <w:kern w:val="0"/>
                      <w:sz w:val="21"/>
                      <w:szCs w:val="12"/>
                      <w:u w:val="none"/>
                      <w:lang w:val="en-US" w:eastAsia="zh-CN" w:bidi="ar"/>
                    </w:rPr>
                    <w:t>）</w:t>
                  </w:r>
                  <w:r>
                    <w:rPr>
                      <w:rFonts w:ascii="Times New Roman" w:hAnsi="Times New Roman" w:eastAsia="宋体" w:cs="宋体"/>
                      <w:i w:val="0"/>
                      <w:iCs w:val="0"/>
                      <w:color w:val="auto"/>
                      <w:kern w:val="0"/>
                      <w:sz w:val="21"/>
                      <w:szCs w:val="12"/>
                      <w:u w:val="none"/>
                      <w:lang w:val="en-US" w:eastAsia="zh-CN" w:bidi="ar"/>
                    </w:rPr>
                    <w:t>的医疗废物包装袋中：</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2.确诊、疑似传染病产妇或携带传染病病原体的产妇的胎盘应使用双层医疗废物包装袋盛装；</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3.可进行防腐或者低温保存。</w:t>
                  </w:r>
                </w:p>
              </w:tc>
            </w:tr>
            <w:tr w14:paraId="2FBCE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5" w:hRule="atLeast"/>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5A30C">
                  <w:pPr>
                    <w:keepNext w:val="0"/>
                    <w:keepLines w:val="0"/>
                    <w:pageBreakBefore w:val="0"/>
                    <w:widowControl/>
                    <w:suppressLineNumbers w:val="0"/>
                    <w:kinsoku/>
                    <w:wordWrap/>
                    <w:overflowPunct/>
                    <w:topLinePunct w:val="0"/>
                    <w:autoSpaceDE/>
                    <w:autoSpaceDN/>
                    <w:bidi w:val="0"/>
                    <w:adjustRightInd/>
                    <w:snapToGrid/>
                    <w:jc w:val="right"/>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药物</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性废</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物</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73E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过期、淘汰、变质</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或者被污染的废弃的药物。</w:t>
                  </w:r>
                </w:p>
              </w:tc>
              <w:tc>
                <w:tcPr>
                  <w:tcW w:w="3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7A994">
                  <w:pPr>
                    <w:keepNext w:val="0"/>
                    <w:keepLines w:val="0"/>
                    <w:pageBreakBefore w:val="0"/>
                    <w:widowControl/>
                    <w:suppressLineNumbers w:val="0"/>
                    <w:kinsoku/>
                    <w:wordWrap/>
                    <w:overflowPunct/>
                    <w:topLinePunct w:val="0"/>
                    <w:autoSpaceDE/>
                    <w:autoSpaceDN/>
                    <w:bidi w:val="0"/>
                    <w:adjustRightInd/>
                    <w:snapToGrid/>
                    <w:jc w:val="left"/>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1.废弃的一般性药物：</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2.废弃的细胞毒性药物和遗传毒</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性药物；</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3.废弃的疫苗及血</w:t>
                  </w:r>
                  <w:r>
                    <w:rPr>
                      <w:rFonts w:hint="eastAsia" w:cs="宋体"/>
                      <w:i w:val="0"/>
                      <w:iCs w:val="0"/>
                      <w:color w:val="auto"/>
                      <w:kern w:val="0"/>
                      <w:sz w:val="21"/>
                      <w:szCs w:val="12"/>
                      <w:u w:val="none"/>
                      <w:lang w:val="en-US" w:eastAsia="zh-CN" w:bidi="ar"/>
                    </w:rPr>
                    <w:t>液产</w:t>
                  </w:r>
                  <w:r>
                    <w:rPr>
                      <w:rFonts w:ascii="Times New Roman" w:hAnsi="Times New Roman" w:eastAsia="宋体" w:cs="宋体"/>
                      <w:i w:val="0"/>
                      <w:iCs w:val="0"/>
                      <w:color w:val="auto"/>
                      <w:kern w:val="0"/>
                      <w:sz w:val="21"/>
                      <w:szCs w:val="12"/>
                      <w:u w:val="none"/>
                      <w:lang w:val="en-US" w:eastAsia="zh-CN" w:bidi="ar"/>
                    </w:rPr>
                    <w:t>品。</w:t>
                  </w:r>
                </w:p>
              </w:tc>
              <w:tc>
                <w:tcPr>
                  <w:tcW w:w="3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D771B">
                  <w:pPr>
                    <w:keepNext w:val="0"/>
                    <w:keepLines w:val="0"/>
                    <w:pageBreakBefore w:val="0"/>
                    <w:widowControl/>
                    <w:suppressLineNumbers w:val="0"/>
                    <w:kinsoku/>
                    <w:wordWrap/>
                    <w:overflowPunct/>
                    <w:topLinePunct w:val="0"/>
                    <w:autoSpaceDE/>
                    <w:autoSpaceDN/>
                    <w:bidi w:val="0"/>
                    <w:adjustRightInd/>
                    <w:snapToGrid/>
                    <w:jc w:val="left"/>
                    <w:textAlignment w:val="center"/>
                    <w:rPr>
                      <w:rFonts w:ascii="Times New Roman" w:hAnsi="Times New Roman" w:eastAsia="宋体" w:cs="宋体"/>
                      <w:i w:val="0"/>
                      <w:iCs w:val="0"/>
                      <w:color w:val="auto"/>
                      <w:sz w:val="21"/>
                      <w:szCs w:val="12"/>
                      <w:u w:val="none"/>
                    </w:rPr>
                  </w:pPr>
                  <w:r>
                    <w:rPr>
                      <w:rFonts w:ascii="Times New Roman" w:hAnsi="Times New Roman" w:eastAsia="宋体" w:cs="宋体"/>
                      <w:i w:val="0"/>
                      <w:iCs w:val="0"/>
                      <w:color w:val="auto"/>
                      <w:kern w:val="0"/>
                      <w:sz w:val="21"/>
                      <w:szCs w:val="12"/>
                      <w:u w:val="none"/>
                      <w:lang w:val="en-US" w:eastAsia="zh-CN" w:bidi="ar"/>
                    </w:rPr>
                    <w:t>1.少量的药物性废物可以并入感染性废物中，但应在标签中注明：</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2.批量废弃的药物性废物，收集后应交由具备相应资质的医疗废物处置单位或者危险废物处置单位等进行处置。</w:t>
                  </w:r>
                </w:p>
              </w:tc>
            </w:tr>
            <w:tr w14:paraId="3729A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5" w:hRule="atLeast"/>
              </w:trPr>
              <w:tc>
                <w:tcPr>
                  <w:tcW w:w="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5E213">
                  <w:pPr>
                    <w:keepNext w:val="0"/>
                    <w:keepLines w:val="0"/>
                    <w:pageBreakBefore w:val="0"/>
                    <w:widowControl/>
                    <w:suppressLineNumbers w:val="0"/>
                    <w:kinsoku/>
                    <w:wordWrap/>
                    <w:overflowPunct/>
                    <w:topLinePunct w:val="0"/>
                    <w:autoSpaceDE/>
                    <w:autoSpaceDN/>
                    <w:bidi w:val="0"/>
                    <w:adjustRightInd/>
                    <w:snapToGrid/>
                    <w:jc w:val="right"/>
                    <w:textAlignment w:val="center"/>
                    <w:rPr>
                      <w:rFonts w:ascii="Times New Roman" w:hAnsi="Times New Roman" w:eastAsia="宋体" w:cs="宋体"/>
                      <w:i w:val="0"/>
                      <w:iCs w:val="0"/>
                      <w:color w:val="auto"/>
                      <w:kern w:val="0"/>
                      <w:sz w:val="21"/>
                      <w:szCs w:val="12"/>
                      <w:u w:val="none"/>
                      <w:lang w:val="en-US" w:eastAsia="zh-CN" w:bidi="ar"/>
                    </w:rPr>
                  </w:pPr>
                  <w:r>
                    <w:rPr>
                      <w:rFonts w:hint="eastAsia" w:cs="宋体"/>
                      <w:i w:val="0"/>
                      <w:iCs w:val="0"/>
                      <w:color w:val="auto"/>
                      <w:kern w:val="0"/>
                      <w:sz w:val="21"/>
                      <w:szCs w:val="12"/>
                      <w:u w:val="none"/>
                      <w:lang w:val="en-US" w:eastAsia="zh-CN" w:bidi="ar"/>
                    </w:rPr>
                    <w:t>化学</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性废</w:t>
                  </w:r>
                  <w:r>
                    <w:rPr>
                      <w:rFonts w:ascii="Times New Roman" w:hAnsi="Times New Roman" w:eastAsia="宋体" w:cs="宋体"/>
                      <w:i w:val="0"/>
                      <w:iCs w:val="0"/>
                      <w:color w:val="auto"/>
                      <w:kern w:val="0"/>
                      <w:sz w:val="21"/>
                      <w:szCs w:val="12"/>
                      <w:u w:val="none"/>
                      <w:lang w:val="en-US" w:eastAsia="zh-CN" w:bidi="ar"/>
                    </w:rPr>
                    <w:br w:type="textWrapping"/>
                  </w:r>
                  <w:r>
                    <w:rPr>
                      <w:rFonts w:ascii="Times New Roman" w:hAnsi="Times New Roman" w:eastAsia="宋体" w:cs="宋体"/>
                      <w:i w:val="0"/>
                      <w:iCs w:val="0"/>
                      <w:color w:val="auto"/>
                      <w:kern w:val="0"/>
                      <w:sz w:val="21"/>
                      <w:szCs w:val="12"/>
                      <w:u w:val="none"/>
                      <w:lang w:val="en-US" w:eastAsia="zh-CN" w:bidi="ar"/>
                    </w:rPr>
                    <w:t>物</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780F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宋体"/>
                      <w:i w:val="0"/>
                      <w:iCs w:val="0"/>
                      <w:color w:val="auto"/>
                      <w:kern w:val="0"/>
                      <w:sz w:val="21"/>
                      <w:szCs w:val="12"/>
                      <w:u w:val="none"/>
                      <w:lang w:val="en-US" w:eastAsia="zh-CN" w:bidi="ar"/>
                    </w:rPr>
                  </w:pPr>
                  <w:r>
                    <w:rPr>
                      <w:rFonts w:hint="eastAsia" w:ascii="Times New Roman" w:hAnsi="Times New Roman" w:eastAsia="宋体" w:cs="宋体"/>
                      <w:i w:val="0"/>
                      <w:iCs w:val="0"/>
                      <w:color w:val="auto"/>
                      <w:kern w:val="0"/>
                      <w:sz w:val="21"/>
                      <w:szCs w:val="12"/>
                      <w:u w:val="none"/>
                      <w:lang w:val="en-US" w:eastAsia="zh-CN" w:bidi="ar"/>
                    </w:rPr>
                    <w:t>具有毒</w:t>
                  </w:r>
                </w:p>
                <w:p w14:paraId="7E3E22B1">
                  <w:pPr>
                    <w:keepNext w:val="0"/>
                    <w:keepLines w:val="0"/>
                    <w:pageBreakBefore w:val="0"/>
                    <w:widowControl/>
                    <w:suppressLineNumbers w:val="0"/>
                    <w:kinsoku/>
                    <w:wordWrap/>
                    <w:overflowPunct/>
                    <w:topLinePunct w:val="0"/>
                    <w:autoSpaceDE/>
                    <w:autoSpaceDN/>
                    <w:bidi w:val="0"/>
                    <w:adjustRightInd/>
                    <w:snapToGrid/>
                    <w:jc w:val="center"/>
                    <w:textAlignment w:val="center"/>
                    <w:rPr>
                      <w:rFonts w:ascii="Times New Roman" w:hAnsi="Times New Roman" w:eastAsia="宋体" w:cs="宋体"/>
                      <w:b/>
                      <w:bCs/>
                      <w:i w:val="0"/>
                      <w:iCs w:val="0"/>
                      <w:color w:val="auto"/>
                      <w:kern w:val="0"/>
                      <w:sz w:val="21"/>
                      <w:szCs w:val="12"/>
                      <w:u w:val="none"/>
                      <w:lang w:val="en-US" w:eastAsia="zh-CN" w:bidi="ar"/>
                    </w:rPr>
                  </w:pPr>
                  <w:r>
                    <w:rPr>
                      <w:rFonts w:hint="eastAsia" w:ascii="Times New Roman" w:hAnsi="Times New Roman" w:eastAsia="宋体" w:cs="宋体"/>
                      <w:i w:val="0"/>
                      <w:iCs w:val="0"/>
                      <w:color w:val="auto"/>
                      <w:kern w:val="0"/>
                      <w:sz w:val="21"/>
                      <w:szCs w:val="12"/>
                      <w:u w:val="none"/>
                      <w:lang w:val="en-US" w:eastAsia="zh-CN" w:bidi="ar"/>
                    </w:rPr>
                    <w:t>性、腐蚀性、易燃性、反应性的废弃的化学物品。</w:t>
                  </w:r>
                </w:p>
              </w:tc>
              <w:tc>
                <w:tcPr>
                  <w:tcW w:w="3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545D0">
                  <w:pPr>
                    <w:keepNext w:val="0"/>
                    <w:keepLines w:val="0"/>
                    <w:pageBreakBefore w:val="0"/>
                    <w:widowControl/>
                    <w:suppressLineNumbers w:val="0"/>
                    <w:kinsoku/>
                    <w:wordWrap/>
                    <w:overflowPunct/>
                    <w:topLinePunct w:val="0"/>
                    <w:autoSpaceDE/>
                    <w:autoSpaceDN/>
                    <w:bidi w:val="0"/>
                    <w:adjustRightInd/>
                    <w:snapToGrid/>
                    <w:jc w:val="left"/>
                    <w:textAlignment w:val="center"/>
                    <w:rPr>
                      <w:rFonts w:ascii="Times New Roman" w:hAnsi="Times New Roman" w:eastAsia="宋体" w:cs="宋体"/>
                      <w:i w:val="0"/>
                      <w:iCs w:val="0"/>
                      <w:color w:val="auto"/>
                      <w:kern w:val="0"/>
                      <w:sz w:val="21"/>
                      <w:szCs w:val="12"/>
                      <w:u w:val="none"/>
                      <w:lang w:val="en-US" w:eastAsia="zh-CN" w:bidi="ar"/>
                    </w:rPr>
                  </w:pPr>
                  <w:r>
                    <w:rPr>
                      <w:rFonts w:hint="eastAsia" w:ascii="Times New Roman" w:hAnsi="Times New Roman" w:eastAsia="宋体" w:cs="宋体"/>
                      <w:i w:val="0"/>
                      <w:iCs w:val="0"/>
                      <w:color w:val="auto"/>
                      <w:kern w:val="0"/>
                      <w:sz w:val="21"/>
                      <w:szCs w:val="12"/>
                      <w:u w:val="none"/>
                      <w:lang w:val="en-US" w:eastAsia="zh-CN" w:bidi="ar"/>
                    </w:rPr>
                    <w:t>列入《国家危险废物名录》中的废弃危险化学品，如甲醛、二甲苯等</w:t>
                  </w:r>
                  <w:r>
                    <w:rPr>
                      <w:rFonts w:hint="eastAsia" w:cs="宋体"/>
                      <w:i w:val="0"/>
                      <w:iCs w:val="0"/>
                      <w:color w:val="auto"/>
                      <w:kern w:val="0"/>
                      <w:sz w:val="21"/>
                      <w:szCs w:val="12"/>
                      <w:u w:val="none"/>
                      <w:lang w:val="en-US" w:eastAsia="zh-CN" w:bidi="ar"/>
                    </w:rPr>
                    <w:t>：</w:t>
                  </w:r>
                  <w:r>
                    <w:rPr>
                      <w:rFonts w:hint="eastAsia" w:ascii="Times New Roman" w:hAnsi="Times New Roman" w:eastAsia="宋体" w:cs="宋体"/>
                      <w:i w:val="0"/>
                      <w:iCs w:val="0"/>
                      <w:color w:val="auto"/>
                      <w:kern w:val="0"/>
                      <w:sz w:val="21"/>
                      <w:szCs w:val="12"/>
                      <w:u w:val="none"/>
                      <w:lang w:val="en-US" w:eastAsia="zh-CN" w:bidi="ar"/>
                    </w:rPr>
                    <w:t>非特定行业来源的危险废物，如含汞血压计、含汞体温计，废弃的</w:t>
                  </w:r>
                  <w:r>
                    <w:rPr>
                      <w:rFonts w:hint="eastAsia" w:cs="宋体"/>
                      <w:i w:val="0"/>
                      <w:iCs w:val="0"/>
                      <w:color w:val="auto"/>
                      <w:kern w:val="0"/>
                      <w:sz w:val="21"/>
                      <w:szCs w:val="12"/>
                      <w:u w:val="none"/>
                      <w:lang w:val="en-US" w:eastAsia="zh-CN" w:bidi="ar"/>
                    </w:rPr>
                    <w:t>口腔科</w:t>
                  </w:r>
                  <w:r>
                    <w:rPr>
                      <w:rFonts w:hint="eastAsia" w:ascii="Times New Roman" w:hAnsi="Times New Roman" w:eastAsia="宋体" w:cs="宋体"/>
                      <w:i w:val="0"/>
                      <w:iCs w:val="0"/>
                      <w:color w:val="auto"/>
                      <w:kern w:val="0"/>
                      <w:sz w:val="21"/>
                      <w:szCs w:val="12"/>
                      <w:u w:val="none"/>
                      <w:lang w:val="en-US" w:eastAsia="zh-CN" w:bidi="ar"/>
                    </w:rPr>
                    <w:t>汞合金材料及其残余物等。</w:t>
                  </w:r>
                </w:p>
              </w:tc>
              <w:tc>
                <w:tcPr>
                  <w:tcW w:w="3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CFFE8">
                  <w:pPr>
                    <w:keepNext w:val="0"/>
                    <w:keepLines w:val="0"/>
                    <w:pageBreakBefore w:val="0"/>
                    <w:widowControl/>
                    <w:suppressLineNumbers w:val="0"/>
                    <w:kinsoku/>
                    <w:wordWrap/>
                    <w:overflowPunct/>
                    <w:topLinePunct w:val="0"/>
                    <w:autoSpaceDE/>
                    <w:autoSpaceDN/>
                    <w:bidi w:val="0"/>
                    <w:adjustRightInd/>
                    <w:snapToGrid/>
                    <w:jc w:val="left"/>
                    <w:textAlignment w:val="center"/>
                    <w:rPr>
                      <w:rFonts w:ascii="Times New Roman" w:hAnsi="Times New Roman" w:eastAsia="宋体" w:cs="宋体"/>
                      <w:i w:val="0"/>
                      <w:iCs w:val="0"/>
                      <w:color w:val="auto"/>
                      <w:kern w:val="0"/>
                      <w:sz w:val="21"/>
                      <w:szCs w:val="12"/>
                      <w:u w:val="none"/>
                      <w:lang w:val="en-US" w:eastAsia="zh-CN" w:bidi="ar"/>
                    </w:rPr>
                  </w:pPr>
                  <w:r>
                    <w:rPr>
                      <w:rFonts w:hint="eastAsia" w:ascii="Times New Roman" w:hAnsi="Times New Roman" w:eastAsia="宋体" w:cs="宋体"/>
                      <w:i w:val="0"/>
                      <w:iCs w:val="0"/>
                      <w:color w:val="auto"/>
                      <w:kern w:val="0"/>
                      <w:sz w:val="21"/>
                      <w:szCs w:val="12"/>
                      <w:u w:val="none"/>
                      <w:lang w:val="en-US" w:eastAsia="zh-CN" w:bidi="ar"/>
                    </w:rPr>
                    <w:t>1.收集于容器中，粘贴标签并注明主要成分；2.收集后应交由具备相应资质的医疗废物处置单位或者危险废物处置单位等进行处置。</w:t>
                  </w:r>
                </w:p>
              </w:tc>
            </w:tr>
          </w:tbl>
          <w:p w14:paraId="6EE5FC8E">
            <w:pPr>
              <w:pStyle w:val="46"/>
              <w:ind w:firstLine="480"/>
              <w:rPr>
                <w:color w:val="auto"/>
                <w:highlight w:val="none"/>
              </w:rPr>
            </w:pPr>
            <w:r>
              <w:rPr>
                <w:rFonts w:hint="eastAsia"/>
                <w:color w:val="auto"/>
                <w:highlight w:val="none"/>
              </w:rPr>
              <w:t>根据建设单位提供的资料，项目医疗废物收集过程中，不同类型的废弃物使用不同的容器收集，并贴上内容标签，由各科室收集后集中于医院的危废</w:t>
            </w:r>
            <w:r>
              <w:rPr>
                <w:rFonts w:hint="eastAsia"/>
                <w:color w:val="auto"/>
                <w:highlight w:val="none"/>
                <w:lang w:val="en-US" w:eastAsia="zh-CN"/>
              </w:rPr>
              <w:t>储存库</w:t>
            </w:r>
            <w:r>
              <w:rPr>
                <w:rFonts w:hint="eastAsia"/>
                <w:color w:val="auto"/>
                <w:highlight w:val="none"/>
              </w:rPr>
              <w:t>，委托有资质单位处置。</w:t>
            </w:r>
          </w:p>
          <w:p w14:paraId="4E2442DC">
            <w:pPr>
              <w:pStyle w:val="46"/>
              <w:ind w:firstLine="480"/>
              <w:rPr>
                <w:rFonts w:hint="eastAsia"/>
                <w:color w:val="auto"/>
                <w:highlight w:val="none"/>
              </w:rPr>
            </w:pPr>
            <w:r>
              <w:rPr>
                <w:color w:val="auto"/>
                <w:highlight w:val="none"/>
              </w:rPr>
              <w:t>本项目</w:t>
            </w:r>
            <w:r>
              <w:rPr>
                <w:rFonts w:hint="eastAsia"/>
                <w:color w:val="auto"/>
                <w:highlight w:val="none"/>
                <w:lang w:val="en-US" w:eastAsia="zh-CN"/>
              </w:rPr>
              <w:t>一般</w:t>
            </w:r>
            <w:r>
              <w:rPr>
                <w:color w:val="auto"/>
                <w:highlight w:val="none"/>
              </w:rPr>
              <w:t>固废</w:t>
            </w:r>
            <w:r>
              <w:rPr>
                <w:rFonts w:hint="eastAsia"/>
                <w:color w:val="auto"/>
                <w:highlight w:val="none"/>
                <w:lang w:val="en-US" w:eastAsia="zh-CN"/>
              </w:rPr>
              <w:t>与危险固废</w:t>
            </w:r>
            <w:r>
              <w:rPr>
                <w:color w:val="auto"/>
                <w:highlight w:val="none"/>
              </w:rPr>
              <w:t>产生情况及处置见</w:t>
            </w:r>
            <w:r>
              <w:rPr>
                <w:rFonts w:hint="eastAsia"/>
                <w:color w:val="auto"/>
                <w:highlight w:val="none"/>
              </w:rPr>
              <w:t>下表</w:t>
            </w:r>
            <w:r>
              <w:rPr>
                <w:rFonts w:hint="eastAsia"/>
                <w:color w:val="auto"/>
                <w:highlight w:val="none"/>
                <w:lang w:val="en-US" w:eastAsia="zh-CN"/>
              </w:rPr>
              <w:t>4.5-1与表4.5-2</w:t>
            </w:r>
            <w:r>
              <w:rPr>
                <w:rFonts w:hint="eastAsia"/>
                <w:color w:val="auto"/>
                <w:highlight w:val="none"/>
              </w:rPr>
              <w:t>。</w:t>
            </w:r>
            <w:bookmarkStart w:id="50" w:name="_Ref31352"/>
            <w:bookmarkStart w:id="51" w:name="_Ref28204"/>
            <w:bookmarkStart w:id="52" w:name="OLE_LINK21"/>
            <w:bookmarkStart w:id="53" w:name="OLE_LINK22"/>
          </w:p>
          <w:p w14:paraId="65147314">
            <w:pPr>
              <w:pStyle w:val="44"/>
              <w:keepNext/>
              <w:keepLines/>
              <w:pageBreakBefore w:val="0"/>
              <w:widowControl w:val="0"/>
              <w:numPr>
                <w:ilvl w:val="7"/>
                <w:numId w:val="15"/>
              </w:numPr>
              <w:tabs>
                <w:tab w:val="left" w:pos="0"/>
              </w:tabs>
              <w:kinsoku/>
              <w:wordWrap/>
              <w:overflowPunct/>
              <w:topLinePunct w:val="0"/>
              <w:autoSpaceDE/>
              <w:autoSpaceDN/>
              <w:bidi w:val="0"/>
              <w:adjustRightInd/>
              <w:snapToGrid/>
              <w:spacing w:before="157" w:beforeLines="50" w:after="0"/>
              <w:ind w:left="630" w:leftChars="0" w:firstLine="0" w:firstLineChars="0"/>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本项目</w:t>
            </w:r>
            <w:r>
              <w:rPr>
                <w:rFonts w:hint="eastAsia" w:cs="Times New Roman"/>
                <w:color w:val="auto"/>
                <w:highlight w:val="none"/>
                <w:lang w:val="en-US" w:eastAsia="zh-CN"/>
              </w:rPr>
              <w:t>一般</w:t>
            </w:r>
            <w:r>
              <w:rPr>
                <w:rFonts w:hint="eastAsia" w:ascii="Times New Roman" w:hAnsi="Times New Roman" w:eastAsia="宋体" w:cs="Times New Roman"/>
                <w:color w:val="auto"/>
                <w:highlight w:val="none"/>
                <w:lang w:val="en-US" w:eastAsia="zh-CN"/>
              </w:rPr>
              <w:t>固废产生情况及处置一览</w:t>
            </w:r>
            <w:bookmarkEnd w:id="50"/>
            <w:bookmarkEnd w:id="51"/>
            <w:r>
              <w:rPr>
                <w:rFonts w:hint="eastAsia" w:ascii="Times New Roman" w:hAnsi="Times New Roman" w:eastAsia="宋体" w:cs="Times New Roman"/>
                <w:color w:val="auto"/>
                <w:highlight w:val="none"/>
                <w:lang w:val="en-US" w:eastAsia="zh-CN"/>
              </w:rPr>
              <w:t>表</w:t>
            </w:r>
          </w:p>
          <w:tbl>
            <w:tblPr>
              <w:tblStyle w:val="34"/>
              <w:tblW w:w="4753"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262"/>
              <w:gridCol w:w="1317"/>
              <w:gridCol w:w="766"/>
              <w:gridCol w:w="967"/>
              <w:gridCol w:w="602"/>
              <w:gridCol w:w="736"/>
              <w:gridCol w:w="673"/>
              <w:gridCol w:w="686"/>
              <w:gridCol w:w="1480"/>
            </w:tblGrid>
            <w:tr w14:paraId="706E2D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340" w:hRule="atLeast"/>
              </w:trPr>
              <w:tc>
                <w:tcPr>
                  <w:tcW w:w="743" w:type="pct"/>
                  <w:tcBorders>
                    <w:bottom w:val="single" w:color="auto" w:sz="12" w:space="0"/>
                  </w:tcBorders>
                  <w:vAlign w:val="center"/>
                </w:tcPr>
                <w:p w14:paraId="69F49D63">
                  <w:pPr>
                    <w:pStyle w:val="48"/>
                    <w:tabs>
                      <w:tab w:val="left" w:pos="0"/>
                    </w:tabs>
                    <w:jc w:val="center"/>
                    <w:rPr>
                      <w:rFonts w:ascii="Times New Roman" w:hAnsi="Times New Roman" w:eastAsia="宋体"/>
                      <w:b w:val="0"/>
                      <w:bCs w:val="0"/>
                      <w:color w:val="auto"/>
                      <w:sz w:val="21"/>
                      <w:szCs w:val="21"/>
                      <w:highlight w:val="none"/>
                    </w:rPr>
                  </w:pPr>
                  <w:r>
                    <w:rPr>
                      <w:rFonts w:ascii="Times New Roman" w:hAnsi="Times New Roman" w:eastAsia="宋体"/>
                      <w:b w:val="0"/>
                      <w:bCs w:val="0"/>
                      <w:color w:val="auto"/>
                      <w:sz w:val="21"/>
                      <w:szCs w:val="21"/>
                      <w:highlight w:val="none"/>
                    </w:rPr>
                    <w:t>固废名称</w:t>
                  </w:r>
                </w:p>
              </w:tc>
              <w:tc>
                <w:tcPr>
                  <w:tcW w:w="775" w:type="pct"/>
                  <w:tcBorders>
                    <w:bottom w:val="single" w:color="auto" w:sz="12" w:space="0"/>
                  </w:tcBorders>
                  <w:vAlign w:val="center"/>
                </w:tcPr>
                <w:p w14:paraId="15D8E281">
                  <w:pPr>
                    <w:pStyle w:val="48"/>
                    <w:tabs>
                      <w:tab w:val="left" w:pos="0"/>
                    </w:tabs>
                    <w:jc w:val="center"/>
                    <w:rPr>
                      <w:rFonts w:ascii="Times New Roman" w:hAnsi="Times New Roman" w:eastAsia="宋体"/>
                      <w:b w:val="0"/>
                      <w:bCs w:val="0"/>
                      <w:color w:val="auto"/>
                      <w:sz w:val="21"/>
                      <w:szCs w:val="21"/>
                      <w:highlight w:val="none"/>
                    </w:rPr>
                  </w:pPr>
                  <w:r>
                    <w:rPr>
                      <w:rFonts w:ascii="Times New Roman" w:hAnsi="Times New Roman" w:eastAsia="宋体"/>
                      <w:b w:val="0"/>
                      <w:bCs w:val="0"/>
                      <w:color w:val="auto"/>
                      <w:sz w:val="21"/>
                      <w:szCs w:val="21"/>
                      <w:highlight w:val="none"/>
                    </w:rPr>
                    <w:t>类别编号</w:t>
                  </w:r>
                </w:p>
              </w:tc>
              <w:tc>
                <w:tcPr>
                  <w:tcW w:w="451" w:type="pct"/>
                  <w:tcBorders>
                    <w:bottom w:val="single" w:color="auto" w:sz="12" w:space="0"/>
                  </w:tcBorders>
                  <w:vAlign w:val="center"/>
                </w:tcPr>
                <w:p w14:paraId="5F4B2925">
                  <w:pPr>
                    <w:pStyle w:val="48"/>
                    <w:tabs>
                      <w:tab w:val="left" w:pos="0"/>
                    </w:tabs>
                    <w:jc w:val="center"/>
                    <w:rPr>
                      <w:rFonts w:ascii="Times New Roman" w:hAnsi="Times New Roman" w:eastAsia="宋体"/>
                      <w:b w:val="0"/>
                      <w:bCs w:val="0"/>
                      <w:color w:val="auto"/>
                      <w:sz w:val="21"/>
                      <w:szCs w:val="21"/>
                      <w:highlight w:val="none"/>
                    </w:rPr>
                  </w:pPr>
                  <w:r>
                    <w:rPr>
                      <w:rFonts w:ascii="Times New Roman" w:hAnsi="Times New Roman" w:eastAsia="宋体"/>
                      <w:b w:val="0"/>
                      <w:bCs w:val="0"/>
                      <w:color w:val="auto"/>
                      <w:sz w:val="21"/>
                      <w:szCs w:val="21"/>
                      <w:highlight w:val="none"/>
                    </w:rPr>
                    <w:t>产生量</w:t>
                  </w:r>
                  <w:r>
                    <w:rPr>
                      <w:rFonts w:hint="eastAsia"/>
                      <w:b w:val="0"/>
                      <w:bCs w:val="0"/>
                      <w:color w:val="auto"/>
                      <w:sz w:val="21"/>
                      <w:szCs w:val="21"/>
                      <w:highlight w:val="none"/>
                      <w:lang w:eastAsia="zh-CN"/>
                    </w:rPr>
                    <w:t>（</w:t>
                  </w:r>
                  <w:r>
                    <w:rPr>
                      <w:rFonts w:ascii="Times New Roman" w:hAnsi="Times New Roman" w:eastAsia="宋体"/>
                      <w:b w:val="0"/>
                      <w:bCs w:val="0"/>
                      <w:color w:val="auto"/>
                      <w:sz w:val="21"/>
                      <w:szCs w:val="21"/>
                      <w:highlight w:val="none"/>
                    </w:rPr>
                    <w:t>t/a</w:t>
                  </w:r>
                  <w:r>
                    <w:rPr>
                      <w:rFonts w:hint="eastAsia"/>
                      <w:b w:val="0"/>
                      <w:bCs w:val="0"/>
                      <w:color w:val="auto"/>
                      <w:sz w:val="21"/>
                      <w:szCs w:val="21"/>
                      <w:highlight w:val="none"/>
                      <w:lang w:eastAsia="zh-CN"/>
                    </w:rPr>
                    <w:t>）</w:t>
                  </w:r>
                </w:p>
              </w:tc>
              <w:tc>
                <w:tcPr>
                  <w:tcW w:w="569" w:type="pct"/>
                  <w:tcBorders>
                    <w:bottom w:val="single" w:color="auto" w:sz="12" w:space="0"/>
                  </w:tcBorders>
                  <w:vAlign w:val="center"/>
                </w:tcPr>
                <w:p w14:paraId="5B759561">
                  <w:pPr>
                    <w:pStyle w:val="48"/>
                    <w:tabs>
                      <w:tab w:val="left" w:pos="0"/>
                    </w:tabs>
                    <w:jc w:val="center"/>
                    <w:rPr>
                      <w:rFonts w:ascii="Times New Roman" w:hAnsi="Times New Roman" w:eastAsia="宋体"/>
                      <w:b w:val="0"/>
                      <w:bCs w:val="0"/>
                      <w:color w:val="auto"/>
                      <w:sz w:val="21"/>
                      <w:szCs w:val="21"/>
                      <w:highlight w:val="none"/>
                    </w:rPr>
                  </w:pPr>
                  <w:r>
                    <w:rPr>
                      <w:rFonts w:ascii="Times New Roman" w:hAnsi="Times New Roman" w:eastAsia="宋体"/>
                      <w:b w:val="0"/>
                      <w:bCs w:val="0"/>
                      <w:color w:val="auto"/>
                      <w:sz w:val="21"/>
                      <w:szCs w:val="21"/>
                      <w:highlight w:val="none"/>
                    </w:rPr>
                    <w:t>产生工序及装置</w:t>
                  </w:r>
                </w:p>
              </w:tc>
              <w:tc>
                <w:tcPr>
                  <w:tcW w:w="354" w:type="pct"/>
                  <w:tcBorders>
                    <w:bottom w:val="single" w:color="auto" w:sz="12" w:space="0"/>
                  </w:tcBorders>
                  <w:vAlign w:val="center"/>
                </w:tcPr>
                <w:p w14:paraId="272D150B">
                  <w:pPr>
                    <w:pStyle w:val="48"/>
                    <w:tabs>
                      <w:tab w:val="left" w:pos="0"/>
                    </w:tabs>
                    <w:jc w:val="center"/>
                    <w:rPr>
                      <w:rFonts w:ascii="Times New Roman" w:hAnsi="Times New Roman" w:eastAsia="宋体"/>
                      <w:b w:val="0"/>
                      <w:bCs w:val="0"/>
                      <w:color w:val="auto"/>
                      <w:sz w:val="21"/>
                      <w:szCs w:val="21"/>
                      <w:highlight w:val="none"/>
                    </w:rPr>
                  </w:pPr>
                  <w:r>
                    <w:rPr>
                      <w:rFonts w:ascii="Times New Roman" w:hAnsi="Times New Roman" w:eastAsia="宋体"/>
                      <w:b w:val="0"/>
                      <w:bCs w:val="0"/>
                      <w:color w:val="auto"/>
                      <w:sz w:val="21"/>
                      <w:szCs w:val="21"/>
                      <w:highlight w:val="none"/>
                    </w:rPr>
                    <w:t>形态</w:t>
                  </w:r>
                </w:p>
              </w:tc>
              <w:tc>
                <w:tcPr>
                  <w:tcW w:w="433" w:type="pct"/>
                  <w:tcBorders>
                    <w:bottom w:val="single" w:color="auto" w:sz="12" w:space="0"/>
                  </w:tcBorders>
                  <w:vAlign w:val="center"/>
                </w:tcPr>
                <w:p w14:paraId="069A3534">
                  <w:pPr>
                    <w:pStyle w:val="48"/>
                    <w:tabs>
                      <w:tab w:val="left" w:pos="0"/>
                    </w:tabs>
                    <w:jc w:val="center"/>
                    <w:rPr>
                      <w:rFonts w:ascii="Times New Roman" w:hAnsi="Times New Roman" w:eastAsia="宋体"/>
                      <w:b w:val="0"/>
                      <w:bCs w:val="0"/>
                      <w:color w:val="auto"/>
                      <w:sz w:val="21"/>
                      <w:szCs w:val="21"/>
                      <w:highlight w:val="none"/>
                    </w:rPr>
                  </w:pPr>
                  <w:r>
                    <w:rPr>
                      <w:rFonts w:ascii="Times New Roman" w:hAnsi="Times New Roman" w:eastAsia="宋体"/>
                      <w:b w:val="0"/>
                      <w:bCs w:val="0"/>
                      <w:color w:val="auto"/>
                      <w:sz w:val="21"/>
                      <w:szCs w:val="21"/>
                      <w:highlight w:val="none"/>
                    </w:rPr>
                    <w:t>主要成分</w:t>
                  </w:r>
                </w:p>
              </w:tc>
              <w:tc>
                <w:tcPr>
                  <w:tcW w:w="396" w:type="pct"/>
                  <w:tcBorders>
                    <w:bottom w:val="single" w:color="auto" w:sz="12" w:space="0"/>
                  </w:tcBorders>
                  <w:vAlign w:val="center"/>
                </w:tcPr>
                <w:p w14:paraId="78764DAC">
                  <w:pPr>
                    <w:pStyle w:val="48"/>
                    <w:tabs>
                      <w:tab w:val="left" w:pos="0"/>
                    </w:tabs>
                    <w:rPr>
                      <w:rFonts w:ascii="Times New Roman" w:hAnsi="Times New Roman" w:eastAsia="宋体"/>
                      <w:b w:val="0"/>
                      <w:bCs w:val="0"/>
                      <w:color w:val="auto"/>
                      <w:sz w:val="21"/>
                      <w:szCs w:val="21"/>
                      <w:highlight w:val="none"/>
                    </w:rPr>
                  </w:pPr>
                  <w:r>
                    <w:rPr>
                      <w:rFonts w:ascii="Times New Roman" w:hAnsi="Times New Roman" w:eastAsia="宋体"/>
                      <w:b w:val="0"/>
                      <w:bCs w:val="0"/>
                      <w:color w:val="auto"/>
                      <w:sz w:val="21"/>
                      <w:szCs w:val="21"/>
                      <w:highlight w:val="none"/>
                    </w:rPr>
                    <w:t>有害成分</w:t>
                  </w:r>
                </w:p>
              </w:tc>
              <w:tc>
                <w:tcPr>
                  <w:tcW w:w="404" w:type="pct"/>
                  <w:tcBorders>
                    <w:bottom w:val="single" w:color="auto" w:sz="12" w:space="0"/>
                  </w:tcBorders>
                  <w:vAlign w:val="center"/>
                </w:tcPr>
                <w:p w14:paraId="5E251FE5">
                  <w:pPr>
                    <w:pStyle w:val="48"/>
                    <w:tabs>
                      <w:tab w:val="left" w:pos="0"/>
                    </w:tabs>
                    <w:rPr>
                      <w:rFonts w:ascii="Times New Roman" w:hAnsi="Times New Roman" w:eastAsia="宋体"/>
                      <w:b w:val="0"/>
                      <w:bCs w:val="0"/>
                      <w:color w:val="auto"/>
                      <w:sz w:val="21"/>
                      <w:szCs w:val="21"/>
                      <w:highlight w:val="none"/>
                    </w:rPr>
                  </w:pPr>
                  <w:r>
                    <w:rPr>
                      <w:rFonts w:ascii="Times New Roman" w:hAnsi="Times New Roman" w:eastAsia="宋体"/>
                      <w:b w:val="0"/>
                      <w:bCs w:val="0"/>
                      <w:color w:val="auto"/>
                      <w:sz w:val="21"/>
                      <w:szCs w:val="21"/>
                      <w:highlight w:val="none"/>
                    </w:rPr>
                    <w:t>产废规律</w:t>
                  </w:r>
                </w:p>
              </w:tc>
              <w:tc>
                <w:tcPr>
                  <w:tcW w:w="871" w:type="pct"/>
                  <w:tcBorders>
                    <w:bottom w:val="single" w:color="auto" w:sz="12" w:space="0"/>
                  </w:tcBorders>
                  <w:vAlign w:val="center"/>
                </w:tcPr>
                <w:p w14:paraId="15634194">
                  <w:pPr>
                    <w:pStyle w:val="48"/>
                    <w:tabs>
                      <w:tab w:val="left" w:pos="0"/>
                    </w:tabs>
                    <w:rPr>
                      <w:rFonts w:ascii="Times New Roman" w:hAnsi="Times New Roman" w:eastAsia="宋体"/>
                      <w:b w:val="0"/>
                      <w:bCs w:val="0"/>
                      <w:color w:val="auto"/>
                      <w:sz w:val="21"/>
                      <w:szCs w:val="21"/>
                      <w:highlight w:val="none"/>
                    </w:rPr>
                  </w:pPr>
                  <w:r>
                    <w:rPr>
                      <w:rFonts w:hint="eastAsia" w:ascii="Times New Roman" w:hAnsi="Times New Roman" w:eastAsia="宋体"/>
                      <w:b w:val="0"/>
                      <w:bCs w:val="0"/>
                      <w:color w:val="auto"/>
                      <w:sz w:val="21"/>
                      <w:szCs w:val="21"/>
                      <w:highlight w:val="none"/>
                    </w:rPr>
                    <w:t>处置去向</w:t>
                  </w:r>
                </w:p>
              </w:tc>
            </w:tr>
            <w:tr w14:paraId="5EB9D4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43" w:hRule="atLeast"/>
              </w:trPr>
              <w:tc>
                <w:tcPr>
                  <w:tcW w:w="743" w:type="pct"/>
                  <w:tcBorders>
                    <w:top w:val="single" w:color="auto" w:sz="12" w:space="0"/>
                    <w:tl2br w:val="nil"/>
                    <w:tr2bl w:val="nil"/>
                  </w:tcBorders>
                  <w:shd w:val="clear" w:color="auto" w:fill="auto"/>
                  <w:vAlign w:val="center"/>
                </w:tcPr>
                <w:p w14:paraId="515FE47B">
                  <w:pPr>
                    <w:pStyle w:val="48"/>
                    <w:tabs>
                      <w:tab w:val="left" w:pos="0"/>
                    </w:tabs>
                    <w:ind w:left="0" w:leftChars="0" w:firstLine="0" w:firstLineChars="0"/>
                    <w:jc w:val="center"/>
                    <w:rPr>
                      <w:rFonts w:hint="eastAsia"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b w:val="0"/>
                      <w:bCs w:val="0"/>
                      <w:color w:val="auto"/>
                      <w:sz w:val="21"/>
                      <w:szCs w:val="21"/>
                      <w:highlight w:val="none"/>
                      <w:lang w:val="en-US" w:eastAsia="zh-CN"/>
                    </w:rPr>
                    <w:t>废包装材料</w:t>
                  </w:r>
                </w:p>
              </w:tc>
              <w:tc>
                <w:tcPr>
                  <w:tcW w:w="775" w:type="pct"/>
                  <w:tcBorders>
                    <w:top w:val="single" w:color="auto" w:sz="12" w:space="0"/>
                    <w:tl2br w:val="nil"/>
                    <w:tr2bl w:val="nil"/>
                  </w:tcBorders>
                  <w:shd w:val="clear" w:color="auto" w:fill="auto"/>
                  <w:vAlign w:val="center"/>
                </w:tcPr>
                <w:p w14:paraId="4695ECC4">
                  <w:pPr>
                    <w:pStyle w:val="48"/>
                    <w:tabs>
                      <w:tab w:val="left" w:pos="0"/>
                    </w:tabs>
                    <w:ind w:left="0" w:leftChars="0" w:firstLine="0" w:firstLine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900-001-S62</w:t>
                  </w:r>
                </w:p>
              </w:tc>
              <w:tc>
                <w:tcPr>
                  <w:tcW w:w="451" w:type="pct"/>
                  <w:tcBorders>
                    <w:top w:val="single" w:color="auto" w:sz="12" w:space="0"/>
                    <w:tl2br w:val="nil"/>
                    <w:tr2bl w:val="nil"/>
                  </w:tcBorders>
                  <w:shd w:val="clear" w:color="auto" w:fill="auto"/>
                  <w:vAlign w:val="center"/>
                </w:tcPr>
                <w:p w14:paraId="6F9836BF">
                  <w:pPr>
                    <w:pStyle w:val="48"/>
                    <w:tabs>
                      <w:tab w:val="left" w:pos="0"/>
                    </w:tabs>
                    <w:ind w:left="0" w:leftChars="0" w:firstLine="0" w:firstLine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1.5</w:t>
                  </w:r>
                </w:p>
              </w:tc>
              <w:tc>
                <w:tcPr>
                  <w:tcW w:w="569" w:type="pct"/>
                  <w:tcBorders>
                    <w:top w:val="single" w:color="auto" w:sz="12" w:space="0"/>
                    <w:tl2br w:val="nil"/>
                    <w:tr2bl w:val="nil"/>
                  </w:tcBorders>
                  <w:shd w:val="clear" w:color="auto" w:fill="auto"/>
                  <w:vAlign w:val="center"/>
                </w:tcPr>
                <w:p w14:paraId="29FE83BF">
                  <w:pPr>
                    <w:pStyle w:val="48"/>
                    <w:tabs>
                      <w:tab w:val="left" w:pos="0"/>
                    </w:tabs>
                    <w:ind w:left="0" w:leftChars="0" w:firstLine="0" w:firstLine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b w:val="0"/>
                      <w:bCs w:val="0"/>
                      <w:color w:val="auto"/>
                      <w:sz w:val="21"/>
                      <w:szCs w:val="21"/>
                      <w:highlight w:val="none"/>
                      <w:lang w:val="en-US" w:eastAsia="zh-CN"/>
                    </w:rPr>
                    <w:t>包装</w:t>
                  </w:r>
                </w:p>
              </w:tc>
              <w:tc>
                <w:tcPr>
                  <w:tcW w:w="354" w:type="pct"/>
                  <w:tcBorders>
                    <w:top w:val="single" w:color="auto" w:sz="12" w:space="0"/>
                    <w:tl2br w:val="nil"/>
                    <w:tr2bl w:val="nil"/>
                  </w:tcBorders>
                  <w:shd w:val="clear" w:color="auto" w:fill="auto"/>
                  <w:vAlign w:val="center"/>
                </w:tcPr>
                <w:p w14:paraId="3676B6C0">
                  <w:pPr>
                    <w:pStyle w:val="48"/>
                    <w:tabs>
                      <w:tab w:val="left" w:pos="0"/>
                    </w:tabs>
                    <w:ind w:left="0" w:leftChars="0" w:firstLine="0" w:firstLineChars="0"/>
                    <w:jc w:val="center"/>
                    <w:rPr>
                      <w:rFonts w:ascii="Times New Roman" w:hAnsi="Times New Roman" w:eastAsia="宋体" w:cs="Times New Roman"/>
                      <w:b w:val="0"/>
                      <w:bCs w:val="0"/>
                      <w:color w:val="auto"/>
                      <w:kern w:val="2"/>
                      <w:sz w:val="21"/>
                      <w:szCs w:val="21"/>
                      <w:highlight w:val="none"/>
                      <w:lang w:val="en-US" w:eastAsia="zh-CN" w:bidi="ar-SA"/>
                    </w:rPr>
                  </w:pPr>
                  <w:r>
                    <w:rPr>
                      <w:rFonts w:ascii="Times New Roman" w:hAnsi="Times New Roman" w:eastAsia="宋体"/>
                      <w:b w:val="0"/>
                      <w:bCs w:val="0"/>
                      <w:color w:val="auto"/>
                      <w:sz w:val="21"/>
                      <w:szCs w:val="21"/>
                      <w:highlight w:val="none"/>
                    </w:rPr>
                    <w:t>固态</w:t>
                  </w:r>
                </w:p>
              </w:tc>
              <w:tc>
                <w:tcPr>
                  <w:tcW w:w="433" w:type="pct"/>
                  <w:tcBorders>
                    <w:top w:val="single" w:color="auto" w:sz="12" w:space="0"/>
                    <w:tl2br w:val="nil"/>
                    <w:tr2bl w:val="nil"/>
                  </w:tcBorders>
                  <w:shd w:val="clear" w:color="auto" w:fill="auto"/>
                  <w:vAlign w:val="center"/>
                </w:tcPr>
                <w:p w14:paraId="395DFFBB">
                  <w:pPr>
                    <w:pStyle w:val="48"/>
                    <w:tabs>
                      <w:tab w:val="left" w:pos="0"/>
                    </w:tabs>
                    <w:ind w:left="0" w:leftChars="0" w:firstLine="0" w:firstLineChars="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（未沾染）</w:t>
                  </w:r>
                  <w:r>
                    <w:rPr>
                      <w:rFonts w:hint="default" w:ascii="Times New Roman" w:hAnsi="Times New Roman" w:eastAsia="宋体" w:cs="Times New Roman"/>
                      <w:b w:val="0"/>
                      <w:bCs w:val="0"/>
                      <w:color w:val="auto"/>
                      <w:kern w:val="2"/>
                      <w:sz w:val="21"/>
                      <w:szCs w:val="21"/>
                      <w:highlight w:val="none"/>
                      <w:lang w:val="en-US" w:eastAsia="zh-CN" w:bidi="ar-SA"/>
                    </w:rPr>
                    <w:t>一次性输液瓶、袋</w:t>
                  </w:r>
                </w:p>
              </w:tc>
              <w:tc>
                <w:tcPr>
                  <w:tcW w:w="396" w:type="pct"/>
                  <w:tcBorders>
                    <w:top w:val="single" w:color="auto" w:sz="12" w:space="0"/>
                    <w:tl2br w:val="nil"/>
                    <w:tr2bl w:val="nil"/>
                  </w:tcBorders>
                  <w:shd w:val="clear" w:color="auto" w:fill="auto"/>
                  <w:vAlign w:val="center"/>
                </w:tcPr>
                <w:p w14:paraId="7F35EB99">
                  <w:pPr>
                    <w:pStyle w:val="48"/>
                    <w:tabs>
                      <w:tab w:val="left" w:pos="0"/>
                    </w:tabs>
                    <w:ind w:left="0" w:leftChars="0" w:firstLine="0" w:firstLineChars="0"/>
                    <w:rPr>
                      <w:rFonts w:ascii="Times New Roman" w:hAnsi="Times New Roman" w:eastAsia="宋体" w:cs="Times New Roman"/>
                      <w:b w:val="0"/>
                      <w:bCs w:val="0"/>
                      <w:color w:val="auto"/>
                      <w:kern w:val="2"/>
                      <w:sz w:val="21"/>
                      <w:szCs w:val="21"/>
                      <w:highlight w:val="none"/>
                      <w:lang w:val="en-US" w:eastAsia="zh-CN" w:bidi="ar-SA"/>
                    </w:rPr>
                  </w:pPr>
                  <w:r>
                    <w:rPr>
                      <w:rFonts w:ascii="Times New Roman" w:hAnsi="Times New Roman" w:eastAsia="宋体"/>
                      <w:b w:val="0"/>
                      <w:bCs w:val="0"/>
                      <w:color w:val="auto"/>
                      <w:sz w:val="21"/>
                      <w:szCs w:val="21"/>
                      <w:highlight w:val="none"/>
                    </w:rPr>
                    <w:t>/</w:t>
                  </w:r>
                </w:p>
              </w:tc>
              <w:tc>
                <w:tcPr>
                  <w:tcW w:w="404" w:type="pct"/>
                  <w:tcBorders>
                    <w:top w:val="single" w:color="auto" w:sz="12" w:space="0"/>
                    <w:tl2br w:val="nil"/>
                    <w:tr2bl w:val="nil"/>
                  </w:tcBorders>
                  <w:shd w:val="clear" w:color="auto" w:fill="auto"/>
                  <w:vAlign w:val="center"/>
                </w:tcPr>
                <w:p w14:paraId="7E0B64D5">
                  <w:pPr>
                    <w:pStyle w:val="48"/>
                    <w:tabs>
                      <w:tab w:val="left" w:pos="0"/>
                    </w:tabs>
                    <w:ind w:left="0" w:leftChars="0" w:firstLine="0" w:firstLineChars="0"/>
                    <w:rPr>
                      <w:rFonts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b w:val="0"/>
                      <w:bCs w:val="0"/>
                      <w:color w:val="auto"/>
                      <w:sz w:val="21"/>
                      <w:szCs w:val="21"/>
                      <w:highlight w:val="none"/>
                    </w:rPr>
                    <w:t>间歇</w:t>
                  </w:r>
                </w:p>
              </w:tc>
              <w:tc>
                <w:tcPr>
                  <w:tcW w:w="871" w:type="pct"/>
                  <w:tcBorders>
                    <w:top w:val="single" w:color="auto" w:sz="12" w:space="0"/>
                    <w:tl2br w:val="nil"/>
                    <w:tr2bl w:val="nil"/>
                  </w:tcBorders>
                  <w:vAlign w:val="center"/>
                </w:tcPr>
                <w:p w14:paraId="7B8DD79B">
                  <w:pPr>
                    <w:pStyle w:val="48"/>
                    <w:tabs>
                      <w:tab w:val="left" w:pos="0"/>
                    </w:tabs>
                    <w:rPr>
                      <w:rFonts w:hint="eastAsia" w:ascii="Times New Roman" w:hAnsi="Times New Roman" w:eastAsia="宋体"/>
                      <w:b w:val="0"/>
                      <w:bCs w:val="0"/>
                      <w:color w:val="auto"/>
                      <w:sz w:val="21"/>
                      <w:szCs w:val="21"/>
                      <w:highlight w:val="none"/>
                      <w:lang w:val="en-US" w:eastAsia="zh-CN"/>
                    </w:rPr>
                  </w:pPr>
                  <w:r>
                    <w:rPr>
                      <w:rFonts w:hint="eastAsia" w:cs="Times New Roman"/>
                      <w:color w:val="auto"/>
                      <w:highlight w:val="none"/>
                      <w:lang w:val="en-US" w:eastAsia="zh-CN"/>
                    </w:rPr>
                    <w:t>由市政环卫部门定时清运</w:t>
                  </w:r>
                </w:p>
              </w:tc>
            </w:tr>
            <w:tr w14:paraId="2FDB0C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680" w:hRule="atLeast"/>
              </w:trPr>
              <w:tc>
                <w:tcPr>
                  <w:tcW w:w="743" w:type="pct"/>
                  <w:tcBorders>
                    <w:tl2br w:val="nil"/>
                    <w:tr2bl w:val="nil"/>
                  </w:tcBorders>
                  <w:vAlign w:val="center"/>
                </w:tcPr>
                <w:p w14:paraId="3A7B6879">
                  <w:pPr>
                    <w:pStyle w:val="48"/>
                    <w:tabs>
                      <w:tab w:val="left" w:pos="0"/>
                    </w:tabs>
                    <w:rPr>
                      <w:rFonts w:ascii="Times New Roman" w:hAnsi="Times New Roman" w:eastAsia="宋体"/>
                      <w:b w:val="0"/>
                      <w:bCs w:val="0"/>
                      <w:color w:val="auto"/>
                      <w:sz w:val="21"/>
                      <w:szCs w:val="21"/>
                      <w:highlight w:val="none"/>
                    </w:rPr>
                  </w:pPr>
                  <w:r>
                    <w:rPr>
                      <w:rFonts w:hint="eastAsia" w:ascii="Times New Roman" w:hAnsi="Times New Roman" w:eastAsia="宋体"/>
                      <w:b w:val="0"/>
                      <w:bCs w:val="0"/>
                      <w:color w:val="auto"/>
                      <w:sz w:val="21"/>
                      <w:szCs w:val="21"/>
                      <w:highlight w:val="none"/>
                    </w:rPr>
                    <w:t>生活</w:t>
                  </w:r>
                </w:p>
                <w:p w14:paraId="53CBAAB2">
                  <w:pPr>
                    <w:pStyle w:val="48"/>
                    <w:tabs>
                      <w:tab w:val="left" w:pos="0"/>
                    </w:tabs>
                    <w:ind w:left="0" w:leftChars="0" w:firstLine="0" w:firstLineChars="0"/>
                    <w:rPr>
                      <w:rFonts w:hint="eastAsia" w:ascii="Times New Roman" w:hAnsi="Times New Roman" w:eastAsia="宋体"/>
                      <w:b w:val="0"/>
                      <w:bCs w:val="0"/>
                      <w:color w:val="auto"/>
                      <w:sz w:val="21"/>
                      <w:szCs w:val="21"/>
                      <w:highlight w:val="none"/>
                    </w:rPr>
                  </w:pPr>
                  <w:r>
                    <w:rPr>
                      <w:rFonts w:hint="eastAsia" w:ascii="Times New Roman" w:hAnsi="Times New Roman" w:eastAsia="宋体"/>
                      <w:b w:val="0"/>
                      <w:bCs w:val="0"/>
                      <w:color w:val="auto"/>
                      <w:sz w:val="21"/>
                      <w:szCs w:val="21"/>
                      <w:highlight w:val="none"/>
                    </w:rPr>
                    <w:t>垃圾</w:t>
                  </w:r>
                </w:p>
              </w:tc>
              <w:tc>
                <w:tcPr>
                  <w:tcW w:w="775" w:type="pct"/>
                  <w:tcBorders>
                    <w:tl2br w:val="nil"/>
                    <w:tr2bl w:val="nil"/>
                  </w:tcBorders>
                  <w:vAlign w:val="center"/>
                </w:tcPr>
                <w:p w14:paraId="5CEBBFFA">
                  <w:pPr>
                    <w:pStyle w:val="48"/>
                    <w:tabs>
                      <w:tab w:val="left" w:pos="0"/>
                    </w:tabs>
                    <w:ind w:left="0" w:leftChars="0" w:firstLine="0" w:firstLineChars="0"/>
                    <w:rPr>
                      <w:rFonts w:hint="eastAsia" w:ascii="Times New Roman" w:hAnsi="Times New Roman" w:eastAsia="宋体"/>
                      <w:b w:val="0"/>
                      <w:bCs w:val="0"/>
                      <w:color w:val="auto"/>
                      <w:sz w:val="21"/>
                      <w:szCs w:val="21"/>
                      <w:highlight w:val="none"/>
                      <w:lang w:eastAsia="zh-CN"/>
                    </w:rPr>
                  </w:pPr>
                  <w:r>
                    <w:rPr>
                      <w:rFonts w:hint="eastAsia" w:ascii="Times New Roman" w:hAnsi="Times New Roman" w:eastAsia="宋体"/>
                      <w:b w:val="0"/>
                      <w:bCs w:val="0"/>
                      <w:color w:val="auto"/>
                      <w:sz w:val="21"/>
                      <w:szCs w:val="21"/>
                      <w:highlight w:val="none"/>
                      <w:lang w:val="en-US" w:eastAsia="zh-CN"/>
                    </w:rPr>
                    <w:t>/</w:t>
                  </w:r>
                </w:p>
              </w:tc>
              <w:tc>
                <w:tcPr>
                  <w:tcW w:w="451" w:type="pct"/>
                  <w:tcBorders>
                    <w:tl2br w:val="nil"/>
                    <w:tr2bl w:val="nil"/>
                  </w:tcBorders>
                  <w:vAlign w:val="center"/>
                </w:tcPr>
                <w:p w14:paraId="3191685A">
                  <w:pPr>
                    <w:pStyle w:val="48"/>
                    <w:tabs>
                      <w:tab w:val="left" w:pos="0"/>
                    </w:tabs>
                    <w:ind w:left="0" w:leftChars="0" w:firstLine="0" w:firstLineChars="0"/>
                    <w:rPr>
                      <w:rFonts w:hint="default" w:ascii="Times New Roman" w:hAnsi="Times New Roman" w:eastAsia="宋体"/>
                      <w:b w:val="0"/>
                      <w:bCs w:val="0"/>
                      <w:color w:val="auto"/>
                      <w:sz w:val="21"/>
                      <w:szCs w:val="21"/>
                      <w:highlight w:val="none"/>
                      <w:lang w:val="en-US" w:eastAsia="zh-CN"/>
                    </w:rPr>
                  </w:pPr>
                  <w:r>
                    <w:rPr>
                      <w:rFonts w:hint="eastAsia"/>
                      <w:b w:val="0"/>
                      <w:bCs w:val="0"/>
                      <w:color w:val="auto"/>
                      <w:sz w:val="21"/>
                      <w:szCs w:val="21"/>
                      <w:highlight w:val="none"/>
                      <w:lang w:val="en-US" w:eastAsia="zh-CN"/>
                    </w:rPr>
                    <w:t>123.37</w:t>
                  </w:r>
                </w:p>
              </w:tc>
              <w:tc>
                <w:tcPr>
                  <w:tcW w:w="569" w:type="pct"/>
                  <w:tcBorders>
                    <w:tl2br w:val="nil"/>
                    <w:tr2bl w:val="nil"/>
                  </w:tcBorders>
                  <w:vAlign w:val="center"/>
                </w:tcPr>
                <w:p w14:paraId="066A27F1">
                  <w:pPr>
                    <w:pStyle w:val="48"/>
                    <w:tabs>
                      <w:tab w:val="left" w:pos="0"/>
                    </w:tabs>
                    <w:ind w:left="0" w:leftChars="0" w:firstLine="0" w:firstLineChars="0"/>
                    <w:rPr>
                      <w:rFonts w:hint="eastAsia" w:ascii="Times New Roman" w:hAnsi="Times New Roman" w:eastAsia="宋体"/>
                      <w:b w:val="0"/>
                      <w:bCs w:val="0"/>
                      <w:color w:val="auto"/>
                      <w:sz w:val="21"/>
                      <w:szCs w:val="21"/>
                      <w:highlight w:val="none"/>
                    </w:rPr>
                  </w:pPr>
                  <w:r>
                    <w:rPr>
                      <w:rFonts w:hint="eastAsia" w:ascii="Times New Roman" w:hAnsi="Times New Roman" w:eastAsia="宋体"/>
                      <w:b w:val="0"/>
                      <w:bCs w:val="0"/>
                      <w:color w:val="auto"/>
                      <w:sz w:val="21"/>
                      <w:szCs w:val="21"/>
                      <w:highlight w:val="none"/>
                    </w:rPr>
                    <w:t>生活</w:t>
                  </w:r>
                </w:p>
              </w:tc>
              <w:tc>
                <w:tcPr>
                  <w:tcW w:w="354" w:type="pct"/>
                  <w:tcBorders>
                    <w:tl2br w:val="nil"/>
                    <w:tr2bl w:val="nil"/>
                  </w:tcBorders>
                  <w:vAlign w:val="center"/>
                </w:tcPr>
                <w:p w14:paraId="15AEA701">
                  <w:pPr>
                    <w:pStyle w:val="48"/>
                    <w:tabs>
                      <w:tab w:val="left" w:pos="0"/>
                    </w:tabs>
                    <w:ind w:left="0" w:leftChars="0" w:firstLine="0" w:firstLineChars="0"/>
                    <w:rPr>
                      <w:rFonts w:ascii="Times New Roman" w:hAnsi="Times New Roman" w:eastAsia="宋体"/>
                      <w:b w:val="0"/>
                      <w:bCs w:val="0"/>
                      <w:color w:val="auto"/>
                      <w:sz w:val="21"/>
                      <w:szCs w:val="21"/>
                      <w:highlight w:val="none"/>
                    </w:rPr>
                  </w:pPr>
                  <w:r>
                    <w:rPr>
                      <w:rFonts w:ascii="Times New Roman" w:hAnsi="Times New Roman" w:eastAsia="宋体"/>
                      <w:b w:val="0"/>
                      <w:bCs w:val="0"/>
                      <w:color w:val="auto"/>
                      <w:sz w:val="21"/>
                      <w:szCs w:val="21"/>
                      <w:highlight w:val="none"/>
                    </w:rPr>
                    <w:t>固态</w:t>
                  </w:r>
                </w:p>
              </w:tc>
              <w:tc>
                <w:tcPr>
                  <w:tcW w:w="433" w:type="pct"/>
                  <w:tcBorders>
                    <w:tl2br w:val="nil"/>
                    <w:tr2bl w:val="nil"/>
                  </w:tcBorders>
                  <w:vAlign w:val="center"/>
                </w:tcPr>
                <w:p w14:paraId="1B1481FC">
                  <w:pPr>
                    <w:pStyle w:val="48"/>
                    <w:tabs>
                      <w:tab w:val="left" w:pos="0"/>
                    </w:tabs>
                    <w:ind w:left="0" w:leftChars="0" w:firstLine="0" w:firstLineChars="0"/>
                    <w:rPr>
                      <w:rFonts w:hint="eastAsia" w:ascii="Times New Roman" w:hAnsi="Times New Roman" w:eastAsia="宋体"/>
                      <w:b w:val="0"/>
                      <w:bCs w:val="0"/>
                      <w:color w:val="auto"/>
                      <w:sz w:val="21"/>
                      <w:szCs w:val="21"/>
                      <w:highlight w:val="none"/>
                    </w:rPr>
                  </w:pPr>
                  <w:r>
                    <w:rPr>
                      <w:rFonts w:hint="eastAsia" w:ascii="Times New Roman" w:hAnsi="Times New Roman" w:eastAsia="宋体"/>
                      <w:b w:val="0"/>
                      <w:bCs w:val="0"/>
                      <w:color w:val="auto"/>
                      <w:sz w:val="21"/>
                      <w:szCs w:val="21"/>
                      <w:highlight w:val="none"/>
                    </w:rPr>
                    <w:t>果皮、纸屑</w:t>
                  </w:r>
                </w:p>
              </w:tc>
              <w:tc>
                <w:tcPr>
                  <w:tcW w:w="396" w:type="pct"/>
                  <w:tcBorders>
                    <w:tl2br w:val="nil"/>
                    <w:tr2bl w:val="nil"/>
                  </w:tcBorders>
                  <w:vAlign w:val="center"/>
                </w:tcPr>
                <w:p w14:paraId="5F7B5BD9">
                  <w:pPr>
                    <w:pStyle w:val="48"/>
                    <w:tabs>
                      <w:tab w:val="left" w:pos="0"/>
                    </w:tabs>
                    <w:ind w:left="0" w:leftChars="0" w:firstLine="0" w:firstLineChars="0"/>
                    <w:rPr>
                      <w:rFonts w:ascii="Times New Roman" w:hAnsi="Times New Roman" w:eastAsia="宋体"/>
                      <w:b w:val="0"/>
                      <w:bCs w:val="0"/>
                      <w:color w:val="auto"/>
                      <w:sz w:val="21"/>
                      <w:szCs w:val="21"/>
                      <w:highlight w:val="none"/>
                    </w:rPr>
                  </w:pPr>
                  <w:r>
                    <w:rPr>
                      <w:rFonts w:hint="eastAsia" w:ascii="Times New Roman" w:hAnsi="Times New Roman" w:eastAsia="宋体"/>
                      <w:b w:val="0"/>
                      <w:bCs w:val="0"/>
                      <w:color w:val="auto"/>
                      <w:sz w:val="21"/>
                      <w:szCs w:val="21"/>
                      <w:highlight w:val="none"/>
                    </w:rPr>
                    <w:t>/</w:t>
                  </w:r>
                </w:p>
              </w:tc>
              <w:tc>
                <w:tcPr>
                  <w:tcW w:w="404" w:type="pct"/>
                  <w:tcBorders>
                    <w:tl2br w:val="nil"/>
                    <w:tr2bl w:val="nil"/>
                  </w:tcBorders>
                  <w:vAlign w:val="center"/>
                </w:tcPr>
                <w:p w14:paraId="6543EED2">
                  <w:pPr>
                    <w:pStyle w:val="48"/>
                    <w:tabs>
                      <w:tab w:val="left" w:pos="0"/>
                    </w:tabs>
                    <w:ind w:left="0" w:leftChars="0" w:firstLine="0" w:firstLineChars="0"/>
                    <w:rPr>
                      <w:rFonts w:hint="eastAsia" w:ascii="Times New Roman" w:hAnsi="Times New Roman" w:eastAsia="宋体"/>
                      <w:b w:val="0"/>
                      <w:bCs w:val="0"/>
                      <w:color w:val="auto"/>
                      <w:sz w:val="21"/>
                      <w:szCs w:val="21"/>
                      <w:highlight w:val="none"/>
                    </w:rPr>
                  </w:pPr>
                  <w:r>
                    <w:rPr>
                      <w:rFonts w:hint="eastAsia" w:ascii="Times New Roman" w:hAnsi="Times New Roman" w:eastAsia="宋体"/>
                      <w:b w:val="0"/>
                      <w:bCs w:val="0"/>
                      <w:color w:val="auto"/>
                      <w:sz w:val="21"/>
                      <w:szCs w:val="21"/>
                      <w:highlight w:val="none"/>
                    </w:rPr>
                    <w:t>持续</w:t>
                  </w:r>
                </w:p>
              </w:tc>
              <w:tc>
                <w:tcPr>
                  <w:tcW w:w="871" w:type="pct"/>
                  <w:tcBorders>
                    <w:tl2br w:val="nil"/>
                    <w:tr2bl w:val="nil"/>
                  </w:tcBorders>
                  <w:vAlign w:val="center"/>
                </w:tcPr>
                <w:p w14:paraId="2A5DD843">
                  <w:pPr>
                    <w:pStyle w:val="48"/>
                    <w:tabs>
                      <w:tab w:val="left" w:pos="0"/>
                    </w:tabs>
                    <w:ind w:left="0" w:leftChars="0" w:firstLine="0" w:firstLineChars="0"/>
                    <w:rPr>
                      <w:rFonts w:hint="eastAsia" w:ascii="Times New Roman" w:hAnsi="Times New Roman" w:eastAsia="宋体"/>
                      <w:b w:val="0"/>
                      <w:bCs w:val="0"/>
                      <w:color w:val="auto"/>
                      <w:sz w:val="21"/>
                      <w:szCs w:val="21"/>
                      <w:highlight w:val="none"/>
                    </w:rPr>
                  </w:pPr>
                  <w:r>
                    <w:rPr>
                      <w:rFonts w:ascii="Times New Roman" w:hAnsi="Times New Roman" w:eastAsia="宋体"/>
                      <w:b w:val="0"/>
                      <w:bCs w:val="0"/>
                      <w:color w:val="auto"/>
                      <w:sz w:val="21"/>
                      <w:szCs w:val="21"/>
                      <w:highlight w:val="none"/>
                    </w:rPr>
                    <w:t>委托环卫部门统一清运处置</w:t>
                  </w:r>
                </w:p>
              </w:tc>
            </w:tr>
          </w:tbl>
          <w:p w14:paraId="6959E13F">
            <w:pPr>
              <w:pStyle w:val="44"/>
              <w:keepNext/>
              <w:keepLines/>
              <w:pageBreakBefore w:val="0"/>
              <w:widowControl w:val="0"/>
              <w:numPr>
                <w:ilvl w:val="7"/>
                <w:numId w:val="15"/>
              </w:numPr>
              <w:tabs>
                <w:tab w:val="left" w:pos="0"/>
              </w:tabs>
              <w:kinsoku/>
              <w:wordWrap/>
              <w:overflowPunct/>
              <w:topLinePunct w:val="0"/>
              <w:autoSpaceDE/>
              <w:autoSpaceDN/>
              <w:bidi w:val="0"/>
              <w:adjustRightInd/>
              <w:snapToGrid/>
              <w:spacing w:before="157" w:beforeLines="50" w:after="0"/>
              <w:ind w:left="630" w:leftChars="0" w:firstLine="0" w:firstLineChars="0"/>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本项目</w:t>
            </w:r>
            <w:r>
              <w:rPr>
                <w:rFonts w:hint="eastAsia" w:cs="Times New Roman"/>
                <w:color w:val="auto"/>
                <w:highlight w:val="none"/>
                <w:lang w:val="en-US" w:eastAsia="zh-CN"/>
              </w:rPr>
              <w:t>危险</w:t>
            </w:r>
            <w:r>
              <w:rPr>
                <w:rFonts w:hint="eastAsia" w:ascii="Times New Roman" w:hAnsi="Times New Roman" w:eastAsia="宋体" w:cs="Times New Roman"/>
                <w:color w:val="auto"/>
                <w:highlight w:val="none"/>
                <w:lang w:val="en-US" w:eastAsia="zh-CN"/>
              </w:rPr>
              <w:t>固废产生情况及处置一览表</w:t>
            </w:r>
          </w:p>
          <w:tbl>
            <w:tblPr>
              <w:tblStyle w:val="86"/>
              <w:tblW w:w="0" w:type="auto"/>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293"/>
              <w:gridCol w:w="651"/>
              <w:gridCol w:w="631"/>
              <w:gridCol w:w="1236"/>
              <w:gridCol w:w="1008"/>
              <w:gridCol w:w="721"/>
              <w:gridCol w:w="327"/>
              <w:gridCol w:w="540"/>
              <w:gridCol w:w="1000"/>
              <w:gridCol w:w="366"/>
              <w:gridCol w:w="917"/>
              <w:gridCol w:w="1240"/>
            </w:tblGrid>
            <w:tr w14:paraId="64BB208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13" w:hRule="atLeast"/>
                <w:jc w:val="center"/>
              </w:trPr>
              <w:tc>
                <w:tcPr>
                  <w:tcW w:w="293" w:type="dxa"/>
                  <w:tcBorders>
                    <w:bottom w:val="single" w:color="000000" w:sz="12" w:space="0"/>
                  </w:tcBorders>
                  <w:textDirection w:val="tbRlV"/>
                  <w:vAlign w:val="center"/>
                </w:tcPr>
                <w:p w14:paraId="014B5337">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7"/>
                      <w:sz w:val="21"/>
                      <w:highlight w:val="none"/>
                    </w:rPr>
                    <w:t>序号</w:t>
                  </w:r>
                </w:p>
              </w:tc>
              <w:tc>
                <w:tcPr>
                  <w:tcW w:w="651" w:type="dxa"/>
                  <w:tcBorders>
                    <w:bottom w:val="single" w:color="000000" w:sz="12" w:space="0"/>
                  </w:tcBorders>
                  <w:vAlign w:val="center"/>
                </w:tcPr>
                <w:p w14:paraId="6B246DA1">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4"/>
                      <w:sz w:val="21"/>
                      <w:highlight w:val="none"/>
                    </w:rPr>
                    <w:t>危险废</w:t>
                  </w:r>
                </w:p>
                <w:p w14:paraId="48A48CB1">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5"/>
                      <w:sz w:val="21"/>
                      <w:highlight w:val="none"/>
                    </w:rPr>
                    <w:t>物名称</w:t>
                  </w:r>
                </w:p>
              </w:tc>
              <w:tc>
                <w:tcPr>
                  <w:tcW w:w="631" w:type="dxa"/>
                  <w:tcBorders>
                    <w:bottom w:val="single" w:color="000000" w:sz="12" w:space="0"/>
                  </w:tcBorders>
                  <w:vAlign w:val="center"/>
                </w:tcPr>
                <w:p w14:paraId="1A3A8631">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4"/>
                      <w:sz w:val="21"/>
                      <w:highlight w:val="none"/>
                    </w:rPr>
                    <w:t>危险废</w:t>
                  </w:r>
                </w:p>
                <w:p w14:paraId="156A2FDA">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5"/>
                      <w:sz w:val="21"/>
                      <w:highlight w:val="none"/>
                    </w:rPr>
                    <w:t>物类别</w:t>
                  </w:r>
                </w:p>
              </w:tc>
              <w:tc>
                <w:tcPr>
                  <w:tcW w:w="1236" w:type="dxa"/>
                  <w:tcBorders>
                    <w:bottom w:val="single" w:color="000000" w:sz="12" w:space="0"/>
                  </w:tcBorders>
                  <w:vAlign w:val="center"/>
                </w:tcPr>
                <w:p w14:paraId="6C28C6E4">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4"/>
                      <w:sz w:val="21"/>
                      <w:highlight w:val="none"/>
                    </w:rPr>
                    <w:t>危险废</w:t>
                  </w:r>
                </w:p>
                <w:p w14:paraId="1EA38BA6">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5"/>
                      <w:sz w:val="21"/>
                      <w:highlight w:val="none"/>
                    </w:rPr>
                    <w:t>物代码</w:t>
                  </w:r>
                </w:p>
              </w:tc>
              <w:tc>
                <w:tcPr>
                  <w:tcW w:w="1008" w:type="dxa"/>
                  <w:tcBorders>
                    <w:bottom w:val="single" w:color="000000" w:sz="12" w:space="0"/>
                  </w:tcBorders>
                  <w:vAlign w:val="center"/>
                </w:tcPr>
                <w:p w14:paraId="567F82B5">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5"/>
                      <w:sz w:val="21"/>
                      <w:highlight w:val="none"/>
                    </w:rPr>
                    <w:t>产生量</w:t>
                  </w:r>
                </w:p>
                <w:p w14:paraId="71735EE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olor w:val="auto"/>
                      <w:sz w:val="21"/>
                      <w:szCs w:val="20"/>
                      <w:highlight w:val="none"/>
                    </w:rPr>
                  </w:pPr>
                  <w:r>
                    <w:rPr>
                      <w:rFonts w:ascii="Times New Roman" w:hAnsi="Times New Roman" w:eastAsia="宋体" w:cs="Times New Roman"/>
                      <w:b/>
                      <w:bCs/>
                      <w:color w:val="auto"/>
                      <w:spacing w:val="1"/>
                      <w:sz w:val="21"/>
                      <w:szCs w:val="20"/>
                      <w:highlight w:val="none"/>
                    </w:rPr>
                    <w:t>(t/a)</w:t>
                  </w:r>
                </w:p>
              </w:tc>
              <w:tc>
                <w:tcPr>
                  <w:tcW w:w="721" w:type="dxa"/>
                  <w:tcBorders>
                    <w:bottom w:val="single" w:color="000000" w:sz="12" w:space="0"/>
                  </w:tcBorders>
                  <w:vAlign w:val="center"/>
                </w:tcPr>
                <w:p w14:paraId="36490A6E">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5"/>
                      <w:sz w:val="21"/>
                      <w:highlight w:val="none"/>
                    </w:rPr>
                    <w:t>产生工</w:t>
                  </w:r>
                </w:p>
                <w:p w14:paraId="4F462255">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5"/>
                      <w:sz w:val="21"/>
                      <w:highlight w:val="none"/>
                    </w:rPr>
                    <w:t>序及装</w:t>
                  </w:r>
                </w:p>
                <w:p w14:paraId="19790B6B">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z w:val="21"/>
                      <w:highlight w:val="none"/>
                    </w:rPr>
                    <w:t>置</w:t>
                  </w:r>
                </w:p>
              </w:tc>
              <w:tc>
                <w:tcPr>
                  <w:tcW w:w="327" w:type="dxa"/>
                  <w:tcBorders>
                    <w:bottom w:val="single" w:color="000000" w:sz="12" w:space="0"/>
                  </w:tcBorders>
                  <w:vAlign w:val="center"/>
                </w:tcPr>
                <w:p w14:paraId="23A24CC0">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2"/>
                      <w:sz w:val="21"/>
                      <w:highlight w:val="none"/>
                    </w:rPr>
                    <w:t>形态</w:t>
                  </w:r>
                </w:p>
              </w:tc>
              <w:tc>
                <w:tcPr>
                  <w:tcW w:w="540" w:type="dxa"/>
                  <w:tcBorders>
                    <w:bottom w:val="single" w:color="000000" w:sz="12" w:space="0"/>
                  </w:tcBorders>
                  <w:vAlign w:val="center"/>
                </w:tcPr>
                <w:p w14:paraId="2BF78C4D">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3"/>
                      <w:sz w:val="21"/>
                      <w:highlight w:val="none"/>
                    </w:rPr>
                    <w:t>主要</w:t>
                  </w:r>
                </w:p>
                <w:p w14:paraId="355AB592">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3"/>
                      <w:sz w:val="21"/>
                      <w:highlight w:val="none"/>
                    </w:rPr>
                    <w:t>成分</w:t>
                  </w:r>
                </w:p>
              </w:tc>
              <w:tc>
                <w:tcPr>
                  <w:tcW w:w="1000" w:type="dxa"/>
                  <w:tcBorders>
                    <w:bottom w:val="single" w:color="000000" w:sz="12" w:space="0"/>
                  </w:tcBorders>
                  <w:vAlign w:val="center"/>
                </w:tcPr>
                <w:p w14:paraId="5016D858">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3"/>
                      <w:sz w:val="21"/>
                      <w:highlight w:val="none"/>
                    </w:rPr>
                    <w:t>有害</w:t>
                  </w:r>
                </w:p>
                <w:p w14:paraId="71111BFA">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3"/>
                      <w:sz w:val="21"/>
                      <w:highlight w:val="none"/>
                    </w:rPr>
                    <w:t>成分</w:t>
                  </w:r>
                </w:p>
              </w:tc>
              <w:tc>
                <w:tcPr>
                  <w:tcW w:w="366" w:type="dxa"/>
                  <w:tcBorders>
                    <w:bottom w:val="single" w:color="000000" w:sz="12" w:space="0"/>
                  </w:tcBorders>
                  <w:vAlign w:val="center"/>
                </w:tcPr>
                <w:p w14:paraId="5A862902">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3"/>
                      <w:sz w:val="21"/>
                      <w:highlight w:val="none"/>
                    </w:rPr>
                    <w:t>产废</w:t>
                  </w:r>
                </w:p>
                <w:p w14:paraId="0886AC1E">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3"/>
                      <w:sz w:val="21"/>
                      <w:highlight w:val="none"/>
                    </w:rPr>
                    <w:t>周期</w:t>
                  </w:r>
                </w:p>
              </w:tc>
              <w:tc>
                <w:tcPr>
                  <w:tcW w:w="917" w:type="dxa"/>
                  <w:tcBorders>
                    <w:bottom w:val="single" w:color="000000" w:sz="12" w:space="0"/>
                  </w:tcBorders>
                  <w:vAlign w:val="center"/>
                </w:tcPr>
                <w:p w14:paraId="1FD0AF3C">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2"/>
                      <w:sz w:val="21"/>
                      <w:highlight w:val="none"/>
                    </w:rPr>
                    <w:t>危险</w:t>
                  </w:r>
                </w:p>
                <w:p w14:paraId="7BF120D6">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3"/>
                      <w:sz w:val="21"/>
                      <w:highlight w:val="none"/>
                    </w:rPr>
                    <w:t>特性</w:t>
                  </w:r>
                </w:p>
              </w:tc>
              <w:tc>
                <w:tcPr>
                  <w:tcW w:w="1240" w:type="dxa"/>
                  <w:tcBorders>
                    <w:bottom w:val="single" w:color="000000" w:sz="12" w:space="0"/>
                  </w:tcBorders>
                  <w:vAlign w:val="center"/>
                </w:tcPr>
                <w:p w14:paraId="5A29E27A">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6"/>
                      <w:sz w:val="21"/>
                      <w:highlight w:val="none"/>
                    </w:rPr>
                    <w:t>污染防治措</w:t>
                  </w:r>
                </w:p>
                <w:p w14:paraId="2EC71721">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1"/>
                      <w:sz w:val="21"/>
                      <w:highlight w:val="none"/>
                    </w:rPr>
                    <w:t>施</w:t>
                  </w:r>
                </w:p>
              </w:tc>
            </w:tr>
            <w:tr w14:paraId="54D581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13" w:hRule="atLeast"/>
                <w:jc w:val="center"/>
              </w:trPr>
              <w:tc>
                <w:tcPr>
                  <w:tcW w:w="293" w:type="dxa"/>
                  <w:tcBorders>
                    <w:top w:val="single" w:color="000000" w:sz="12" w:space="0"/>
                    <w:tl2br w:val="nil"/>
                    <w:tr2bl w:val="nil"/>
                  </w:tcBorders>
                  <w:vAlign w:val="center"/>
                </w:tcPr>
                <w:p w14:paraId="3B9927E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olor w:val="auto"/>
                      <w:sz w:val="21"/>
                      <w:szCs w:val="20"/>
                      <w:highlight w:val="none"/>
                    </w:rPr>
                  </w:pPr>
                  <w:r>
                    <w:rPr>
                      <w:rFonts w:ascii="Times New Roman" w:hAnsi="Times New Roman" w:eastAsia="宋体" w:cs="Times New Roman"/>
                      <w:color w:val="auto"/>
                      <w:position w:val="1"/>
                      <w:sz w:val="21"/>
                      <w:szCs w:val="20"/>
                      <w:highlight w:val="none"/>
                    </w:rPr>
                    <w:t>1</w:t>
                  </w:r>
                </w:p>
              </w:tc>
              <w:tc>
                <w:tcPr>
                  <w:tcW w:w="651" w:type="dxa"/>
                  <w:tcBorders>
                    <w:top w:val="single" w:color="000000" w:sz="12" w:space="0"/>
                    <w:tl2br w:val="nil"/>
                    <w:tr2bl w:val="nil"/>
                  </w:tcBorders>
                  <w:vAlign w:val="center"/>
                </w:tcPr>
                <w:p w14:paraId="296E7F28">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pacing w:val="7"/>
                      <w:sz w:val="21"/>
                      <w:highlight w:val="none"/>
                    </w:rPr>
                  </w:pPr>
                  <w:r>
                    <w:rPr>
                      <w:rFonts w:hint="eastAsia" w:ascii="Times New Roman" w:hAnsi="Times New Roman" w:eastAsia="宋体"/>
                      <w:color w:val="auto"/>
                      <w:spacing w:val="7"/>
                      <w:sz w:val="21"/>
                      <w:highlight w:val="none"/>
                      <w:lang w:val="en-US" w:eastAsia="zh-CN"/>
                    </w:rPr>
                    <w:t>污水处理设施污泥</w:t>
                  </w:r>
                </w:p>
              </w:tc>
              <w:tc>
                <w:tcPr>
                  <w:tcW w:w="631" w:type="dxa"/>
                  <w:tcBorders>
                    <w:top w:val="single" w:color="000000" w:sz="12" w:space="0"/>
                    <w:tl2br w:val="nil"/>
                    <w:tr2bl w:val="nil"/>
                  </w:tcBorders>
                  <w:vAlign w:val="center"/>
                </w:tcPr>
                <w:p w14:paraId="52CB05C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olor w:val="auto"/>
                      <w:sz w:val="21"/>
                      <w:szCs w:val="20"/>
                      <w:highlight w:val="none"/>
                    </w:rPr>
                  </w:pPr>
                  <w:r>
                    <w:rPr>
                      <w:rFonts w:ascii="Times New Roman" w:hAnsi="Times New Roman" w:eastAsia="宋体" w:cs="Times New Roman"/>
                      <w:color w:val="auto"/>
                      <w:position w:val="2"/>
                      <w:sz w:val="21"/>
                      <w:szCs w:val="20"/>
                      <w:highlight w:val="none"/>
                    </w:rPr>
                    <w:t>HW</w:t>
                  </w:r>
                  <w:r>
                    <w:rPr>
                      <w:rFonts w:ascii="Times New Roman" w:hAnsi="Times New Roman" w:eastAsia="宋体" w:cs="Times New Roman"/>
                      <w:color w:val="auto"/>
                      <w:spacing w:val="10"/>
                      <w:position w:val="2"/>
                      <w:sz w:val="21"/>
                      <w:szCs w:val="20"/>
                      <w:highlight w:val="none"/>
                    </w:rPr>
                    <w:t>49</w:t>
                  </w:r>
                </w:p>
              </w:tc>
              <w:tc>
                <w:tcPr>
                  <w:tcW w:w="1236" w:type="dxa"/>
                  <w:tcBorders>
                    <w:top w:val="single" w:color="000000" w:sz="12" w:space="0"/>
                    <w:tl2br w:val="nil"/>
                    <w:tr2bl w:val="nil"/>
                  </w:tcBorders>
                  <w:vAlign w:val="center"/>
                </w:tcPr>
                <w:p w14:paraId="157C6FF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olor w:val="auto"/>
                      <w:sz w:val="21"/>
                      <w:szCs w:val="20"/>
                      <w:highlight w:val="none"/>
                    </w:rPr>
                  </w:pPr>
                  <w:r>
                    <w:rPr>
                      <w:rFonts w:hint="eastAsia" w:ascii="Times New Roman" w:hAnsi="Times New Roman" w:eastAsia="宋体" w:cs="Times New Roman"/>
                      <w:color w:val="auto"/>
                      <w:spacing w:val="3"/>
                      <w:position w:val="1"/>
                      <w:sz w:val="21"/>
                      <w:szCs w:val="20"/>
                      <w:highlight w:val="none"/>
                    </w:rPr>
                    <w:t>8</w:t>
                  </w:r>
                  <w:r>
                    <w:rPr>
                      <w:rFonts w:hint="eastAsia" w:cs="Times New Roman"/>
                      <w:color w:val="auto"/>
                      <w:spacing w:val="3"/>
                      <w:position w:val="1"/>
                      <w:sz w:val="21"/>
                      <w:szCs w:val="20"/>
                      <w:highlight w:val="none"/>
                      <w:lang w:val="en-US" w:eastAsia="zh-CN"/>
                    </w:rPr>
                    <w:t>4</w:t>
                  </w:r>
                  <w:r>
                    <w:rPr>
                      <w:rFonts w:hint="eastAsia" w:ascii="Times New Roman" w:hAnsi="Times New Roman" w:eastAsia="宋体" w:cs="Times New Roman"/>
                      <w:color w:val="auto"/>
                      <w:spacing w:val="3"/>
                      <w:position w:val="1"/>
                      <w:sz w:val="21"/>
                      <w:szCs w:val="20"/>
                      <w:highlight w:val="none"/>
                    </w:rPr>
                    <w:t>1-001-01</w:t>
                  </w:r>
                </w:p>
              </w:tc>
              <w:tc>
                <w:tcPr>
                  <w:tcW w:w="1008" w:type="dxa"/>
                  <w:tcBorders>
                    <w:top w:val="single" w:color="000000" w:sz="12" w:space="0"/>
                    <w:tl2br w:val="nil"/>
                    <w:tr2bl w:val="nil"/>
                  </w:tcBorders>
                  <w:vAlign w:val="center"/>
                </w:tcPr>
                <w:p w14:paraId="18E1CD1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0"/>
                      <w:highlight w:val="none"/>
                      <w:lang w:val="en-US" w:eastAsia="zh-CN"/>
                    </w:rPr>
                  </w:pPr>
                  <w:r>
                    <w:rPr>
                      <w:rFonts w:hint="eastAsia" w:cs="Times New Roman"/>
                      <w:color w:val="auto"/>
                      <w:sz w:val="21"/>
                      <w:szCs w:val="20"/>
                      <w:highlight w:val="none"/>
                      <w:lang w:val="en-US" w:eastAsia="zh-CN"/>
                    </w:rPr>
                    <w:t>4.245</w:t>
                  </w:r>
                </w:p>
              </w:tc>
              <w:tc>
                <w:tcPr>
                  <w:tcW w:w="721" w:type="dxa"/>
                  <w:tcBorders>
                    <w:top w:val="single" w:color="000000" w:sz="12" w:space="0"/>
                    <w:tl2br w:val="nil"/>
                    <w:tr2bl w:val="nil"/>
                  </w:tcBorders>
                  <w:vAlign w:val="center"/>
                </w:tcPr>
                <w:p w14:paraId="53165F64">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color w:val="auto"/>
                      <w:sz w:val="21"/>
                      <w:highlight w:val="none"/>
                      <w:lang w:val="en-US" w:eastAsia="zh-CN"/>
                    </w:rPr>
                    <w:t>污水处理</w:t>
                  </w:r>
                </w:p>
              </w:tc>
              <w:tc>
                <w:tcPr>
                  <w:tcW w:w="327" w:type="dxa"/>
                  <w:tcBorders>
                    <w:top w:val="single" w:color="000000" w:sz="12" w:space="0"/>
                    <w:tl2br w:val="nil"/>
                    <w:tr2bl w:val="nil"/>
                  </w:tcBorders>
                  <w:vAlign w:val="center"/>
                </w:tcPr>
                <w:p w14:paraId="7D1534BB">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固</w:t>
                  </w:r>
                </w:p>
              </w:tc>
              <w:tc>
                <w:tcPr>
                  <w:tcW w:w="540" w:type="dxa"/>
                  <w:tcBorders>
                    <w:top w:val="single" w:color="000000" w:sz="12" w:space="0"/>
                    <w:tl2br w:val="nil"/>
                    <w:tr2bl w:val="nil"/>
                  </w:tcBorders>
                  <w:vAlign w:val="center"/>
                </w:tcPr>
                <w:p w14:paraId="423D30E8">
                  <w:pPr>
                    <w:pStyle w:val="115"/>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pacing w:val="3"/>
                      <w:sz w:val="21"/>
                      <w:highlight w:val="none"/>
                    </w:rPr>
                    <w:t>污泥</w:t>
                  </w:r>
                </w:p>
              </w:tc>
              <w:tc>
                <w:tcPr>
                  <w:tcW w:w="1000" w:type="dxa"/>
                  <w:tcBorders>
                    <w:top w:val="single" w:color="000000" w:sz="12" w:space="0"/>
                    <w:tl2br w:val="nil"/>
                    <w:tr2bl w:val="nil"/>
                  </w:tcBorders>
                  <w:vAlign w:val="center"/>
                </w:tcPr>
                <w:p w14:paraId="5A59579E">
                  <w:pPr>
                    <w:pStyle w:val="115"/>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pacing w:val="3"/>
                      <w:sz w:val="21"/>
                      <w:highlight w:val="none"/>
                    </w:rPr>
                    <w:t>污泥</w:t>
                  </w:r>
                </w:p>
              </w:tc>
              <w:tc>
                <w:tcPr>
                  <w:tcW w:w="366" w:type="dxa"/>
                  <w:tcBorders>
                    <w:top w:val="single" w:color="000000" w:sz="12" w:space="0"/>
                    <w:tl2br w:val="nil"/>
                    <w:tr2bl w:val="nil"/>
                  </w:tcBorders>
                  <w:vAlign w:val="center"/>
                </w:tcPr>
                <w:p w14:paraId="13015C8B">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color w:val="auto"/>
                      <w:sz w:val="21"/>
                      <w:highlight w:val="none"/>
                      <w:lang w:val="en-US" w:eastAsia="zh-CN"/>
                    </w:rPr>
                    <w:t>一年</w:t>
                  </w:r>
                </w:p>
              </w:tc>
              <w:tc>
                <w:tcPr>
                  <w:tcW w:w="917" w:type="dxa"/>
                  <w:tcBorders>
                    <w:top w:val="single" w:color="000000" w:sz="12" w:space="0"/>
                    <w:tl2br w:val="nil"/>
                    <w:tr2bl w:val="nil"/>
                  </w:tcBorders>
                  <w:vAlign w:val="center"/>
                </w:tcPr>
                <w:p w14:paraId="2EADBA0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olor w:val="auto"/>
                      <w:sz w:val="21"/>
                      <w:szCs w:val="20"/>
                      <w:highlight w:val="none"/>
                    </w:rPr>
                  </w:pPr>
                  <w:r>
                    <w:rPr>
                      <w:rFonts w:ascii="Times New Roman" w:hAnsi="Times New Roman" w:eastAsia="宋体" w:cs="Times New Roman"/>
                      <w:color w:val="auto"/>
                      <w:spacing w:val="4"/>
                      <w:position w:val="1"/>
                      <w:sz w:val="21"/>
                      <w:szCs w:val="20"/>
                      <w:highlight w:val="none"/>
                    </w:rPr>
                    <w:t>T/</w:t>
                  </w:r>
                  <w:r>
                    <w:rPr>
                      <w:rFonts w:ascii="Times New Roman" w:hAnsi="Times New Roman" w:eastAsia="宋体" w:cs="Times New Roman"/>
                      <w:color w:val="auto"/>
                      <w:position w:val="1"/>
                      <w:sz w:val="21"/>
                      <w:szCs w:val="20"/>
                      <w:highlight w:val="none"/>
                    </w:rPr>
                    <w:t>In</w:t>
                  </w:r>
                </w:p>
              </w:tc>
              <w:tc>
                <w:tcPr>
                  <w:tcW w:w="1240" w:type="dxa"/>
                  <w:vMerge w:val="restart"/>
                  <w:tcBorders>
                    <w:top w:val="single" w:color="000000" w:sz="12" w:space="0"/>
                    <w:tl2br w:val="nil"/>
                    <w:tr2bl w:val="nil"/>
                  </w:tcBorders>
                  <w:vAlign w:val="center"/>
                </w:tcPr>
                <w:p w14:paraId="2EF51408">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color w:val="auto"/>
                      <w:spacing w:val="6"/>
                      <w:sz w:val="21"/>
                      <w:highlight w:val="none"/>
                    </w:rPr>
                    <w:t>暂存于危废</w:t>
                  </w:r>
                  <w:r>
                    <w:rPr>
                      <w:rFonts w:ascii="Times New Roman" w:hAnsi="Times New Roman" w:eastAsia="宋体"/>
                      <w:color w:val="auto"/>
                      <w:spacing w:val="-6"/>
                      <w:sz w:val="21"/>
                      <w:highlight w:val="none"/>
                    </w:rPr>
                    <w:t>暂存库内，委</w:t>
                  </w:r>
                  <w:r>
                    <w:rPr>
                      <w:rFonts w:ascii="Times New Roman" w:hAnsi="Times New Roman" w:eastAsia="宋体"/>
                      <w:color w:val="auto"/>
                      <w:spacing w:val="19"/>
                      <w:sz w:val="21"/>
                      <w:highlight w:val="none"/>
                    </w:rPr>
                    <w:t>托有危废处</w:t>
                  </w:r>
                  <w:r>
                    <w:rPr>
                      <w:rFonts w:ascii="Times New Roman" w:hAnsi="Times New Roman" w:eastAsia="宋体"/>
                      <w:color w:val="auto"/>
                      <w:spacing w:val="8"/>
                      <w:sz w:val="21"/>
                      <w:highlight w:val="none"/>
                    </w:rPr>
                    <w:t>置资质单位</w:t>
                  </w:r>
                  <w:r>
                    <w:rPr>
                      <w:rFonts w:ascii="Times New Roman" w:hAnsi="Times New Roman" w:eastAsia="宋体"/>
                      <w:color w:val="auto"/>
                      <w:spacing w:val="7"/>
                      <w:sz w:val="21"/>
                      <w:highlight w:val="none"/>
                    </w:rPr>
                    <w:t>进行处理</w:t>
                  </w:r>
                </w:p>
              </w:tc>
            </w:tr>
            <w:tr w14:paraId="641E350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13" w:hRule="atLeast"/>
                <w:jc w:val="center"/>
              </w:trPr>
              <w:tc>
                <w:tcPr>
                  <w:tcW w:w="293" w:type="dxa"/>
                  <w:tcBorders>
                    <w:tl2br w:val="nil"/>
                    <w:tr2bl w:val="nil"/>
                  </w:tcBorders>
                  <w:vAlign w:val="center"/>
                </w:tcPr>
                <w:p w14:paraId="6167A9C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olor w:val="auto"/>
                      <w:sz w:val="21"/>
                      <w:szCs w:val="20"/>
                      <w:highlight w:val="none"/>
                    </w:rPr>
                  </w:pPr>
                  <w:r>
                    <w:rPr>
                      <w:rFonts w:ascii="Times New Roman" w:hAnsi="Times New Roman" w:eastAsia="宋体" w:cs="Times New Roman"/>
                      <w:color w:val="auto"/>
                      <w:position w:val="1"/>
                      <w:sz w:val="21"/>
                      <w:szCs w:val="20"/>
                      <w:highlight w:val="none"/>
                    </w:rPr>
                    <w:t>2</w:t>
                  </w:r>
                </w:p>
              </w:tc>
              <w:tc>
                <w:tcPr>
                  <w:tcW w:w="651" w:type="dxa"/>
                  <w:tcBorders>
                    <w:tl2br w:val="nil"/>
                    <w:tr2bl w:val="nil"/>
                  </w:tcBorders>
                  <w:vAlign w:val="center"/>
                </w:tcPr>
                <w:p w14:paraId="33D05A5A">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rPr>
                    <w:t>废活性</w:t>
                  </w:r>
                </w:p>
                <w:p w14:paraId="5B091CA1">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olor w:val="auto"/>
                      <w:spacing w:val="7"/>
                      <w:sz w:val="21"/>
                      <w:highlight w:val="none"/>
                      <w:lang w:val="en-US" w:eastAsia="zh-CN"/>
                    </w:rPr>
                  </w:pPr>
                  <w:r>
                    <w:rPr>
                      <w:rFonts w:ascii="Times New Roman" w:hAnsi="Times New Roman" w:eastAsia="宋体"/>
                      <w:color w:val="auto"/>
                      <w:spacing w:val="7"/>
                      <w:sz w:val="21"/>
                      <w:highlight w:val="none"/>
                    </w:rPr>
                    <w:t>炭</w:t>
                  </w:r>
                </w:p>
              </w:tc>
              <w:tc>
                <w:tcPr>
                  <w:tcW w:w="631" w:type="dxa"/>
                  <w:tcBorders>
                    <w:tl2br w:val="nil"/>
                    <w:tr2bl w:val="nil"/>
                  </w:tcBorders>
                  <w:vAlign w:val="center"/>
                </w:tcPr>
                <w:p w14:paraId="7FE8EED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s="Times New Roman"/>
                      <w:color w:val="auto"/>
                      <w:position w:val="2"/>
                      <w:sz w:val="21"/>
                      <w:szCs w:val="20"/>
                      <w:highlight w:val="none"/>
                    </w:rPr>
                  </w:pPr>
                  <w:r>
                    <w:rPr>
                      <w:rFonts w:ascii="Times New Roman" w:hAnsi="Times New Roman" w:eastAsia="宋体" w:cs="Times New Roman"/>
                      <w:color w:val="auto"/>
                      <w:position w:val="2"/>
                      <w:sz w:val="21"/>
                      <w:szCs w:val="20"/>
                      <w:highlight w:val="none"/>
                    </w:rPr>
                    <w:t>HW</w:t>
                  </w:r>
                  <w:r>
                    <w:rPr>
                      <w:rFonts w:ascii="Times New Roman" w:hAnsi="Times New Roman" w:eastAsia="宋体" w:cs="Times New Roman"/>
                      <w:color w:val="auto"/>
                      <w:spacing w:val="11"/>
                      <w:position w:val="2"/>
                      <w:sz w:val="21"/>
                      <w:szCs w:val="20"/>
                      <w:highlight w:val="none"/>
                    </w:rPr>
                    <w:t>49</w:t>
                  </w:r>
                </w:p>
              </w:tc>
              <w:tc>
                <w:tcPr>
                  <w:tcW w:w="1236" w:type="dxa"/>
                  <w:tcBorders>
                    <w:tl2br w:val="nil"/>
                    <w:tr2bl w:val="nil"/>
                  </w:tcBorders>
                  <w:vAlign w:val="center"/>
                </w:tcPr>
                <w:p w14:paraId="4791AA4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olor w:val="auto"/>
                      <w:sz w:val="21"/>
                      <w:szCs w:val="20"/>
                      <w:highlight w:val="none"/>
                    </w:rPr>
                  </w:pPr>
                  <w:r>
                    <w:rPr>
                      <w:rFonts w:ascii="Times New Roman" w:hAnsi="Times New Roman" w:eastAsia="宋体" w:cs="Times New Roman"/>
                      <w:color w:val="auto"/>
                      <w:spacing w:val="3"/>
                      <w:position w:val="1"/>
                      <w:sz w:val="21"/>
                      <w:szCs w:val="20"/>
                      <w:highlight w:val="none"/>
                    </w:rPr>
                    <w:t>900-0</w:t>
                  </w:r>
                  <w:r>
                    <w:rPr>
                      <w:rFonts w:hint="eastAsia" w:cs="Times New Roman"/>
                      <w:color w:val="auto"/>
                      <w:spacing w:val="3"/>
                      <w:position w:val="1"/>
                      <w:sz w:val="21"/>
                      <w:szCs w:val="20"/>
                      <w:highlight w:val="none"/>
                      <w:lang w:val="en-US" w:eastAsia="zh-CN"/>
                    </w:rPr>
                    <w:t>41</w:t>
                  </w:r>
                  <w:r>
                    <w:rPr>
                      <w:rFonts w:ascii="Times New Roman" w:hAnsi="Times New Roman" w:eastAsia="宋体" w:cs="Times New Roman"/>
                      <w:color w:val="auto"/>
                      <w:spacing w:val="3"/>
                      <w:position w:val="1"/>
                      <w:sz w:val="21"/>
                      <w:szCs w:val="20"/>
                      <w:highlight w:val="none"/>
                    </w:rPr>
                    <w:t>-</w:t>
                  </w:r>
                </w:p>
                <w:p w14:paraId="726450F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s="Times New Roman"/>
                      <w:color w:val="auto"/>
                      <w:position w:val="2"/>
                      <w:sz w:val="21"/>
                      <w:szCs w:val="20"/>
                      <w:highlight w:val="none"/>
                    </w:rPr>
                  </w:pPr>
                  <w:r>
                    <w:rPr>
                      <w:rFonts w:ascii="Times New Roman" w:hAnsi="Times New Roman" w:eastAsia="宋体" w:cs="Times New Roman"/>
                      <w:color w:val="auto"/>
                      <w:spacing w:val="3"/>
                      <w:position w:val="1"/>
                      <w:sz w:val="21"/>
                      <w:szCs w:val="20"/>
                      <w:highlight w:val="none"/>
                    </w:rPr>
                    <w:t>49</w:t>
                  </w:r>
                </w:p>
              </w:tc>
              <w:tc>
                <w:tcPr>
                  <w:tcW w:w="1008" w:type="dxa"/>
                  <w:tcBorders>
                    <w:tl2br w:val="nil"/>
                    <w:tr2bl w:val="nil"/>
                  </w:tcBorders>
                  <w:vAlign w:val="center"/>
                </w:tcPr>
                <w:p w14:paraId="2FE9DD9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s="Times New Roman"/>
                      <w:color w:val="auto"/>
                      <w:sz w:val="21"/>
                      <w:szCs w:val="20"/>
                      <w:highlight w:val="none"/>
                    </w:rPr>
                  </w:pPr>
                  <w:r>
                    <w:rPr>
                      <w:rFonts w:hint="eastAsia" w:cs="Times New Roman"/>
                      <w:color w:val="auto"/>
                      <w:highlight w:val="none"/>
                      <w:lang w:val="en-US" w:eastAsia="zh-CN"/>
                    </w:rPr>
                    <w:t>0.01577</w:t>
                  </w:r>
                </w:p>
              </w:tc>
              <w:tc>
                <w:tcPr>
                  <w:tcW w:w="721" w:type="dxa"/>
                  <w:tcBorders>
                    <w:tl2br w:val="nil"/>
                    <w:tr2bl w:val="nil"/>
                  </w:tcBorders>
                  <w:vAlign w:val="center"/>
                </w:tcPr>
                <w:p w14:paraId="7C522D20">
                  <w:pPr>
                    <w:pStyle w:val="115"/>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pacing w:val="5"/>
                      <w:sz w:val="21"/>
                      <w:highlight w:val="none"/>
                    </w:rPr>
                    <w:t>活性炭</w:t>
                  </w:r>
                  <w:r>
                    <w:rPr>
                      <w:rFonts w:ascii="Times New Roman" w:hAnsi="Times New Roman" w:eastAsia="宋体"/>
                      <w:color w:val="auto"/>
                      <w:sz w:val="21"/>
                      <w:highlight w:val="none"/>
                    </w:rPr>
                    <w:t>吸附</w:t>
                  </w:r>
                </w:p>
              </w:tc>
              <w:tc>
                <w:tcPr>
                  <w:tcW w:w="327" w:type="dxa"/>
                  <w:tcBorders>
                    <w:tl2br w:val="nil"/>
                    <w:tr2bl w:val="nil"/>
                  </w:tcBorders>
                  <w:vAlign w:val="center"/>
                </w:tcPr>
                <w:p w14:paraId="3CE8159D">
                  <w:pPr>
                    <w:pStyle w:val="115"/>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固</w:t>
                  </w:r>
                </w:p>
              </w:tc>
              <w:tc>
                <w:tcPr>
                  <w:tcW w:w="540" w:type="dxa"/>
                  <w:tcBorders>
                    <w:tl2br w:val="nil"/>
                    <w:tr2bl w:val="nil"/>
                  </w:tcBorders>
                  <w:vAlign w:val="center"/>
                </w:tcPr>
                <w:p w14:paraId="7D6A5CDA">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吸附</w:t>
                  </w:r>
                </w:p>
                <w:p w14:paraId="4BABCB9E">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color w:val="auto"/>
                      <w:spacing w:val="5"/>
                      <w:sz w:val="21"/>
                      <w:highlight w:val="none"/>
                    </w:rPr>
                    <w:t>废气</w:t>
                  </w:r>
                </w:p>
                <w:p w14:paraId="07B7D484">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color w:val="auto"/>
                      <w:spacing w:val="-4"/>
                      <w:sz w:val="21"/>
                      <w:highlight w:val="none"/>
                    </w:rPr>
                    <w:t>的活</w:t>
                  </w:r>
                </w:p>
                <w:p w14:paraId="53742ADA">
                  <w:pPr>
                    <w:pStyle w:val="115"/>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pacing w:val="4"/>
                      <w:sz w:val="21"/>
                      <w:highlight w:val="none"/>
                    </w:rPr>
                    <w:t>性炭</w:t>
                  </w:r>
                </w:p>
              </w:tc>
              <w:tc>
                <w:tcPr>
                  <w:tcW w:w="1000" w:type="dxa"/>
                  <w:tcBorders>
                    <w:tl2br w:val="nil"/>
                    <w:tr2bl w:val="nil"/>
                  </w:tcBorders>
                  <w:vAlign w:val="center"/>
                </w:tcPr>
                <w:p w14:paraId="40C31438">
                  <w:pPr>
                    <w:pStyle w:val="115"/>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olor w:val="auto"/>
                      <w:sz w:val="21"/>
                      <w:highlight w:val="none"/>
                    </w:rPr>
                  </w:pPr>
                  <w:r>
                    <w:rPr>
                      <w:rFonts w:ascii="Times New Roman" w:hAnsi="Times New Roman" w:eastAsia="宋体"/>
                      <w:color w:val="auto"/>
                      <w:spacing w:val="4"/>
                      <w:sz w:val="21"/>
                      <w:highlight w:val="none"/>
                    </w:rPr>
                    <w:t>有机</w:t>
                  </w:r>
                  <w:r>
                    <w:rPr>
                      <w:rFonts w:ascii="Times New Roman" w:hAnsi="Times New Roman" w:eastAsia="宋体"/>
                      <w:color w:val="auto"/>
                      <w:sz w:val="21"/>
                      <w:highlight w:val="none"/>
                    </w:rPr>
                    <w:t>物</w:t>
                  </w:r>
                </w:p>
              </w:tc>
              <w:tc>
                <w:tcPr>
                  <w:tcW w:w="366" w:type="dxa"/>
                  <w:tcBorders>
                    <w:tl2br w:val="nil"/>
                    <w:tr2bl w:val="nil"/>
                  </w:tcBorders>
                  <w:vAlign w:val="center"/>
                </w:tcPr>
                <w:p w14:paraId="5AB511EE">
                  <w:pPr>
                    <w:pStyle w:val="115"/>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olor w:val="auto"/>
                      <w:sz w:val="21"/>
                      <w:highlight w:val="none"/>
                    </w:rPr>
                  </w:pPr>
                  <w:r>
                    <w:rPr>
                      <w:rFonts w:hint="eastAsia" w:ascii="Times New Roman" w:hAnsi="Times New Roman"/>
                      <w:color w:val="auto"/>
                      <w:sz w:val="21"/>
                      <w:highlight w:val="none"/>
                      <w:lang w:val="en-US" w:eastAsia="zh-CN"/>
                    </w:rPr>
                    <w:t>一年</w:t>
                  </w:r>
                </w:p>
              </w:tc>
              <w:tc>
                <w:tcPr>
                  <w:tcW w:w="917" w:type="dxa"/>
                  <w:tcBorders>
                    <w:tl2br w:val="nil"/>
                    <w:tr2bl w:val="nil"/>
                  </w:tcBorders>
                  <w:vAlign w:val="center"/>
                </w:tcPr>
                <w:p w14:paraId="012F7F1D">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ascii="Times New Roman" w:hAnsi="Times New Roman" w:eastAsia="宋体" w:cs="Times New Roman"/>
                      <w:color w:val="auto"/>
                      <w:sz w:val="21"/>
                      <w:szCs w:val="20"/>
                      <w:highlight w:val="none"/>
                    </w:rPr>
                  </w:pPr>
                  <w:r>
                    <w:rPr>
                      <w:rFonts w:ascii="Times New Roman" w:hAnsi="Times New Roman" w:eastAsia="宋体" w:cs="Times New Roman"/>
                      <w:color w:val="auto"/>
                      <w:sz w:val="21"/>
                      <w:szCs w:val="20"/>
                      <w:highlight w:val="none"/>
                    </w:rPr>
                    <w:t>T</w:t>
                  </w:r>
                </w:p>
              </w:tc>
              <w:tc>
                <w:tcPr>
                  <w:tcW w:w="1240" w:type="dxa"/>
                  <w:vMerge w:val="continue"/>
                  <w:tcBorders>
                    <w:tl2br w:val="nil"/>
                    <w:tr2bl w:val="nil"/>
                  </w:tcBorders>
                  <w:vAlign w:val="center"/>
                </w:tcPr>
                <w:p w14:paraId="52823C0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p>
              </w:tc>
            </w:tr>
            <w:tr w14:paraId="7C8910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13" w:hRule="atLeast"/>
                <w:jc w:val="center"/>
              </w:trPr>
              <w:tc>
                <w:tcPr>
                  <w:tcW w:w="293" w:type="dxa"/>
                  <w:tcBorders>
                    <w:tl2br w:val="nil"/>
                    <w:tr2bl w:val="nil"/>
                  </w:tcBorders>
                  <w:vAlign w:val="center"/>
                </w:tcPr>
                <w:p w14:paraId="4DD7130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olor w:val="auto"/>
                      <w:sz w:val="21"/>
                      <w:szCs w:val="20"/>
                      <w:highlight w:val="none"/>
                    </w:rPr>
                  </w:pPr>
                  <w:r>
                    <w:rPr>
                      <w:rFonts w:ascii="Times New Roman" w:hAnsi="Times New Roman" w:eastAsia="宋体" w:cs="Times New Roman"/>
                      <w:color w:val="auto"/>
                      <w:position w:val="2"/>
                      <w:sz w:val="21"/>
                      <w:szCs w:val="20"/>
                      <w:highlight w:val="none"/>
                    </w:rPr>
                    <w:t>3</w:t>
                  </w:r>
                </w:p>
              </w:tc>
              <w:tc>
                <w:tcPr>
                  <w:tcW w:w="651" w:type="dxa"/>
                  <w:tcBorders>
                    <w:tl2br w:val="nil"/>
                    <w:tr2bl w:val="nil"/>
                  </w:tcBorders>
                  <w:vAlign w:val="center"/>
                </w:tcPr>
                <w:p w14:paraId="776C3C8F">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lang w:val="en-US" w:eastAsia="zh-CN"/>
                    </w:rPr>
                    <w:t>医疗废物</w:t>
                  </w:r>
                </w:p>
              </w:tc>
              <w:tc>
                <w:tcPr>
                  <w:tcW w:w="631" w:type="dxa"/>
                  <w:tcBorders>
                    <w:tl2br w:val="nil"/>
                    <w:tr2bl w:val="nil"/>
                  </w:tcBorders>
                  <w:vAlign w:val="center"/>
                </w:tcPr>
                <w:p w14:paraId="693E29E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olor w:val="auto"/>
                      <w:sz w:val="21"/>
                      <w:szCs w:val="20"/>
                      <w:highlight w:val="none"/>
                    </w:rPr>
                  </w:pPr>
                  <w:r>
                    <w:rPr>
                      <w:rFonts w:ascii="Times New Roman" w:hAnsi="Times New Roman" w:eastAsia="宋体" w:cs="Times New Roman"/>
                      <w:color w:val="auto"/>
                      <w:position w:val="2"/>
                      <w:sz w:val="21"/>
                      <w:szCs w:val="20"/>
                      <w:highlight w:val="none"/>
                    </w:rPr>
                    <w:t>HW</w:t>
                  </w:r>
                  <w:r>
                    <w:rPr>
                      <w:rFonts w:hint="eastAsia" w:cs="Times New Roman"/>
                      <w:color w:val="auto"/>
                      <w:spacing w:val="11"/>
                      <w:position w:val="2"/>
                      <w:sz w:val="21"/>
                      <w:szCs w:val="20"/>
                      <w:highlight w:val="none"/>
                      <w:lang w:val="en-US" w:eastAsia="zh-CN"/>
                    </w:rPr>
                    <w:t>01</w:t>
                  </w:r>
                </w:p>
              </w:tc>
              <w:tc>
                <w:tcPr>
                  <w:tcW w:w="1236" w:type="dxa"/>
                  <w:tcBorders>
                    <w:tl2br w:val="nil"/>
                    <w:tr2bl w:val="nil"/>
                  </w:tcBorders>
                  <w:vAlign w:val="center"/>
                </w:tcPr>
                <w:p w14:paraId="00E4EED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color w:val="auto"/>
                      <w:spacing w:val="3"/>
                      <w:position w:val="1"/>
                      <w:sz w:val="21"/>
                      <w:szCs w:val="20"/>
                      <w:highlight w:val="none"/>
                      <w:lang w:eastAsia="zh-CN"/>
                    </w:rPr>
                  </w:pPr>
                  <w:r>
                    <w:rPr>
                      <w:rFonts w:hint="eastAsia" w:ascii="Times New Roman" w:hAnsi="Times New Roman" w:eastAsia="宋体" w:cs="Times New Roman"/>
                      <w:color w:val="auto"/>
                      <w:spacing w:val="3"/>
                      <w:position w:val="1"/>
                      <w:sz w:val="21"/>
                      <w:szCs w:val="20"/>
                      <w:highlight w:val="none"/>
                    </w:rPr>
                    <w:t>8</w:t>
                  </w:r>
                  <w:r>
                    <w:rPr>
                      <w:rFonts w:hint="eastAsia" w:cs="Times New Roman"/>
                      <w:color w:val="auto"/>
                      <w:spacing w:val="3"/>
                      <w:position w:val="1"/>
                      <w:sz w:val="21"/>
                      <w:szCs w:val="20"/>
                      <w:highlight w:val="none"/>
                      <w:lang w:val="en-US" w:eastAsia="zh-CN"/>
                    </w:rPr>
                    <w:t>4</w:t>
                  </w:r>
                  <w:r>
                    <w:rPr>
                      <w:rFonts w:hint="eastAsia" w:ascii="Times New Roman" w:hAnsi="Times New Roman" w:eastAsia="宋体" w:cs="Times New Roman"/>
                      <w:color w:val="auto"/>
                      <w:spacing w:val="3"/>
                      <w:position w:val="1"/>
                      <w:sz w:val="21"/>
                      <w:szCs w:val="20"/>
                      <w:highlight w:val="none"/>
                    </w:rPr>
                    <w:t>1-001-01</w:t>
                  </w:r>
                  <w:r>
                    <w:rPr>
                      <w:rFonts w:hint="eastAsia" w:cs="Times New Roman"/>
                      <w:color w:val="auto"/>
                      <w:spacing w:val="3"/>
                      <w:position w:val="1"/>
                      <w:sz w:val="21"/>
                      <w:szCs w:val="20"/>
                      <w:highlight w:val="none"/>
                      <w:lang w:eastAsia="zh-CN"/>
                    </w:rPr>
                    <w:t>、</w:t>
                  </w:r>
                </w:p>
                <w:p w14:paraId="53D1187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olor w:val="auto"/>
                      <w:sz w:val="21"/>
                      <w:szCs w:val="20"/>
                      <w:highlight w:val="none"/>
                    </w:rPr>
                  </w:pPr>
                  <w:r>
                    <w:rPr>
                      <w:rFonts w:hint="eastAsia" w:ascii="Times New Roman" w:hAnsi="Times New Roman" w:eastAsia="宋体" w:cs="Times New Roman"/>
                      <w:color w:val="auto"/>
                      <w:spacing w:val="3"/>
                      <w:position w:val="1"/>
                      <w:sz w:val="21"/>
                      <w:szCs w:val="20"/>
                      <w:highlight w:val="none"/>
                    </w:rPr>
                    <w:t>8</w:t>
                  </w:r>
                  <w:r>
                    <w:rPr>
                      <w:rFonts w:hint="eastAsia" w:cs="Times New Roman"/>
                      <w:color w:val="auto"/>
                      <w:spacing w:val="3"/>
                      <w:position w:val="1"/>
                      <w:sz w:val="21"/>
                      <w:szCs w:val="20"/>
                      <w:highlight w:val="none"/>
                      <w:lang w:val="en-US" w:eastAsia="zh-CN"/>
                    </w:rPr>
                    <w:t>4</w:t>
                  </w:r>
                  <w:r>
                    <w:rPr>
                      <w:rFonts w:hint="eastAsia" w:ascii="Times New Roman" w:hAnsi="Times New Roman" w:eastAsia="宋体" w:cs="Times New Roman"/>
                      <w:color w:val="auto"/>
                      <w:spacing w:val="3"/>
                      <w:position w:val="1"/>
                      <w:sz w:val="21"/>
                      <w:szCs w:val="20"/>
                      <w:highlight w:val="none"/>
                    </w:rPr>
                    <w:t>1-002-01、8</w:t>
                  </w:r>
                  <w:r>
                    <w:rPr>
                      <w:rFonts w:hint="eastAsia" w:cs="Times New Roman"/>
                      <w:color w:val="auto"/>
                      <w:spacing w:val="3"/>
                      <w:position w:val="1"/>
                      <w:sz w:val="21"/>
                      <w:szCs w:val="20"/>
                      <w:highlight w:val="none"/>
                      <w:lang w:val="en-US" w:eastAsia="zh-CN"/>
                    </w:rPr>
                    <w:t>4</w:t>
                  </w:r>
                  <w:r>
                    <w:rPr>
                      <w:rFonts w:hint="eastAsia" w:ascii="Times New Roman" w:hAnsi="Times New Roman" w:eastAsia="宋体" w:cs="Times New Roman"/>
                      <w:color w:val="auto"/>
                      <w:spacing w:val="3"/>
                      <w:position w:val="1"/>
                      <w:sz w:val="21"/>
                      <w:szCs w:val="20"/>
                      <w:highlight w:val="none"/>
                    </w:rPr>
                    <w:t>1-003-01、8</w:t>
                  </w:r>
                  <w:r>
                    <w:rPr>
                      <w:rFonts w:hint="eastAsia" w:cs="Times New Roman"/>
                      <w:color w:val="auto"/>
                      <w:spacing w:val="3"/>
                      <w:position w:val="1"/>
                      <w:sz w:val="21"/>
                      <w:szCs w:val="20"/>
                      <w:highlight w:val="none"/>
                      <w:lang w:val="en-US" w:eastAsia="zh-CN"/>
                    </w:rPr>
                    <w:t>4</w:t>
                  </w:r>
                  <w:r>
                    <w:rPr>
                      <w:rFonts w:hint="eastAsia" w:ascii="Times New Roman" w:hAnsi="Times New Roman" w:eastAsia="宋体" w:cs="Times New Roman"/>
                      <w:color w:val="auto"/>
                      <w:spacing w:val="3"/>
                      <w:position w:val="1"/>
                      <w:sz w:val="21"/>
                      <w:szCs w:val="20"/>
                      <w:highlight w:val="none"/>
                    </w:rPr>
                    <w:t>1-004-01、8</w:t>
                  </w:r>
                  <w:r>
                    <w:rPr>
                      <w:rFonts w:hint="eastAsia" w:cs="Times New Roman"/>
                      <w:color w:val="auto"/>
                      <w:spacing w:val="3"/>
                      <w:position w:val="1"/>
                      <w:sz w:val="21"/>
                      <w:szCs w:val="20"/>
                      <w:highlight w:val="none"/>
                      <w:lang w:val="en-US" w:eastAsia="zh-CN"/>
                    </w:rPr>
                    <w:t>4</w:t>
                  </w:r>
                  <w:r>
                    <w:rPr>
                      <w:rFonts w:hint="eastAsia" w:ascii="Times New Roman" w:hAnsi="Times New Roman" w:eastAsia="宋体" w:cs="Times New Roman"/>
                      <w:color w:val="auto"/>
                      <w:spacing w:val="3"/>
                      <w:position w:val="1"/>
                      <w:sz w:val="21"/>
                      <w:szCs w:val="20"/>
                      <w:highlight w:val="none"/>
                    </w:rPr>
                    <w:t>1-005-01</w:t>
                  </w:r>
                </w:p>
              </w:tc>
              <w:tc>
                <w:tcPr>
                  <w:tcW w:w="1008" w:type="dxa"/>
                  <w:tcBorders>
                    <w:tl2br w:val="nil"/>
                    <w:tr2bl w:val="nil"/>
                  </w:tcBorders>
                  <w:vAlign w:val="center"/>
                </w:tcPr>
                <w:p w14:paraId="6EEA644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0"/>
                      <w:highlight w:val="none"/>
                      <w:lang w:val="en-US" w:eastAsia="zh-CN"/>
                    </w:rPr>
                  </w:pPr>
                  <w:r>
                    <w:rPr>
                      <w:rFonts w:hint="eastAsia" w:cs="Times New Roman"/>
                      <w:color w:val="auto"/>
                      <w:sz w:val="21"/>
                      <w:szCs w:val="20"/>
                      <w:highlight w:val="none"/>
                      <w:lang w:val="en-US" w:eastAsia="zh-CN"/>
                    </w:rPr>
                    <w:t>78.84</w:t>
                  </w:r>
                </w:p>
              </w:tc>
              <w:tc>
                <w:tcPr>
                  <w:tcW w:w="721" w:type="dxa"/>
                  <w:tcBorders>
                    <w:tl2br w:val="nil"/>
                    <w:tr2bl w:val="nil"/>
                  </w:tcBorders>
                  <w:vAlign w:val="center"/>
                </w:tcPr>
                <w:p w14:paraId="621165B8">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color w:val="auto"/>
                      <w:sz w:val="21"/>
                      <w:highlight w:val="none"/>
                      <w:lang w:val="en-US" w:eastAsia="zh-CN"/>
                    </w:rPr>
                    <w:t>诊疗</w:t>
                  </w:r>
                </w:p>
              </w:tc>
              <w:tc>
                <w:tcPr>
                  <w:tcW w:w="327" w:type="dxa"/>
                  <w:tcBorders>
                    <w:tl2br w:val="nil"/>
                    <w:tr2bl w:val="nil"/>
                  </w:tcBorders>
                  <w:vAlign w:val="center"/>
                </w:tcPr>
                <w:p w14:paraId="265FEE55">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固</w:t>
                  </w:r>
                </w:p>
              </w:tc>
              <w:tc>
                <w:tcPr>
                  <w:tcW w:w="540" w:type="dxa"/>
                  <w:tcBorders>
                    <w:tl2br w:val="nil"/>
                    <w:tr2bl w:val="nil"/>
                  </w:tcBorders>
                  <w:vAlign w:val="center"/>
                </w:tcPr>
                <w:p w14:paraId="5B229CFA">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hint="eastAsia" w:ascii="Times New Roman" w:hAnsi="Times New Roman" w:eastAsia="宋体"/>
                      <w:color w:val="auto"/>
                      <w:spacing w:val="3"/>
                      <w:sz w:val="21"/>
                      <w:highlight w:val="none"/>
                    </w:rPr>
                    <w:t>化学试剂、过期药品、</w:t>
                  </w:r>
                  <w:r>
                    <w:rPr>
                      <w:rFonts w:hint="eastAsia" w:ascii="Times New Roman" w:hAnsi="Times New Roman"/>
                      <w:color w:val="auto"/>
                      <w:spacing w:val="3"/>
                      <w:sz w:val="21"/>
                      <w:highlight w:val="none"/>
                      <w:lang w:val="en-US" w:eastAsia="zh-CN"/>
                    </w:rPr>
                    <w:t>一</w:t>
                  </w:r>
                  <w:r>
                    <w:rPr>
                      <w:rFonts w:hint="eastAsia" w:ascii="Times New Roman" w:hAnsi="Times New Roman" w:eastAsia="宋体"/>
                      <w:color w:val="auto"/>
                      <w:spacing w:val="3"/>
                      <w:sz w:val="21"/>
                      <w:highlight w:val="none"/>
                    </w:rPr>
                    <w:t>次性医疗器具</w:t>
                  </w:r>
                </w:p>
              </w:tc>
              <w:tc>
                <w:tcPr>
                  <w:tcW w:w="1000" w:type="dxa"/>
                  <w:tcBorders>
                    <w:tl2br w:val="nil"/>
                    <w:tr2bl w:val="nil"/>
                  </w:tcBorders>
                  <w:vAlign w:val="center"/>
                </w:tcPr>
                <w:p w14:paraId="3F036DCF">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olor w:val="auto"/>
                      <w:sz w:val="21"/>
                      <w:highlight w:val="none"/>
                      <w:lang w:eastAsia="zh-CN"/>
                    </w:rPr>
                  </w:pPr>
                  <w:r>
                    <w:rPr>
                      <w:rFonts w:hint="eastAsia" w:ascii="Times New Roman" w:hAnsi="Times New Roman" w:eastAsia="宋体"/>
                      <w:color w:val="auto"/>
                      <w:spacing w:val="3"/>
                      <w:sz w:val="21"/>
                      <w:highlight w:val="none"/>
                    </w:rPr>
                    <w:t>化学试剂</w:t>
                  </w:r>
                  <w:r>
                    <w:rPr>
                      <w:rFonts w:hint="eastAsia" w:ascii="Times New Roman" w:hAnsi="Times New Roman"/>
                      <w:color w:val="auto"/>
                      <w:spacing w:val="3"/>
                      <w:sz w:val="21"/>
                      <w:highlight w:val="none"/>
                      <w:lang w:val="en-US" w:eastAsia="zh-CN"/>
                    </w:rPr>
                    <w:t>等</w:t>
                  </w:r>
                </w:p>
              </w:tc>
              <w:tc>
                <w:tcPr>
                  <w:tcW w:w="366" w:type="dxa"/>
                  <w:tcBorders>
                    <w:tl2br w:val="nil"/>
                    <w:tr2bl w:val="nil"/>
                  </w:tcBorders>
                  <w:vAlign w:val="center"/>
                </w:tcPr>
                <w:p w14:paraId="435648BC">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color w:val="auto"/>
                      <w:spacing w:val="3"/>
                      <w:sz w:val="21"/>
                      <w:highlight w:val="none"/>
                    </w:rPr>
                    <w:t>半年</w:t>
                  </w:r>
                </w:p>
              </w:tc>
              <w:tc>
                <w:tcPr>
                  <w:tcW w:w="917" w:type="dxa"/>
                  <w:tcBorders>
                    <w:tl2br w:val="nil"/>
                    <w:tr2bl w:val="nil"/>
                  </w:tcBorders>
                  <w:vAlign w:val="center"/>
                </w:tcPr>
                <w:p w14:paraId="636C5FE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olor w:val="auto"/>
                      <w:sz w:val="21"/>
                      <w:szCs w:val="20"/>
                      <w:highlight w:val="none"/>
                    </w:rPr>
                  </w:pPr>
                  <w:r>
                    <w:rPr>
                      <w:rFonts w:hint="eastAsia" w:ascii="Times New Roman" w:hAnsi="Times New Roman" w:eastAsia="宋体" w:cs="Times New Roman"/>
                      <w:color w:val="auto"/>
                      <w:spacing w:val="2"/>
                      <w:position w:val="1"/>
                      <w:sz w:val="21"/>
                      <w:szCs w:val="20"/>
                      <w:highlight w:val="none"/>
                    </w:rPr>
                    <w:t>In/T/C/I/R</w:t>
                  </w:r>
                </w:p>
              </w:tc>
              <w:tc>
                <w:tcPr>
                  <w:tcW w:w="1240" w:type="dxa"/>
                  <w:vMerge w:val="continue"/>
                  <w:tcBorders>
                    <w:tl2br w:val="nil"/>
                    <w:tr2bl w:val="nil"/>
                  </w:tcBorders>
                  <w:vAlign w:val="center"/>
                </w:tcPr>
                <w:p w14:paraId="3D75C12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p>
              </w:tc>
            </w:tr>
            <w:tr w14:paraId="283108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13" w:hRule="atLeast"/>
                <w:jc w:val="center"/>
              </w:trPr>
              <w:tc>
                <w:tcPr>
                  <w:tcW w:w="293" w:type="dxa"/>
                  <w:tcBorders>
                    <w:tl2br w:val="nil"/>
                    <w:tr2bl w:val="nil"/>
                  </w:tcBorders>
                  <w:vAlign w:val="center"/>
                </w:tcPr>
                <w:p w14:paraId="15D49EE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color w:val="auto"/>
                      <w:position w:val="2"/>
                      <w:sz w:val="21"/>
                      <w:szCs w:val="20"/>
                      <w:highlight w:val="none"/>
                      <w:lang w:val="en-US" w:eastAsia="zh-CN"/>
                    </w:rPr>
                  </w:pPr>
                  <w:r>
                    <w:rPr>
                      <w:rFonts w:hint="eastAsia" w:cs="Times New Roman"/>
                      <w:color w:val="auto"/>
                      <w:position w:val="2"/>
                      <w:sz w:val="21"/>
                      <w:szCs w:val="20"/>
                      <w:highlight w:val="none"/>
                      <w:lang w:val="en-US" w:eastAsia="zh-CN"/>
                    </w:rPr>
                    <w:t>4</w:t>
                  </w:r>
                </w:p>
              </w:tc>
              <w:tc>
                <w:tcPr>
                  <w:tcW w:w="651" w:type="dxa"/>
                  <w:tcBorders>
                    <w:tl2br w:val="nil"/>
                    <w:tr2bl w:val="nil"/>
                  </w:tcBorders>
                  <w:vAlign w:val="center"/>
                </w:tcPr>
                <w:p w14:paraId="695BC5BD">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color w:val="auto"/>
                      <w:sz w:val="21"/>
                      <w:highlight w:val="none"/>
                      <w:lang w:val="en-US" w:eastAsia="zh-CN"/>
                    </w:rPr>
                    <w:t>口腔科洗片废物</w:t>
                  </w:r>
                </w:p>
              </w:tc>
              <w:tc>
                <w:tcPr>
                  <w:tcW w:w="631" w:type="dxa"/>
                  <w:tcBorders>
                    <w:tl2br w:val="nil"/>
                    <w:tr2bl w:val="nil"/>
                  </w:tcBorders>
                  <w:vAlign w:val="center"/>
                </w:tcPr>
                <w:p w14:paraId="28C4D17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olor w:val="auto"/>
                      <w:position w:val="2"/>
                      <w:sz w:val="21"/>
                      <w:szCs w:val="20"/>
                      <w:highlight w:val="none"/>
                    </w:rPr>
                  </w:pPr>
                  <w:r>
                    <w:rPr>
                      <w:rFonts w:hint="eastAsia" w:ascii="Times New Roman" w:hAnsi="Times New Roman" w:eastAsia="宋体" w:cs="Times New Roman"/>
                      <w:color w:val="auto"/>
                      <w:highlight w:val="none"/>
                      <w:lang w:val="en-US" w:eastAsia="zh-CN"/>
                    </w:rPr>
                    <w:t>HW16</w:t>
                  </w:r>
                </w:p>
              </w:tc>
              <w:tc>
                <w:tcPr>
                  <w:tcW w:w="1236" w:type="dxa"/>
                  <w:tcBorders>
                    <w:tl2br w:val="nil"/>
                    <w:tr2bl w:val="nil"/>
                  </w:tcBorders>
                  <w:vAlign w:val="center"/>
                </w:tcPr>
                <w:p w14:paraId="6AE1956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color w:val="auto"/>
                      <w:spacing w:val="3"/>
                      <w:position w:val="1"/>
                      <w:sz w:val="21"/>
                      <w:szCs w:val="20"/>
                      <w:highlight w:val="none"/>
                    </w:rPr>
                  </w:pPr>
                  <w:r>
                    <w:rPr>
                      <w:rFonts w:hint="eastAsia" w:ascii="Times New Roman" w:hAnsi="Times New Roman" w:eastAsia="宋体" w:cs="Times New Roman"/>
                      <w:color w:val="auto"/>
                      <w:highlight w:val="none"/>
                      <w:lang w:val="en-US" w:eastAsia="zh-CN"/>
                    </w:rPr>
                    <w:t>900-019-16</w:t>
                  </w:r>
                </w:p>
              </w:tc>
              <w:tc>
                <w:tcPr>
                  <w:tcW w:w="1008" w:type="dxa"/>
                  <w:tcBorders>
                    <w:tl2br w:val="nil"/>
                    <w:tr2bl w:val="nil"/>
                  </w:tcBorders>
                  <w:vAlign w:val="center"/>
                </w:tcPr>
                <w:p w14:paraId="2EA4377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cs="Times New Roman"/>
                      <w:color w:val="auto"/>
                      <w:sz w:val="21"/>
                      <w:szCs w:val="20"/>
                      <w:highlight w:val="none"/>
                      <w:lang w:val="en-US" w:eastAsia="zh-CN"/>
                    </w:rPr>
                  </w:pPr>
                  <w:r>
                    <w:rPr>
                      <w:rFonts w:hint="eastAsia" w:cs="Times New Roman"/>
                      <w:color w:val="auto"/>
                      <w:sz w:val="21"/>
                      <w:szCs w:val="20"/>
                      <w:highlight w:val="none"/>
                      <w:lang w:val="en-US" w:eastAsia="zh-CN"/>
                    </w:rPr>
                    <w:t>0.3</w:t>
                  </w:r>
                </w:p>
              </w:tc>
              <w:tc>
                <w:tcPr>
                  <w:tcW w:w="721" w:type="dxa"/>
                  <w:tcBorders>
                    <w:tl2br w:val="nil"/>
                    <w:tr2bl w:val="nil"/>
                  </w:tcBorders>
                  <w:vAlign w:val="center"/>
                </w:tcPr>
                <w:p w14:paraId="47130698">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olor w:val="auto"/>
                      <w:sz w:val="21"/>
                      <w:highlight w:val="none"/>
                      <w:lang w:val="en-US" w:eastAsia="zh-CN"/>
                    </w:rPr>
                  </w:pPr>
                  <w:r>
                    <w:rPr>
                      <w:rFonts w:hint="eastAsia" w:ascii="Times New Roman" w:hAnsi="Times New Roman"/>
                      <w:color w:val="auto"/>
                      <w:sz w:val="21"/>
                      <w:highlight w:val="none"/>
                      <w:lang w:val="en-US" w:eastAsia="zh-CN"/>
                    </w:rPr>
                    <w:t>口腔科洗片</w:t>
                  </w:r>
                </w:p>
              </w:tc>
              <w:tc>
                <w:tcPr>
                  <w:tcW w:w="327" w:type="dxa"/>
                  <w:tcBorders>
                    <w:tl2br w:val="nil"/>
                    <w:tr2bl w:val="nil"/>
                  </w:tcBorders>
                  <w:vAlign w:val="center"/>
                </w:tcPr>
                <w:p w14:paraId="50377A49">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olor w:val="auto"/>
                      <w:sz w:val="21"/>
                      <w:highlight w:val="none"/>
                      <w:lang w:val="en-US" w:eastAsia="zh-CN"/>
                    </w:rPr>
                  </w:pPr>
                  <w:r>
                    <w:rPr>
                      <w:rFonts w:hint="eastAsia" w:ascii="Times New Roman" w:hAnsi="Times New Roman"/>
                      <w:color w:val="auto"/>
                      <w:sz w:val="21"/>
                      <w:highlight w:val="none"/>
                      <w:lang w:val="en-US" w:eastAsia="zh-CN"/>
                    </w:rPr>
                    <w:t>液/固</w:t>
                  </w:r>
                </w:p>
              </w:tc>
              <w:tc>
                <w:tcPr>
                  <w:tcW w:w="540" w:type="dxa"/>
                  <w:tcBorders>
                    <w:tl2br w:val="nil"/>
                    <w:tr2bl w:val="nil"/>
                  </w:tcBorders>
                  <w:vAlign w:val="center"/>
                </w:tcPr>
                <w:p w14:paraId="0CCA5014">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olor w:val="auto"/>
                      <w:spacing w:val="3"/>
                      <w:sz w:val="21"/>
                      <w:highlight w:val="none"/>
                      <w:lang w:val="en-US" w:eastAsia="zh-CN"/>
                    </w:rPr>
                  </w:pPr>
                  <w:r>
                    <w:rPr>
                      <w:rFonts w:hint="eastAsia" w:ascii="Times New Roman" w:hAnsi="Times New Roman"/>
                      <w:color w:val="auto"/>
                      <w:spacing w:val="3"/>
                      <w:sz w:val="21"/>
                      <w:highlight w:val="none"/>
                      <w:lang w:val="en-US" w:eastAsia="zh-CN"/>
                    </w:rPr>
                    <w:t>化学试剂</w:t>
                  </w:r>
                </w:p>
              </w:tc>
              <w:tc>
                <w:tcPr>
                  <w:tcW w:w="1000" w:type="dxa"/>
                  <w:tcBorders>
                    <w:tl2br w:val="nil"/>
                    <w:tr2bl w:val="nil"/>
                  </w:tcBorders>
                  <w:vAlign w:val="center"/>
                </w:tcPr>
                <w:p w14:paraId="068FE9E8">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olor w:val="auto"/>
                      <w:spacing w:val="3"/>
                      <w:sz w:val="21"/>
                      <w:highlight w:val="none"/>
                    </w:rPr>
                  </w:pPr>
                  <w:r>
                    <w:rPr>
                      <w:rFonts w:hint="eastAsia" w:ascii="Times New Roman" w:hAnsi="Times New Roman" w:eastAsia="宋体"/>
                      <w:color w:val="auto"/>
                      <w:spacing w:val="3"/>
                      <w:sz w:val="21"/>
                      <w:highlight w:val="none"/>
                    </w:rPr>
                    <w:t>化学试剂</w:t>
                  </w:r>
                  <w:r>
                    <w:rPr>
                      <w:rFonts w:hint="eastAsia" w:ascii="Times New Roman" w:hAnsi="Times New Roman"/>
                      <w:color w:val="auto"/>
                      <w:spacing w:val="3"/>
                      <w:sz w:val="21"/>
                      <w:highlight w:val="none"/>
                      <w:lang w:val="en-US" w:eastAsia="zh-CN"/>
                    </w:rPr>
                    <w:t>等</w:t>
                  </w:r>
                </w:p>
              </w:tc>
              <w:tc>
                <w:tcPr>
                  <w:tcW w:w="366" w:type="dxa"/>
                  <w:tcBorders>
                    <w:tl2br w:val="nil"/>
                    <w:tr2bl w:val="nil"/>
                  </w:tcBorders>
                  <w:vAlign w:val="center"/>
                </w:tcPr>
                <w:p w14:paraId="5B01F583">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pacing w:val="3"/>
                      <w:sz w:val="21"/>
                      <w:highlight w:val="none"/>
                    </w:rPr>
                  </w:pPr>
                  <w:r>
                    <w:rPr>
                      <w:rFonts w:ascii="Times New Roman" w:hAnsi="Times New Roman" w:eastAsia="宋体"/>
                      <w:color w:val="auto"/>
                      <w:spacing w:val="3"/>
                      <w:sz w:val="21"/>
                      <w:highlight w:val="none"/>
                    </w:rPr>
                    <w:t>半年</w:t>
                  </w:r>
                </w:p>
              </w:tc>
              <w:tc>
                <w:tcPr>
                  <w:tcW w:w="917" w:type="dxa"/>
                  <w:tcBorders>
                    <w:tl2br w:val="nil"/>
                    <w:tr2bl w:val="nil"/>
                  </w:tcBorders>
                  <w:vAlign w:val="center"/>
                </w:tcPr>
                <w:p w14:paraId="4FD0D5C8">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color w:val="auto"/>
                      <w:spacing w:val="2"/>
                      <w:position w:val="1"/>
                      <w:sz w:val="21"/>
                      <w:szCs w:val="20"/>
                      <w:highlight w:val="none"/>
                      <w:lang w:val="en-US" w:eastAsia="zh-CN"/>
                    </w:rPr>
                  </w:pPr>
                  <w:r>
                    <w:rPr>
                      <w:rFonts w:hint="eastAsia" w:cs="Times New Roman"/>
                      <w:color w:val="auto"/>
                      <w:spacing w:val="2"/>
                      <w:position w:val="1"/>
                      <w:sz w:val="21"/>
                      <w:szCs w:val="20"/>
                      <w:highlight w:val="none"/>
                      <w:lang w:val="en-US" w:eastAsia="zh-CN"/>
                    </w:rPr>
                    <w:t>T</w:t>
                  </w:r>
                </w:p>
              </w:tc>
              <w:tc>
                <w:tcPr>
                  <w:tcW w:w="1240" w:type="dxa"/>
                  <w:vMerge w:val="continue"/>
                  <w:tcBorders>
                    <w:tl2br w:val="nil"/>
                    <w:tr2bl w:val="nil"/>
                  </w:tcBorders>
                  <w:vAlign w:val="center"/>
                </w:tcPr>
                <w:p w14:paraId="63B6A75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p>
              </w:tc>
            </w:tr>
            <w:tr w14:paraId="564AD3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13" w:hRule="atLeast"/>
                <w:jc w:val="center"/>
              </w:trPr>
              <w:tc>
                <w:tcPr>
                  <w:tcW w:w="293" w:type="dxa"/>
                  <w:tcBorders>
                    <w:tl2br w:val="nil"/>
                    <w:tr2bl w:val="nil"/>
                  </w:tcBorders>
                  <w:vAlign w:val="center"/>
                </w:tcPr>
                <w:p w14:paraId="39A88E0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color w:val="auto"/>
                      <w:position w:val="2"/>
                      <w:sz w:val="21"/>
                      <w:szCs w:val="20"/>
                      <w:highlight w:val="none"/>
                      <w:lang w:val="en-US" w:eastAsia="zh-CN"/>
                    </w:rPr>
                  </w:pPr>
                  <w:r>
                    <w:rPr>
                      <w:rFonts w:hint="eastAsia" w:cs="Times New Roman"/>
                      <w:color w:val="auto"/>
                      <w:position w:val="2"/>
                      <w:sz w:val="21"/>
                      <w:szCs w:val="20"/>
                      <w:highlight w:val="none"/>
                      <w:lang w:val="en-US" w:eastAsia="zh-CN"/>
                    </w:rPr>
                    <w:t>5</w:t>
                  </w:r>
                </w:p>
              </w:tc>
              <w:tc>
                <w:tcPr>
                  <w:tcW w:w="651" w:type="dxa"/>
                  <w:tcBorders>
                    <w:tl2br w:val="nil"/>
                    <w:tr2bl w:val="nil"/>
                  </w:tcBorders>
                  <w:vAlign w:val="center"/>
                </w:tcPr>
                <w:p w14:paraId="7B4826B6">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eastAsia="宋体"/>
                      <w:color w:val="auto"/>
                      <w:sz w:val="21"/>
                      <w:highlight w:val="none"/>
                      <w:lang w:val="en-US" w:eastAsia="zh-CN"/>
                    </w:rPr>
                    <w:t>废紫外线消毒灯管</w:t>
                  </w:r>
                </w:p>
              </w:tc>
              <w:tc>
                <w:tcPr>
                  <w:tcW w:w="631" w:type="dxa"/>
                  <w:tcBorders>
                    <w:tl2br w:val="nil"/>
                    <w:tr2bl w:val="nil"/>
                  </w:tcBorders>
                  <w:vAlign w:val="center"/>
                </w:tcPr>
                <w:p w14:paraId="1DAE25E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olor w:val="auto"/>
                      <w:position w:val="2"/>
                      <w:sz w:val="21"/>
                      <w:szCs w:val="20"/>
                      <w:highlight w:val="none"/>
                    </w:rPr>
                  </w:pPr>
                  <w:r>
                    <w:rPr>
                      <w:rFonts w:hint="eastAsia" w:ascii="Times New Roman" w:hAnsi="Times New Roman" w:eastAsia="宋体" w:cs="Times New Roman"/>
                      <w:color w:val="auto"/>
                      <w:highlight w:val="none"/>
                      <w:lang w:val="en-US" w:eastAsia="zh-CN"/>
                    </w:rPr>
                    <w:t>HW29</w:t>
                  </w:r>
                </w:p>
              </w:tc>
              <w:tc>
                <w:tcPr>
                  <w:tcW w:w="1236" w:type="dxa"/>
                  <w:tcBorders>
                    <w:tl2br w:val="nil"/>
                    <w:tr2bl w:val="nil"/>
                  </w:tcBorders>
                  <w:vAlign w:val="center"/>
                </w:tcPr>
                <w:p w14:paraId="7F7D827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color w:val="auto"/>
                      <w:spacing w:val="3"/>
                      <w:position w:val="1"/>
                      <w:sz w:val="21"/>
                      <w:szCs w:val="20"/>
                      <w:highlight w:val="none"/>
                    </w:rPr>
                  </w:pPr>
                  <w:r>
                    <w:rPr>
                      <w:rFonts w:hint="eastAsia" w:ascii="Times New Roman" w:hAnsi="Times New Roman" w:eastAsia="宋体" w:cs="Times New Roman"/>
                      <w:color w:val="auto"/>
                      <w:highlight w:val="none"/>
                      <w:lang w:val="en-US" w:eastAsia="zh-CN"/>
                    </w:rPr>
                    <w:t>900-023-29</w:t>
                  </w:r>
                </w:p>
              </w:tc>
              <w:tc>
                <w:tcPr>
                  <w:tcW w:w="1008" w:type="dxa"/>
                  <w:tcBorders>
                    <w:tl2br w:val="nil"/>
                    <w:tr2bl w:val="nil"/>
                  </w:tcBorders>
                  <w:vAlign w:val="center"/>
                </w:tcPr>
                <w:p w14:paraId="625C613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cs="Times New Roman"/>
                      <w:color w:val="auto"/>
                      <w:sz w:val="21"/>
                      <w:szCs w:val="20"/>
                      <w:highlight w:val="none"/>
                      <w:lang w:val="en-US" w:eastAsia="zh-CN"/>
                    </w:rPr>
                  </w:pPr>
                  <w:r>
                    <w:rPr>
                      <w:rFonts w:hint="eastAsia" w:cs="Times New Roman"/>
                      <w:color w:val="auto"/>
                      <w:sz w:val="21"/>
                      <w:szCs w:val="20"/>
                      <w:highlight w:val="none"/>
                      <w:lang w:val="en-US" w:eastAsia="zh-CN"/>
                    </w:rPr>
                    <w:t>0.01</w:t>
                  </w:r>
                </w:p>
              </w:tc>
              <w:tc>
                <w:tcPr>
                  <w:tcW w:w="721" w:type="dxa"/>
                  <w:tcBorders>
                    <w:tl2br w:val="nil"/>
                    <w:tr2bl w:val="nil"/>
                  </w:tcBorders>
                  <w:vAlign w:val="center"/>
                </w:tcPr>
                <w:p w14:paraId="204CCE15">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olor w:val="auto"/>
                      <w:sz w:val="21"/>
                      <w:highlight w:val="none"/>
                      <w:lang w:val="en-US" w:eastAsia="zh-CN"/>
                    </w:rPr>
                  </w:pPr>
                  <w:r>
                    <w:rPr>
                      <w:rFonts w:hint="eastAsia" w:ascii="Times New Roman" w:hAnsi="Times New Roman"/>
                      <w:color w:val="auto"/>
                      <w:sz w:val="21"/>
                      <w:highlight w:val="none"/>
                      <w:lang w:val="en-US" w:eastAsia="zh-CN"/>
                    </w:rPr>
                    <w:t>消毒</w:t>
                  </w:r>
                </w:p>
              </w:tc>
              <w:tc>
                <w:tcPr>
                  <w:tcW w:w="327" w:type="dxa"/>
                  <w:tcBorders>
                    <w:tl2br w:val="nil"/>
                    <w:tr2bl w:val="nil"/>
                  </w:tcBorders>
                  <w:vAlign w:val="center"/>
                </w:tcPr>
                <w:p w14:paraId="7B4A57E3">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olor w:val="auto"/>
                      <w:sz w:val="21"/>
                      <w:highlight w:val="none"/>
                      <w:lang w:val="en-US" w:eastAsia="zh-CN"/>
                    </w:rPr>
                  </w:pPr>
                  <w:r>
                    <w:rPr>
                      <w:rFonts w:hint="eastAsia" w:ascii="Times New Roman" w:hAnsi="Times New Roman"/>
                      <w:color w:val="auto"/>
                      <w:sz w:val="21"/>
                      <w:highlight w:val="none"/>
                      <w:lang w:val="en-US" w:eastAsia="zh-CN"/>
                    </w:rPr>
                    <w:t>固</w:t>
                  </w:r>
                </w:p>
              </w:tc>
              <w:tc>
                <w:tcPr>
                  <w:tcW w:w="540" w:type="dxa"/>
                  <w:tcBorders>
                    <w:tl2br w:val="nil"/>
                    <w:tr2bl w:val="nil"/>
                  </w:tcBorders>
                  <w:vAlign w:val="center"/>
                </w:tcPr>
                <w:p w14:paraId="0A0E0A5A">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olor w:val="auto"/>
                      <w:spacing w:val="3"/>
                      <w:sz w:val="21"/>
                      <w:highlight w:val="none"/>
                      <w:lang w:val="en-US" w:eastAsia="zh-CN"/>
                    </w:rPr>
                  </w:pPr>
                  <w:r>
                    <w:rPr>
                      <w:rFonts w:hint="eastAsia" w:ascii="Times New Roman" w:hAnsi="Times New Roman"/>
                      <w:color w:val="auto"/>
                      <w:spacing w:val="3"/>
                      <w:sz w:val="21"/>
                      <w:highlight w:val="none"/>
                      <w:lang w:val="en-US" w:eastAsia="zh-CN"/>
                    </w:rPr>
                    <w:t>玻璃</w:t>
                  </w:r>
                </w:p>
              </w:tc>
              <w:tc>
                <w:tcPr>
                  <w:tcW w:w="1000" w:type="dxa"/>
                  <w:tcBorders>
                    <w:tl2br w:val="nil"/>
                    <w:tr2bl w:val="nil"/>
                  </w:tcBorders>
                  <w:vAlign w:val="center"/>
                </w:tcPr>
                <w:p w14:paraId="37683C09">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olor w:val="auto"/>
                      <w:spacing w:val="3"/>
                      <w:sz w:val="21"/>
                      <w:highlight w:val="none"/>
                      <w:lang w:val="en-US" w:eastAsia="zh-CN"/>
                    </w:rPr>
                  </w:pPr>
                  <w:r>
                    <w:rPr>
                      <w:rFonts w:hint="eastAsia" w:ascii="Times New Roman" w:hAnsi="Times New Roman"/>
                      <w:color w:val="auto"/>
                      <w:spacing w:val="3"/>
                      <w:sz w:val="21"/>
                      <w:highlight w:val="none"/>
                      <w:lang w:val="en-US" w:eastAsia="zh-CN"/>
                    </w:rPr>
                    <w:t>含汞</w:t>
                  </w:r>
                </w:p>
              </w:tc>
              <w:tc>
                <w:tcPr>
                  <w:tcW w:w="366" w:type="dxa"/>
                  <w:tcBorders>
                    <w:tl2br w:val="nil"/>
                    <w:tr2bl w:val="nil"/>
                  </w:tcBorders>
                  <w:vAlign w:val="center"/>
                </w:tcPr>
                <w:p w14:paraId="3D6AFC33">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pacing w:val="3"/>
                      <w:sz w:val="21"/>
                      <w:highlight w:val="none"/>
                    </w:rPr>
                  </w:pPr>
                  <w:r>
                    <w:rPr>
                      <w:rFonts w:hint="eastAsia" w:ascii="Times New Roman" w:hAnsi="Times New Roman"/>
                      <w:color w:val="auto"/>
                      <w:sz w:val="21"/>
                      <w:highlight w:val="none"/>
                      <w:lang w:val="en-US" w:eastAsia="zh-CN"/>
                    </w:rPr>
                    <w:t>一年</w:t>
                  </w:r>
                </w:p>
              </w:tc>
              <w:tc>
                <w:tcPr>
                  <w:tcW w:w="917" w:type="dxa"/>
                  <w:tcBorders>
                    <w:tl2br w:val="nil"/>
                    <w:tr2bl w:val="nil"/>
                  </w:tcBorders>
                  <w:vAlign w:val="center"/>
                </w:tcPr>
                <w:p w14:paraId="495C128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color w:val="auto"/>
                      <w:spacing w:val="2"/>
                      <w:position w:val="1"/>
                      <w:sz w:val="21"/>
                      <w:szCs w:val="20"/>
                      <w:highlight w:val="none"/>
                      <w:lang w:val="en-US" w:eastAsia="zh-CN"/>
                    </w:rPr>
                  </w:pPr>
                  <w:r>
                    <w:rPr>
                      <w:rFonts w:hint="eastAsia" w:cs="Times New Roman"/>
                      <w:color w:val="auto"/>
                      <w:spacing w:val="2"/>
                      <w:position w:val="1"/>
                      <w:sz w:val="21"/>
                      <w:szCs w:val="20"/>
                      <w:highlight w:val="none"/>
                      <w:lang w:val="en-US" w:eastAsia="zh-CN"/>
                    </w:rPr>
                    <w:t>T</w:t>
                  </w:r>
                </w:p>
              </w:tc>
              <w:tc>
                <w:tcPr>
                  <w:tcW w:w="1240" w:type="dxa"/>
                  <w:vMerge w:val="continue"/>
                  <w:tcBorders>
                    <w:tl2br w:val="nil"/>
                    <w:tr2bl w:val="nil"/>
                  </w:tcBorders>
                  <w:vAlign w:val="center"/>
                </w:tcPr>
                <w:p w14:paraId="016B14E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p>
              </w:tc>
            </w:tr>
            <w:bookmarkEnd w:id="52"/>
            <w:bookmarkEnd w:id="53"/>
          </w:tbl>
          <w:p w14:paraId="57D27ABC">
            <w:pPr>
              <w:pStyle w:val="4"/>
              <w:numPr>
                <w:ilvl w:val="2"/>
                <w:numId w:val="1"/>
              </w:numPr>
              <w:bidi w:val="0"/>
              <w:ind w:left="720" w:leftChars="0" w:hanging="720" w:firstLineChars="0"/>
              <w:rPr>
                <w:rFonts w:hint="eastAsia" w:ascii="Times New Roman" w:hAnsi="Times New Roman" w:eastAsia="宋体" w:cs="Times New Roman"/>
                <w:color w:val="auto"/>
                <w:highlight w:val="none"/>
              </w:rPr>
            </w:pPr>
            <w:r>
              <w:rPr>
                <w:rFonts w:hint="eastAsia" w:cs="Times New Roman"/>
                <w:color w:val="auto"/>
                <w:highlight w:val="none"/>
                <w:lang w:val="en-US" w:eastAsia="zh-CN"/>
              </w:rPr>
              <w:t>固体废物</w:t>
            </w:r>
            <w:r>
              <w:rPr>
                <w:rFonts w:hint="eastAsia" w:ascii="Times New Roman" w:hAnsi="Times New Roman" w:eastAsia="宋体" w:cs="Times New Roman"/>
                <w:color w:val="auto"/>
                <w:highlight w:val="none"/>
              </w:rPr>
              <w:t>环境管理要求</w:t>
            </w:r>
          </w:p>
          <w:p w14:paraId="3CB93121">
            <w:pPr>
              <w:pStyle w:val="30"/>
              <w:keepNext w:val="0"/>
              <w:keepLines w:val="0"/>
              <w:pageBreakBefore w:val="0"/>
              <w:widowControl w:val="0"/>
              <w:kinsoku/>
              <w:wordWrap/>
              <w:overflowPunct/>
              <w:topLinePunct w:val="0"/>
              <w:bidi w:val="0"/>
              <w:spacing w:before="0" w:beforeAutospacing="0" w:after="0" w:afterAutospacing="0" w:line="360" w:lineRule="auto"/>
              <w:ind w:leftChars="0" w:firstLine="480" w:firstLineChars="200"/>
              <w:jc w:val="both"/>
              <w:textAlignment w:val="auto"/>
              <w:rPr>
                <w:color w:val="auto"/>
                <w:sz w:val="24"/>
                <w:highlight w:val="none"/>
                <w:shd w:val="clear" w:color="auto" w:fill="auto"/>
              </w:rPr>
            </w:pPr>
            <w:r>
              <w:rPr>
                <w:rFonts w:hint="eastAsia" w:ascii="Times New Roman" w:hAnsi="Times New Roman" w:cs="宋体"/>
                <w:color w:val="auto"/>
                <w:kern w:val="2"/>
                <w:sz w:val="24"/>
                <w:szCs w:val="24"/>
                <w:highlight w:val="none"/>
                <w:shd w:val="clear" w:color="auto" w:fill="auto"/>
                <w:lang w:bidi="ar"/>
              </w:rPr>
              <w:t>固体废物的收集方式强调采用分类收集，即各种垃圾按不同性质，分别收集处置。</w:t>
            </w:r>
          </w:p>
          <w:p w14:paraId="6CB9EB55">
            <w:pPr>
              <w:pStyle w:val="30"/>
              <w:keepNext w:val="0"/>
              <w:keepLines w:val="0"/>
              <w:pageBreakBefore w:val="0"/>
              <w:widowControl w:val="0"/>
              <w:kinsoku/>
              <w:wordWrap/>
              <w:overflowPunct/>
              <w:topLinePunct w:val="0"/>
              <w:bidi w:val="0"/>
              <w:spacing w:before="0" w:beforeAutospacing="0" w:after="0" w:afterAutospacing="0" w:line="360" w:lineRule="auto"/>
              <w:ind w:leftChars="0" w:firstLine="480" w:firstLineChars="200"/>
              <w:jc w:val="both"/>
              <w:textAlignment w:val="auto"/>
              <w:rPr>
                <w:color w:val="auto"/>
                <w:sz w:val="24"/>
                <w:highlight w:val="none"/>
                <w:shd w:val="clear" w:color="auto" w:fill="auto"/>
              </w:rPr>
            </w:pPr>
            <w:r>
              <w:rPr>
                <w:rFonts w:hint="eastAsia"/>
                <w:color w:val="auto"/>
                <w:kern w:val="2"/>
                <w:sz w:val="24"/>
                <w:szCs w:val="24"/>
                <w:highlight w:val="none"/>
                <w:shd w:val="clear" w:color="auto" w:fill="auto"/>
                <w:lang w:eastAsia="zh-CN" w:bidi="ar"/>
              </w:rPr>
              <w:t>（</w:t>
            </w:r>
            <w:r>
              <w:rPr>
                <w:rFonts w:hint="eastAsia"/>
                <w:color w:val="auto"/>
                <w:kern w:val="2"/>
                <w:sz w:val="24"/>
                <w:szCs w:val="24"/>
                <w:highlight w:val="none"/>
                <w:shd w:val="clear" w:color="auto" w:fill="auto"/>
                <w:lang w:val="en-US" w:eastAsia="zh-CN" w:bidi="ar"/>
              </w:rPr>
              <w:t>1</w:t>
            </w:r>
            <w:r>
              <w:rPr>
                <w:rFonts w:hint="eastAsia"/>
                <w:color w:val="auto"/>
                <w:kern w:val="2"/>
                <w:sz w:val="24"/>
                <w:szCs w:val="24"/>
                <w:highlight w:val="none"/>
                <w:shd w:val="clear" w:color="auto" w:fill="auto"/>
                <w:lang w:eastAsia="zh-CN" w:bidi="ar"/>
              </w:rPr>
              <w:t>）</w:t>
            </w:r>
            <w:r>
              <w:rPr>
                <w:rFonts w:hint="eastAsia" w:ascii="Times New Roman" w:hAnsi="Times New Roman" w:cs="宋体"/>
                <w:color w:val="auto"/>
                <w:kern w:val="2"/>
                <w:sz w:val="24"/>
                <w:szCs w:val="24"/>
                <w:highlight w:val="none"/>
                <w:shd w:val="clear" w:color="auto" w:fill="auto"/>
                <w:lang w:bidi="ar"/>
              </w:rPr>
              <w:t>生活垃圾处置措施</w:t>
            </w:r>
          </w:p>
          <w:p w14:paraId="4CE5305D">
            <w:pPr>
              <w:pStyle w:val="30"/>
              <w:keepNext w:val="0"/>
              <w:keepLines w:val="0"/>
              <w:pageBreakBefore w:val="0"/>
              <w:widowControl w:val="0"/>
              <w:kinsoku/>
              <w:wordWrap/>
              <w:overflowPunct/>
              <w:topLinePunct w:val="0"/>
              <w:bidi w:val="0"/>
              <w:spacing w:before="0" w:beforeAutospacing="0" w:after="0" w:afterAutospacing="0" w:line="360" w:lineRule="auto"/>
              <w:ind w:leftChars="0" w:firstLine="480" w:firstLineChars="200"/>
              <w:jc w:val="both"/>
              <w:textAlignment w:val="auto"/>
              <w:rPr>
                <w:color w:val="auto"/>
                <w:sz w:val="24"/>
                <w:highlight w:val="none"/>
                <w:shd w:val="clear" w:color="auto" w:fill="auto"/>
              </w:rPr>
            </w:pPr>
            <w:r>
              <w:rPr>
                <w:rFonts w:hint="eastAsia" w:ascii="Times New Roman" w:hAnsi="Times New Roman" w:cs="宋体"/>
                <w:color w:val="auto"/>
                <w:kern w:val="2"/>
                <w:sz w:val="24"/>
                <w:szCs w:val="24"/>
                <w:highlight w:val="none"/>
                <w:shd w:val="clear" w:color="auto" w:fill="auto"/>
                <w:lang w:bidi="ar"/>
              </w:rPr>
              <w:t>生活垃圾极易腐败发臭，必须定点收集，及时清运或处理。可在厂区生产区和办公生活区设置一些垃圾收集桶。厂区应配备专职的清洁人员和必要的工具，负责清扫厂区，维持清洁卫生，生活垃圾收集后委托环卫部门处理。</w:t>
            </w:r>
          </w:p>
          <w:p w14:paraId="2D630E31">
            <w:pPr>
              <w:pStyle w:val="30"/>
              <w:keepNext w:val="0"/>
              <w:keepLines w:val="0"/>
              <w:pageBreakBefore w:val="0"/>
              <w:widowControl w:val="0"/>
              <w:numPr>
                <w:ilvl w:val="0"/>
                <w:numId w:val="0"/>
              </w:numPr>
              <w:kinsoku/>
              <w:wordWrap/>
              <w:overflowPunct/>
              <w:topLinePunct w:val="0"/>
              <w:bidi w:val="0"/>
              <w:spacing w:before="0" w:beforeAutospacing="0" w:after="0" w:afterAutospacing="0" w:line="360" w:lineRule="auto"/>
              <w:ind w:leftChars="0" w:right="0" w:rightChars="0" w:firstLine="480" w:firstLineChars="200"/>
              <w:jc w:val="both"/>
              <w:textAlignment w:val="auto"/>
              <w:rPr>
                <w:rFonts w:ascii="Times New Roman" w:hAnsi="Times New Roman" w:cs="宋体"/>
                <w:color w:val="auto"/>
                <w:kern w:val="2"/>
                <w:sz w:val="24"/>
                <w:szCs w:val="24"/>
                <w:highlight w:val="none"/>
                <w:shd w:val="clear" w:color="auto" w:fill="auto"/>
                <w:lang w:bidi="ar"/>
              </w:rPr>
            </w:pPr>
            <w:r>
              <w:rPr>
                <w:rFonts w:hint="eastAsia" w:cs="宋体"/>
                <w:color w:val="auto"/>
                <w:kern w:val="2"/>
                <w:sz w:val="24"/>
                <w:szCs w:val="24"/>
                <w:highlight w:val="none"/>
                <w:shd w:val="clear" w:color="auto" w:fill="auto"/>
                <w:lang w:eastAsia="zh-CN" w:bidi="ar"/>
              </w:rPr>
              <w:t>（</w:t>
            </w:r>
            <w:r>
              <w:rPr>
                <w:rFonts w:hint="eastAsia" w:cs="宋体"/>
                <w:color w:val="auto"/>
                <w:kern w:val="2"/>
                <w:sz w:val="24"/>
                <w:szCs w:val="24"/>
                <w:highlight w:val="none"/>
                <w:shd w:val="clear" w:color="auto" w:fill="auto"/>
                <w:lang w:val="en-US" w:eastAsia="zh-CN" w:bidi="ar"/>
              </w:rPr>
              <w:t>2</w:t>
            </w:r>
            <w:r>
              <w:rPr>
                <w:rFonts w:hint="eastAsia" w:cs="宋体"/>
                <w:color w:val="auto"/>
                <w:kern w:val="2"/>
                <w:sz w:val="24"/>
                <w:szCs w:val="24"/>
                <w:highlight w:val="none"/>
                <w:shd w:val="clear" w:color="auto" w:fill="auto"/>
                <w:lang w:eastAsia="zh-CN" w:bidi="ar"/>
              </w:rPr>
              <w:t>）</w:t>
            </w:r>
            <w:r>
              <w:rPr>
                <w:rFonts w:hint="eastAsia" w:ascii="Times New Roman" w:hAnsi="Times New Roman" w:cs="宋体"/>
                <w:color w:val="auto"/>
                <w:kern w:val="2"/>
                <w:sz w:val="24"/>
                <w:szCs w:val="24"/>
                <w:highlight w:val="none"/>
                <w:shd w:val="clear" w:color="auto" w:fill="auto"/>
                <w:lang w:bidi="ar"/>
              </w:rPr>
              <w:t>一般工业固体废物管理要求</w:t>
            </w:r>
          </w:p>
          <w:p w14:paraId="24EF5A4E">
            <w:pPr>
              <w:pStyle w:val="30"/>
              <w:keepNext w:val="0"/>
              <w:keepLines w:val="0"/>
              <w:pageBreakBefore w:val="0"/>
              <w:widowControl w:val="0"/>
              <w:kinsoku/>
              <w:wordWrap/>
              <w:overflowPunct/>
              <w:topLinePunct w:val="0"/>
              <w:bidi w:val="0"/>
              <w:spacing w:before="0" w:beforeAutospacing="0" w:after="0" w:afterAutospacing="0" w:line="360" w:lineRule="auto"/>
              <w:ind w:leftChars="0" w:firstLine="480" w:firstLineChars="200"/>
              <w:jc w:val="both"/>
              <w:textAlignment w:val="auto"/>
              <w:rPr>
                <w:rFonts w:hint="eastAsia" w:ascii="Times New Roman" w:hAnsi="Times New Roman" w:eastAsia="宋体" w:cs="宋体"/>
                <w:color w:val="auto"/>
                <w:kern w:val="2"/>
                <w:sz w:val="24"/>
                <w:szCs w:val="24"/>
                <w:highlight w:val="none"/>
                <w:shd w:val="clear" w:color="auto" w:fill="auto"/>
                <w:lang w:bidi="ar"/>
              </w:rPr>
            </w:pPr>
            <w:r>
              <w:rPr>
                <w:rFonts w:hint="eastAsia" w:cs="宋体"/>
                <w:color w:val="auto"/>
                <w:kern w:val="2"/>
                <w:sz w:val="24"/>
                <w:szCs w:val="24"/>
                <w:highlight w:val="none"/>
                <w:shd w:val="clear" w:color="auto" w:fill="auto"/>
                <w:lang w:val="en-US" w:eastAsia="zh-CN" w:bidi="ar"/>
              </w:rPr>
              <w:t>院</w:t>
            </w:r>
            <w:r>
              <w:rPr>
                <w:rFonts w:hint="eastAsia" w:ascii="Times New Roman" w:hAnsi="Times New Roman" w:eastAsia="宋体" w:cs="宋体"/>
                <w:color w:val="auto"/>
                <w:kern w:val="2"/>
                <w:sz w:val="24"/>
                <w:szCs w:val="24"/>
                <w:highlight w:val="none"/>
                <w:shd w:val="clear" w:color="auto" w:fill="auto"/>
                <w:lang w:bidi="ar"/>
              </w:rPr>
              <w:t>区内一般固体废物临时贮存应采取以下措施：</w:t>
            </w:r>
          </w:p>
          <w:p w14:paraId="43A985DE">
            <w:pPr>
              <w:pStyle w:val="30"/>
              <w:keepNext w:val="0"/>
              <w:keepLines w:val="0"/>
              <w:pageBreakBefore w:val="0"/>
              <w:widowControl w:val="0"/>
              <w:kinsoku/>
              <w:wordWrap/>
              <w:overflowPunct/>
              <w:topLinePunct w:val="0"/>
              <w:bidi w:val="0"/>
              <w:spacing w:before="0" w:beforeAutospacing="0" w:after="0" w:afterAutospacing="0" w:line="360" w:lineRule="auto"/>
              <w:ind w:leftChars="0" w:firstLine="480" w:firstLineChars="200"/>
              <w:jc w:val="both"/>
              <w:textAlignment w:val="auto"/>
              <w:rPr>
                <w:rFonts w:hint="eastAsia" w:ascii="Times New Roman" w:hAnsi="Times New Roman" w:eastAsia="宋体" w:cs="宋体"/>
                <w:color w:val="auto"/>
                <w:kern w:val="2"/>
                <w:sz w:val="24"/>
                <w:szCs w:val="24"/>
                <w:highlight w:val="none"/>
                <w:shd w:val="clear" w:color="auto" w:fill="auto"/>
                <w:lang w:bidi="ar"/>
              </w:rPr>
            </w:pPr>
            <w:r>
              <w:rPr>
                <w:rFonts w:hint="eastAsia" w:ascii="Times New Roman" w:hAnsi="Times New Roman" w:eastAsia="宋体" w:cs="宋体"/>
                <w:color w:val="auto"/>
                <w:kern w:val="2"/>
                <w:sz w:val="24"/>
                <w:szCs w:val="24"/>
                <w:highlight w:val="none"/>
                <w:shd w:val="clear" w:color="auto" w:fill="auto"/>
                <w:lang w:bidi="ar"/>
              </w:rPr>
              <w:fldChar w:fldCharType="begin"/>
            </w:r>
            <w:r>
              <w:rPr>
                <w:rFonts w:hint="eastAsia" w:ascii="Times New Roman" w:hAnsi="Times New Roman" w:eastAsia="宋体" w:cs="宋体"/>
                <w:color w:val="auto"/>
                <w:kern w:val="2"/>
                <w:sz w:val="24"/>
                <w:szCs w:val="24"/>
                <w:highlight w:val="none"/>
                <w:shd w:val="clear" w:color="auto" w:fill="auto"/>
                <w:lang w:bidi="ar"/>
              </w:rPr>
              <w:instrText xml:space="preserve">=1\*GB3\*MERGEFORMAT</w:instrText>
            </w:r>
            <w:r>
              <w:rPr>
                <w:rFonts w:hint="eastAsia" w:ascii="Times New Roman" w:hAnsi="Times New Roman" w:eastAsia="宋体" w:cs="宋体"/>
                <w:color w:val="auto"/>
                <w:kern w:val="2"/>
                <w:sz w:val="24"/>
                <w:szCs w:val="24"/>
                <w:highlight w:val="none"/>
                <w:shd w:val="clear" w:color="auto" w:fill="auto"/>
                <w:lang w:bidi="ar"/>
              </w:rPr>
              <w:fldChar w:fldCharType="separate"/>
            </w:r>
            <w:r>
              <w:rPr>
                <w:rFonts w:hint="eastAsia" w:ascii="Times New Roman" w:hAnsi="Times New Roman" w:eastAsia="宋体" w:cs="宋体"/>
                <w:color w:val="auto"/>
                <w:kern w:val="2"/>
                <w:sz w:val="24"/>
                <w:szCs w:val="24"/>
                <w:highlight w:val="none"/>
                <w:shd w:val="clear" w:color="auto" w:fill="auto"/>
                <w:lang w:bidi="ar"/>
              </w:rPr>
              <w:t>①</w:t>
            </w:r>
            <w:r>
              <w:rPr>
                <w:rFonts w:hint="eastAsia" w:ascii="Times New Roman" w:hAnsi="Times New Roman" w:eastAsia="宋体" w:cs="宋体"/>
                <w:color w:val="auto"/>
                <w:kern w:val="2"/>
                <w:sz w:val="24"/>
                <w:szCs w:val="24"/>
                <w:highlight w:val="none"/>
                <w:shd w:val="clear" w:color="auto" w:fill="auto"/>
                <w:lang w:bidi="ar"/>
              </w:rPr>
              <w:fldChar w:fldCharType="end"/>
            </w:r>
            <w:r>
              <w:rPr>
                <w:rFonts w:hint="eastAsia" w:ascii="Times New Roman" w:hAnsi="Times New Roman" w:eastAsia="宋体" w:cs="宋体"/>
                <w:color w:val="auto"/>
                <w:kern w:val="2"/>
                <w:sz w:val="24"/>
                <w:szCs w:val="24"/>
                <w:highlight w:val="none"/>
                <w:shd w:val="clear" w:color="auto" w:fill="auto"/>
                <w:lang w:bidi="ar"/>
              </w:rPr>
              <w:t>一般工业固体废物应按Ⅰ类和Ⅱ类废物分别储存，建立分类收集房。不允许将危险废物和生活垃圾混入。</w:t>
            </w:r>
          </w:p>
          <w:p w14:paraId="08258357">
            <w:pPr>
              <w:pStyle w:val="30"/>
              <w:keepNext w:val="0"/>
              <w:keepLines w:val="0"/>
              <w:pageBreakBefore w:val="0"/>
              <w:widowControl w:val="0"/>
              <w:kinsoku/>
              <w:wordWrap/>
              <w:overflowPunct/>
              <w:topLinePunct w:val="0"/>
              <w:bidi w:val="0"/>
              <w:spacing w:before="0" w:beforeAutospacing="0" w:after="0" w:afterAutospacing="0" w:line="360" w:lineRule="auto"/>
              <w:ind w:leftChars="0" w:firstLine="480" w:firstLineChars="200"/>
              <w:jc w:val="both"/>
              <w:textAlignment w:val="auto"/>
              <w:rPr>
                <w:rFonts w:hint="eastAsia" w:ascii="Times New Roman" w:hAnsi="Times New Roman" w:eastAsia="宋体" w:cs="宋体"/>
                <w:color w:val="auto"/>
                <w:kern w:val="2"/>
                <w:sz w:val="24"/>
                <w:szCs w:val="24"/>
                <w:highlight w:val="none"/>
                <w:shd w:val="clear" w:color="auto" w:fill="auto"/>
                <w:lang w:bidi="ar"/>
              </w:rPr>
            </w:pPr>
            <w:r>
              <w:rPr>
                <w:rFonts w:hint="eastAsia" w:ascii="Times New Roman" w:hAnsi="Times New Roman" w:eastAsia="宋体" w:cs="宋体"/>
                <w:color w:val="auto"/>
                <w:kern w:val="2"/>
                <w:sz w:val="24"/>
                <w:szCs w:val="24"/>
                <w:highlight w:val="none"/>
                <w:shd w:val="clear" w:color="auto" w:fill="auto"/>
                <w:lang w:bidi="ar"/>
              </w:rPr>
              <w:fldChar w:fldCharType="begin"/>
            </w:r>
            <w:r>
              <w:rPr>
                <w:rFonts w:hint="eastAsia" w:ascii="Times New Roman" w:hAnsi="Times New Roman" w:eastAsia="宋体" w:cs="宋体"/>
                <w:color w:val="auto"/>
                <w:kern w:val="2"/>
                <w:sz w:val="24"/>
                <w:szCs w:val="24"/>
                <w:highlight w:val="none"/>
                <w:shd w:val="clear" w:color="auto" w:fill="auto"/>
                <w:lang w:bidi="ar"/>
              </w:rPr>
              <w:instrText xml:space="preserve">=2\*GB3\*MERGEFORMAT</w:instrText>
            </w:r>
            <w:r>
              <w:rPr>
                <w:rFonts w:hint="eastAsia" w:ascii="Times New Roman" w:hAnsi="Times New Roman" w:eastAsia="宋体" w:cs="宋体"/>
                <w:color w:val="auto"/>
                <w:kern w:val="2"/>
                <w:sz w:val="24"/>
                <w:szCs w:val="24"/>
                <w:highlight w:val="none"/>
                <w:shd w:val="clear" w:color="auto" w:fill="auto"/>
                <w:lang w:bidi="ar"/>
              </w:rPr>
              <w:fldChar w:fldCharType="separate"/>
            </w:r>
            <w:r>
              <w:rPr>
                <w:rFonts w:hint="eastAsia" w:ascii="Times New Roman" w:hAnsi="Times New Roman" w:eastAsia="宋体" w:cs="宋体"/>
                <w:color w:val="auto"/>
                <w:kern w:val="2"/>
                <w:sz w:val="24"/>
                <w:szCs w:val="24"/>
                <w:highlight w:val="none"/>
                <w:shd w:val="clear" w:color="auto" w:fill="auto"/>
                <w:lang w:bidi="ar"/>
              </w:rPr>
              <w:t>②</w:t>
            </w:r>
            <w:r>
              <w:rPr>
                <w:rFonts w:hint="eastAsia" w:ascii="Times New Roman" w:hAnsi="Times New Roman" w:eastAsia="宋体" w:cs="宋体"/>
                <w:color w:val="auto"/>
                <w:kern w:val="2"/>
                <w:sz w:val="24"/>
                <w:szCs w:val="24"/>
                <w:highlight w:val="none"/>
                <w:shd w:val="clear" w:color="auto" w:fill="auto"/>
                <w:lang w:bidi="ar"/>
              </w:rPr>
              <w:fldChar w:fldCharType="end"/>
            </w:r>
            <w:r>
              <w:rPr>
                <w:rFonts w:hint="eastAsia" w:ascii="Times New Roman" w:hAnsi="Times New Roman" w:eastAsia="宋体" w:cs="宋体"/>
                <w:color w:val="auto"/>
                <w:kern w:val="2"/>
                <w:sz w:val="24"/>
                <w:szCs w:val="24"/>
                <w:highlight w:val="none"/>
                <w:shd w:val="clear" w:color="auto" w:fill="auto"/>
                <w:lang w:bidi="ar"/>
              </w:rPr>
              <w:t>尽量将可利用的一般工业固体废物回收、利用。</w:t>
            </w:r>
          </w:p>
          <w:p w14:paraId="56E2CE87">
            <w:pPr>
              <w:pStyle w:val="30"/>
              <w:keepNext w:val="0"/>
              <w:keepLines w:val="0"/>
              <w:pageBreakBefore w:val="0"/>
              <w:widowControl w:val="0"/>
              <w:kinsoku/>
              <w:wordWrap/>
              <w:overflowPunct/>
              <w:topLinePunct w:val="0"/>
              <w:bidi w:val="0"/>
              <w:spacing w:before="0" w:beforeAutospacing="0" w:after="0" w:afterAutospacing="0" w:line="360" w:lineRule="auto"/>
              <w:ind w:leftChars="0" w:firstLine="480" w:firstLineChars="200"/>
              <w:jc w:val="both"/>
              <w:textAlignment w:val="auto"/>
              <w:rPr>
                <w:rFonts w:hint="eastAsia" w:ascii="Times New Roman" w:hAnsi="Times New Roman" w:eastAsia="宋体" w:cs="宋体"/>
                <w:color w:val="auto"/>
                <w:kern w:val="2"/>
                <w:sz w:val="24"/>
                <w:szCs w:val="24"/>
                <w:highlight w:val="none"/>
                <w:shd w:val="clear" w:color="auto" w:fill="auto"/>
                <w:lang w:bidi="ar"/>
              </w:rPr>
            </w:pPr>
            <w:r>
              <w:rPr>
                <w:rFonts w:hint="eastAsia" w:ascii="Times New Roman" w:hAnsi="Times New Roman" w:eastAsia="宋体" w:cs="宋体"/>
                <w:color w:val="auto"/>
                <w:kern w:val="2"/>
                <w:sz w:val="24"/>
                <w:szCs w:val="24"/>
                <w:highlight w:val="none"/>
                <w:shd w:val="clear" w:color="auto" w:fill="auto"/>
                <w:lang w:bidi="ar"/>
              </w:rPr>
              <w:fldChar w:fldCharType="begin"/>
            </w:r>
            <w:r>
              <w:rPr>
                <w:rFonts w:hint="eastAsia" w:ascii="Times New Roman" w:hAnsi="Times New Roman" w:eastAsia="宋体" w:cs="宋体"/>
                <w:color w:val="auto"/>
                <w:kern w:val="2"/>
                <w:sz w:val="24"/>
                <w:szCs w:val="24"/>
                <w:highlight w:val="none"/>
                <w:shd w:val="clear" w:color="auto" w:fill="auto"/>
                <w:lang w:bidi="ar"/>
              </w:rPr>
              <w:instrText xml:space="preserve">=3\*GB3\*MERGEFORMAT</w:instrText>
            </w:r>
            <w:r>
              <w:rPr>
                <w:rFonts w:hint="eastAsia" w:ascii="Times New Roman" w:hAnsi="Times New Roman" w:eastAsia="宋体" w:cs="宋体"/>
                <w:color w:val="auto"/>
                <w:kern w:val="2"/>
                <w:sz w:val="24"/>
                <w:szCs w:val="24"/>
                <w:highlight w:val="none"/>
                <w:shd w:val="clear" w:color="auto" w:fill="auto"/>
                <w:lang w:bidi="ar"/>
              </w:rPr>
              <w:fldChar w:fldCharType="separate"/>
            </w:r>
            <w:r>
              <w:rPr>
                <w:rFonts w:hint="eastAsia" w:ascii="Times New Roman" w:hAnsi="Times New Roman" w:eastAsia="宋体" w:cs="宋体"/>
                <w:color w:val="auto"/>
                <w:kern w:val="2"/>
                <w:sz w:val="24"/>
                <w:szCs w:val="24"/>
                <w:highlight w:val="none"/>
                <w:shd w:val="clear" w:color="auto" w:fill="auto"/>
                <w:lang w:bidi="ar"/>
              </w:rPr>
              <w:t>③</w:t>
            </w:r>
            <w:r>
              <w:rPr>
                <w:rFonts w:hint="eastAsia" w:ascii="Times New Roman" w:hAnsi="Times New Roman" w:eastAsia="宋体" w:cs="宋体"/>
                <w:color w:val="auto"/>
                <w:kern w:val="2"/>
                <w:sz w:val="24"/>
                <w:szCs w:val="24"/>
                <w:highlight w:val="none"/>
                <w:shd w:val="clear" w:color="auto" w:fill="auto"/>
                <w:lang w:bidi="ar"/>
              </w:rPr>
              <w:fldChar w:fldCharType="end"/>
            </w:r>
            <w:r>
              <w:rPr>
                <w:rFonts w:hint="eastAsia" w:ascii="Times New Roman" w:hAnsi="Times New Roman" w:eastAsia="宋体" w:cs="宋体"/>
                <w:color w:val="auto"/>
                <w:kern w:val="2"/>
                <w:sz w:val="24"/>
                <w:szCs w:val="24"/>
                <w:highlight w:val="none"/>
                <w:shd w:val="clear" w:color="auto" w:fill="auto"/>
                <w:lang w:bidi="ar"/>
              </w:rPr>
              <w:t>加强</w:t>
            </w:r>
            <w:r>
              <w:rPr>
                <w:rFonts w:hint="eastAsia" w:cs="宋体"/>
                <w:color w:val="auto"/>
                <w:kern w:val="2"/>
                <w:sz w:val="24"/>
                <w:szCs w:val="24"/>
                <w:highlight w:val="none"/>
                <w:shd w:val="clear" w:color="auto" w:fill="auto"/>
                <w:lang w:val="en-US" w:eastAsia="zh-CN" w:bidi="ar"/>
              </w:rPr>
              <w:t>医院</w:t>
            </w:r>
            <w:r>
              <w:rPr>
                <w:rFonts w:hint="eastAsia" w:ascii="Times New Roman" w:hAnsi="Times New Roman" w:eastAsia="宋体" w:cs="宋体"/>
                <w:color w:val="auto"/>
                <w:kern w:val="2"/>
                <w:sz w:val="24"/>
                <w:szCs w:val="24"/>
                <w:highlight w:val="none"/>
                <w:shd w:val="clear" w:color="auto" w:fill="auto"/>
                <w:lang w:bidi="ar"/>
              </w:rPr>
              <w:t>内部对固体废物的管理，对固体废物实行从产生、收集、运输、贮存直至最终处理实行全过程管理，加强固体废物运输过程的事故风险防范，建立固体废物产生、外运、处置及最终去向的详细台账。</w:t>
            </w:r>
          </w:p>
          <w:p w14:paraId="1EB9737D">
            <w:pPr>
              <w:pStyle w:val="30"/>
              <w:keepNext w:val="0"/>
              <w:keepLines w:val="0"/>
              <w:pageBreakBefore w:val="0"/>
              <w:widowControl w:val="0"/>
              <w:kinsoku/>
              <w:wordWrap/>
              <w:overflowPunct/>
              <w:topLinePunct w:val="0"/>
              <w:bidi w:val="0"/>
              <w:spacing w:before="0" w:beforeAutospacing="0" w:after="0" w:afterAutospacing="0" w:line="360" w:lineRule="auto"/>
              <w:ind w:leftChars="0" w:firstLine="480" w:firstLineChars="200"/>
              <w:jc w:val="both"/>
              <w:textAlignment w:val="auto"/>
              <w:rPr>
                <w:rFonts w:hint="eastAsia" w:ascii="Times New Roman" w:hAnsi="Times New Roman" w:eastAsia="宋体" w:cs="宋体"/>
                <w:color w:val="auto"/>
                <w:kern w:val="2"/>
                <w:sz w:val="24"/>
                <w:szCs w:val="24"/>
                <w:highlight w:val="none"/>
                <w:shd w:val="clear" w:color="auto" w:fill="auto"/>
                <w:lang w:bidi="ar"/>
              </w:rPr>
            </w:pPr>
            <w:r>
              <w:rPr>
                <w:rFonts w:hint="eastAsia" w:ascii="Times New Roman" w:hAnsi="Times New Roman" w:eastAsia="宋体" w:cs="宋体"/>
                <w:color w:val="auto"/>
                <w:kern w:val="2"/>
                <w:sz w:val="24"/>
                <w:szCs w:val="24"/>
                <w:highlight w:val="none"/>
                <w:shd w:val="clear" w:color="auto" w:fill="auto"/>
                <w:lang w:bidi="ar"/>
              </w:rPr>
              <w:fldChar w:fldCharType="begin"/>
            </w:r>
            <w:r>
              <w:rPr>
                <w:rFonts w:hint="eastAsia" w:ascii="Times New Roman" w:hAnsi="Times New Roman" w:eastAsia="宋体" w:cs="宋体"/>
                <w:color w:val="auto"/>
                <w:kern w:val="2"/>
                <w:sz w:val="24"/>
                <w:szCs w:val="24"/>
                <w:highlight w:val="none"/>
                <w:shd w:val="clear" w:color="auto" w:fill="auto"/>
                <w:lang w:bidi="ar"/>
              </w:rPr>
              <w:instrText xml:space="preserve">=4\*GB3\*MERGEFORMAT</w:instrText>
            </w:r>
            <w:r>
              <w:rPr>
                <w:rFonts w:hint="eastAsia" w:ascii="Times New Roman" w:hAnsi="Times New Roman" w:eastAsia="宋体" w:cs="宋体"/>
                <w:color w:val="auto"/>
                <w:kern w:val="2"/>
                <w:sz w:val="24"/>
                <w:szCs w:val="24"/>
                <w:highlight w:val="none"/>
                <w:shd w:val="clear" w:color="auto" w:fill="auto"/>
                <w:lang w:bidi="ar"/>
              </w:rPr>
              <w:fldChar w:fldCharType="separate"/>
            </w:r>
            <w:r>
              <w:rPr>
                <w:rFonts w:hint="eastAsia" w:ascii="Times New Roman" w:hAnsi="Times New Roman" w:eastAsia="宋体" w:cs="宋体"/>
                <w:color w:val="auto"/>
                <w:kern w:val="2"/>
                <w:sz w:val="24"/>
                <w:szCs w:val="24"/>
                <w:highlight w:val="none"/>
                <w:shd w:val="clear" w:color="auto" w:fill="auto"/>
                <w:lang w:bidi="ar"/>
              </w:rPr>
              <w:t>④</w:t>
            </w:r>
            <w:r>
              <w:rPr>
                <w:rFonts w:hint="eastAsia" w:ascii="Times New Roman" w:hAnsi="Times New Roman" w:eastAsia="宋体" w:cs="宋体"/>
                <w:color w:val="auto"/>
                <w:kern w:val="2"/>
                <w:sz w:val="24"/>
                <w:szCs w:val="24"/>
                <w:highlight w:val="none"/>
                <w:shd w:val="clear" w:color="auto" w:fill="auto"/>
                <w:lang w:bidi="ar"/>
              </w:rPr>
              <w:fldChar w:fldCharType="end"/>
            </w:r>
            <w:r>
              <w:rPr>
                <w:rFonts w:hint="eastAsia" w:ascii="Times New Roman" w:hAnsi="Times New Roman" w:eastAsia="宋体" w:cs="宋体"/>
                <w:color w:val="auto"/>
                <w:kern w:val="2"/>
                <w:sz w:val="24"/>
                <w:szCs w:val="24"/>
                <w:highlight w:val="none"/>
                <w:shd w:val="clear" w:color="auto" w:fill="auto"/>
                <w:lang w:bidi="ar"/>
              </w:rPr>
              <w:t>加强固体废物规范化管理，建立全</w:t>
            </w:r>
            <w:r>
              <w:rPr>
                <w:rFonts w:hint="eastAsia" w:cs="宋体"/>
                <w:color w:val="auto"/>
                <w:kern w:val="2"/>
                <w:sz w:val="24"/>
                <w:szCs w:val="24"/>
                <w:highlight w:val="none"/>
                <w:shd w:val="clear" w:color="auto" w:fill="auto"/>
                <w:lang w:val="en-US" w:eastAsia="zh-CN" w:bidi="ar"/>
              </w:rPr>
              <w:t>院</w:t>
            </w:r>
            <w:r>
              <w:rPr>
                <w:rFonts w:hint="eastAsia" w:ascii="Times New Roman" w:hAnsi="Times New Roman" w:eastAsia="宋体" w:cs="宋体"/>
                <w:color w:val="auto"/>
                <w:kern w:val="2"/>
                <w:sz w:val="24"/>
                <w:szCs w:val="24"/>
                <w:highlight w:val="none"/>
                <w:shd w:val="clear" w:color="auto" w:fill="auto"/>
                <w:lang w:bidi="ar"/>
              </w:rPr>
              <w:t>统一的固废分类收集、统一堆放场地制度，堆放场所远离办公区和周围环境敏感点。临时储存地点必须建有雨棚，不允许露天堆放，以防止雨水冲刷，雨水应通过场地四周导流渠流向雨水排放管；临时堆放场地为水泥铺设地面，以防渗漏。</w:t>
            </w:r>
          </w:p>
          <w:p w14:paraId="5875B87E">
            <w:pPr>
              <w:pStyle w:val="30"/>
              <w:keepNext w:val="0"/>
              <w:keepLines w:val="0"/>
              <w:pageBreakBefore w:val="0"/>
              <w:widowControl w:val="0"/>
              <w:kinsoku/>
              <w:wordWrap/>
              <w:overflowPunct/>
              <w:topLinePunct w:val="0"/>
              <w:bidi w:val="0"/>
              <w:spacing w:before="0" w:beforeAutospacing="0" w:after="0" w:afterAutospacing="0" w:line="360" w:lineRule="auto"/>
              <w:ind w:leftChars="0" w:firstLine="480" w:firstLineChars="200"/>
              <w:jc w:val="both"/>
              <w:textAlignment w:val="auto"/>
              <w:rPr>
                <w:rFonts w:hint="eastAsia" w:ascii="Times New Roman" w:hAnsi="Times New Roman" w:eastAsia="宋体" w:cs="宋体"/>
                <w:color w:val="auto"/>
                <w:kern w:val="2"/>
                <w:sz w:val="24"/>
                <w:szCs w:val="24"/>
                <w:highlight w:val="none"/>
                <w:shd w:val="clear" w:color="auto" w:fill="auto"/>
                <w:lang w:bidi="ar"/>
              </w:rPr>
            </w:pPr>
            <w:r>
              <w:rPr>
                <w:rFonts w:hint="eastAsia" w:ascii="Times New Roman" w:hAnsi="Times New Roman" w:eastAsia="宋体" w:cs="宋体"/>
                <w:color w:val="auto"/>
                <w:kern w:val="2"/>
                <w:sz w:val="24"/>
                <w:szCs w:val="24"/>
                <w:highlight w:val="none"/>
                <w:shd w:val="clear" w:color="auto" w:fill="auto"/>
                <w:lang w:bidi="ar"/>
              </w:rPr>
              <w:fldChar w:fldCharType="begin"/>
            </w:r>
            <w:r>
              <w:rPr>
                <w:rFonts w:hint="eastAsia" w:ascii="Times New Roman" w:hAnsi="Times New Roman" w:eastAsia="宋体" w:cs="宋体"/>
                <w:color w:val="auto"/>
                <w:kern w:val="2"/>
                <w:sz w:val="24"/>
                <w:szCs w:val="24"/>
                <w:highlight w:val="none"/>
                <w:shd w:val="clear" w:color="auto" w:fill="auto"/>
                <w:lang w:bidi="ar"/>
              </w:rPr>
              <w:instrText xml:space="preserve">=5\*GB3\*MERGEFORMAT</w:instrText>
            </w:r>
            <w:r>
              <w:rPr>
                <w:rFonts w:hint="eastAsia" w:ascii="Times New Roman" w:hAnsi="Times New Roman" w:eastAsia="宋体" w:cs="宋体"/>
                <w:color w:val="auto"/>
                <w:kern w:val="2"/>
                <w:sz w:val="24"/>
                <w:szCs w:val="24"/>
                <w:highlight w:val="none"/>
                <w:shd w:val="clear" w:color="auto" w:fill="auto"/>
                <w:lang w:bidi="ar"/>
              </w:rPr>
              <w:fldChar w:fldCharType="separate"/>
            </w:r>
            <w:r>
              <w:rPr>
                <w:rFonts w:hint="eastAsia" w:ascii="Times New Roman" w:hAnsi="Times New Roman" w:eastAsia="宋体" w:cs="宋体"/>
                <w:color w:val="auto"/>
                <w:kern w:val="2"/>
                <w:sz w:val="24"/>
                <w:szCs w:val="24"/>
                <w:highlight w:val="none"/>
                <w:shd w:val="clear" w:color="auto" w:fill="auto"/>
                <w:lang w:bidi="ar"/>
              </w:rPr>
              <w:t>⑤</w:t>
            </w:r>
            <w:r>
              <w:rPr>
                <w:rFonts w:hint="eastAsia" w:ascii="Times New Roman" w:hAnsi="Times New Roman" w:eastAsia="宋体" w:cs="宋体"/>
                <w:color w:val="auto"/>
                <w:kern w:val="2"/>
                <w:sz w:val="24"/>
                <w:szCs w:val="24"/>
                <w:highlight w:val="none"/>
                <w:shd w:val="clear" w:color="auto" w:fill="auto"/>
                <w:lang w:bidi="ar"/>
              </w:rPr>
              <w:fldChar w:fldCharType="end"/>
            </w:r>
            <w:r>
              <w:rPr>
                <w:rFonts w:hint="eastAsia" w:ascii="Times New Roman" w:hAnsi="Times New Roman" w:eastAsia="宋体" w:cs="宋体"/>
                <w:color w:val="auto"/>
                <w:kern w:val="2"/>
                <w:sz w:val="24"/>
                <w:szCs w:val="24"/>
                <w:highlight w:val="none"/>
                <w:shd w:val="clear" w:color="auto" w:fill="auto"/>
                <w:lang w:bidi="ar"/>
              </w:rPr>
              <w:t>为加强管理监督，贮存</w:t>
            </w:r>
            <w:r>
              <w:rPr>
                <w:rFonts w:hint="eastAsia" w:cs="宋体"/>
                <w:color w:val="auto"/>
                <w:kern w:val="2"/>
                <w:sz w:val="24"/>
                <w:szCs w:val="24"/>
                <w:highlight w:val="none"/>
                <w:shd w:val="clear" w:color="auto" w:fill="auto"/>
                <w:lang w:eastAsia="zh-CN" w:bidi="ar"/>
              </w:rPr>
              <w:t>场所</w:t>
            </w:r>
            <w:r>
              <w:rPr>
                <w:rFonts w:hint="eastAsia" w:ascii="Times New Roman" w:hAnsi="Times New Roman" w:eastAsia="宋体" w:cs="宋体"/>
                <w:color w:val="auto"/>
                <w:kern w:val="2"/>
                <w:sz w:val="24"/>
                <w:szCs w:val="24"/>
                <w:highlight w:val="none"/>
                <w:shd w:val="clear" w:color="auto" w:fill="auto"/>
                <w:lang w:bidi="ar"/>
              </w:rPr>
              <w:t>应按《</w:t>
            </w:r>
            <w:r>
              <w:rPr>
                <w:rFonts w:hint="eastAsia" w:cs="宋体"/>
                <w:color w:val="auto"/>
                <w:kern w:val="2"/>
                <w:sz w:val="24"/>
                <w:szCs w:val="24"/>
                <w:highlight w:val="none"/>
                <w:shd w:val="clear" w:color="auto" w:fill="auto"/>
                <w:lang w:eastAsia="zh-CN" w:bidi="ar"/>
              </w:rPr>
              <w:t>环境保护图形标志固体废物贮存（处置）场</w:t>
            </w:r>
            <w:r>
              <w:rPr>
                <w:rFonts w:hint="eastAsia" w:ascii="Times New Roman" w:hAnsi="Times New Roman" w:eastAsia="宋体" w:cs="宋体"/>
                <w:color w:val="auto"/>
                <w:kern w:val="2"/>
                <w:sz w:val="24"/>
                <w:szCs w:val="24"/>
                <w:highlight w:val="none"/>
                <w:shd w:val="clear" w:color="auto" w:fill="auto"/>
                <w:lang w:bidi="ar"/>
              </w:rPr>
              <w:t>》（GB15562.2-1995）</w:t>
            </w:r>
            <w:r>
              <w:rPr>
                <w:rFonts w:hint="eastAsia" w:cs="宋体"/>
                <w:color w:val="auto"/>
                <w:kern w:val="2"/>
                <w:sz w:val="24"/>
                <w:szCs w:val="24"/>
                <w:highlight w:val="none"/>
                <w:shd w:val="clear" w:color="auto" w:fill="auto"/>
                <w:lang w:val="en-US" w:eastAsia="zh-CN" w:bidi="ar"/>
              </w:rPr>
              <w:t>修改单</w:t>
            </w:r>
            <w:r>
              <w:rPr>
                <w:rFonts w:hint="eastAsia" w:ascii="Times New Roman" w:hAnsi="Times New Roman" w:eastAsia="宋体" w:cs="宋体"/>
                <w:color w:val="auto"/>
                <w:kern w:val="2"/>
                <w:sz w:val="24"/>
                <w:szCs w:val="24"/>
                <w:highlight w:val="none"/>
                <w:shd w:val="clear" w:color="auto" w:fill="auto"/>
                <w:lang w:bidi="ar"/>
              </w:rPr>
              <w:t>设置环境保护图形标志。</w:t>
            </w:r>
          </w:p>
          <w:p w14:paraId="723D7B72">
            <w:pPr>
              <w:pStyle w:val="30"/>
              <w:keepNext w:val="0"/>
              <w:keepLines w:val="0"/>
              <w:pageBreakBefore w:val="0"/>
              <w:widowControl w:val="0"/>
              <w:kinsoku/>
              <w:wordWrap/>
              <w:overflowPunct/>
              <w:topLinePunct w:val="0"/>
              <w:bidi w:val="0"/>
              <w:spacing w:before="0" w:beforeAutospacing="0" w:after="0" w:afterAutospacing="0" w:line="360" w:lineRule="auto"/>
              <w:ind w:leftChars="0" w:firstLine="480" w:firstLineChars="200"/>
              <w:jc w:val="both"/>
              <w:textAlignment w:val="auto"/>
              <w:rPr>
                <w:rFonts w:hint="eastAsia" w:ascii="Times New Roman" w:hAnsi="Times New Roman" w:eastAsia="宋体" w:cs="宋体"/>
                <w:color w:val="auto"/>
                <w:kern w:val="2"/>
                <w:sz w:val="24"/>
                <w:szCs w:val="24"/>
                <w:highlight w:val="none"/>
                <w:shd w:val="clear" w:color="auto" w:fill="auto"/>
                <w:lang w:bidi="ar"/>
              </w:rPr>
            </w:pPr>
            <w:r>
              <w:rPr>
                <w:rFonts w:hint="eastAsia" w:ascii="Times New Roman" w:hAnsi="Times New Roman" w:eastAsia="宋体" w:cs="宋体"/>
                <w:color w:val="auto"/>
                <w:kern w:val="2"/>
                <w:sz w:val="24"/>
                <w:szCs w:val="24"/>
                <w:highlight w:val="none"/>
                <w:shd w:val="clear" w:color="auto" w:fill="auto"/>
                <w:lang w:bidi="ar"/>
              </w:rPr>
              <w:t>采取以上措施后一般固体废物对周边环境影响小，因此措施可行。</w:t>
            </w:r>
          </w:p>
          <w:p w14:paraId="7F12FEA7">
            <w:pPr>
              <w:pStyle w:val="30"/>
              <w:keepNext w:val="0"/>
              <w:keepLines w:val="0"/>
              <w:pageBreakBefore w:val="0"/>
              <w:widowControl w:val="0"/>
              <w:numPr>
                <w:ilvl w:val="0"/>
                <w:numId w:val="0"/>
              </w:numPr>
              <w:kinsoku/>
              <w:wordWrap/>
              <w:overflowPunct/>
              <w:topLinePunct w:val="0"/>
              <w:bidi w:val="0"/>
              <w:spacing w:before="0" w:beforeAutospacing="0" w:after="0" w:afterAutospacing="0" w:line="360" w:lineRule="auto"/>
              <w:ind w:leftChars="0" w:right="0" w:rightChars="0" w:firstLine="480" w:firstLineChars="200"/>
              <w:jc w:val="both"/>
              <w:textAlignment w:val="auto"/>
              <w:rPr>
                <w:rFonts w:ascii="Times New Roman" w:hAnsi="Times New Roman" w:cs="宋体"/>
                <w:color w:val="auto"/>
                <w:kern w:val="2"/>
                <w:sz w:val="24"/>
                <w:szCs w:val="24"/>
                <w:highlight w:val="none"/>
                <w:shd w:val="clear" w:color="auto" w:fill="auto"/>
                <w:lang w:bidi="ar"/>
              </w:rPr>
            </w:pPr>
            <w:r>
              <w:rPr>
                <w:rFonts w:hint="eastAsia" w:cs="宋体"/>
                <w:color w:val="auto"/>
                <w:kern w:val="2"/>
                <w:sz w:val="24"/>
                <w:szCs w:val="24"/>
                <w:highlight w:val="none"/>
                <w:shd w:val="clear" w:color="auto" w:fill="auto"/>
                <w:lang w:eastAsia="zh-CN" w:bidi="ar"/>
              </w:rPr>
              <w:t>（</w:t>
            </w:r>
            <w:r>
              <w:rPr>
                <w:rFonts w:hint="eastAsia" w:cs="宋体"/>
                <w:color w:val="auto"/>
                <w:kern w:val="2"/>
                <w:sz w:val="24"/>
                <w:szCs w:val="24"/>
                <w:highlight w:val="none"/>
                <w:shd w:val="clear" w:color="auto" w:fill="auto"/>
                <w:lang w:val="en-US" w:eastAsia="zh-CN" w:bidi="ar"/>
              </w:rPr>
              <w:t>3</w:t>
            </w:r>
            <w:r>
              <w:rPr>
                <w:rFonts w:hint="eastAsia" w:cs="宋体"/>
                <w:color w:val="auto"/>
                <w:kern w:val="2"/>
                <w:sz w:val="24"/>
                <w:szCs w:val="24"/>
                <w:highlight w:val="none"/>
                <w:shd w:val="clear" w:color="auto" w:fill="auto"/>
                <w:lang w:eastAsia="zh-CN" w:bidi="ar"/>
              </w:rPr>
              <w:t>）</w:t>
            </w:r>
            <w:r>
              <w:rPr>
                <w:rFonts w:hint="eastAsia" w:ascii="Times New Roman" w:hAnsi="Times New Roman" w:cs="宋体"/>
                <w:color w:val="auto"/>
                <w:kern w:val="2"/>
                <w:sz w:val="24"/>
                <w:szCs w:val="24"/>
                <w:highlight w:val="none"/>
                <w:shd w:val="clear" w:color="auto" w:fill="auto"/>
                <w:lang w:bidi="ar"/>
              </w:rPr>
              <w:t>危险废物管理要求</w:t>
            </w:r>
          </w:p>
          <w:p w14:paraId="2D94E226">
            <w:pPr>
              <w:pStyle w:val="118"/>
              <w:keepNext w:val="0"/>
              <w:keepLines w:val="0"/>
              <w:pageBreakBefore w:val="0"/>
              <w:widowControl w:val="0"/>
              <w:kinsoku/>
              <w:wordWrap/>
              <w:overflowPunct/>
              <w:topLinePunct w:val="0"/>
              <w:bidi w:val="0"/>
              <w:spacing w:line="360" w:lineRule="auto"/>
              <w:ind w:leftChars="0" w:firstLine="480" w:firstLineChars="200"/>
              <w:jc w:val="both"/>
              <w:textAlignment w:val="auto"/>
              <w:rPr>
                <w:rFonts w:ascii="Times New Roman" w:hAnsi="Times New Roman" w:eastAsia="宋体"/>
                <w:color w:val="auto"/>
                <w:sz w:val="24"/>
                <w:highlight w:val="none"/>
                <w:shd w:val="clear" w:color="auto" w:fill="auto"/>
              </w:rPr>
            </w:pPr>
            <w:r>
              <w:rPr>
                <w:rFonts w:hint="eastAsia" w:ascii="Times New Roman" w:hAnsi="Times New Roman" w:eastAsia="宋体"/>
                <w:color w:val="auto"/>
                <w:sz w:val="24"/>
                <w:highlight w:val="none"/>
                <w:shd w:val="clear" w:color="auto" w:fill="auto"/>
              </w:rPr>
              <w:t>危险废物的收集和贮存应遵循以下要求：</w:t>
            </w:r>
          </w:p>
          <w:p w14:paraId="542BB069">
            <w:pPr>
              <w:pStyle w:val="120"/>
              <w:keepNext w:val="0"/>
              <w:keepLines w:val="0"/>
              <w:pageBreakBefore w:val="0"/>
              <w:widowControl w:val="0"/>
              <w:kinsoku/>
              <w:wordWrap/>
              <w:overflowPunct/>
              <w:topLinePunct w:val="0"/>
              <w:bidi w:val="0"/>
              <w:ind w:leftChars="0" w:firstLine="480" w:firstLineChars="200"/>
              <w:textAlignment w:val="auto"/>
              <w:rPr>
                <w:rFonts w:ascii="Times New Roman" w:hAnsi="Times New Roman" w:eastAsia="宋体"/>
                <w:color w:val="auto"/>
                <w:sz w:val="24"/>
                <w:highlight w:val="none"/>
                <w:shd w:val="clear" w:color="auto" w:fill="auto"/>
              </w:rPr>
            </w:pPr>
            <w:r>
              <w:rPr>
                <w:rFonts w:hint="eastAsia" w:ascii="Times New Roman" w:hAnsi="Times New Roman" w:eastAsia="宋体"/>
                <w:color w:val="auto"/>
                <w:sz w:val="24"/>
                <w:highlight w:val="none"/>
                <w:shd w:val="clear" w:color="auto" w:fill="auto"/>
              </w:rPr>
              <w:t>①危险废物的收集容器和临时贮存场所应严格按照《危险废物贮存污染控制标准》（</w:t>
            </w:r>
            <w:r>
              <w:rPr>
                <w:rFonts w:ascii="Times New Roman" w:hAnsi="Times New Roman" w:eastAsia="宋体"/>
                <w:color w:val="auto"/>
                <w:sz w:val="24"/>
                <w:highlight w:val="none"/>
                <w:shd w:val="clear" w:color="auto" w:fill="auto"/>
              </w:rPr>
              <w:t>GB18597-2023</w:t>
            </w:r>
            <w:r>
              <w:rPr>
                <w:rFonts w:hint="eastAsia" w:ascii="Times New Roman" w:hAnsi="Times New Roman" w:eastAsia="宋体"/>
                <w:color w:val="auto"/>
                <w:sz w:val="24"/>
                <w:highlight w:val="none"/>
                <w:shd w:val="clear" w:color="auto" w:fill="auto"/>
              </w:rPr>
              <w:t>）中的有关规定执行。贮存区必须按</w:t>
            </w:r>
            <w:r>
              <w:rPr>
                <w:rFonts w:ascii="Times New Roman" w:hAnsi="Times New Roman" w:eastAsia="宋体"/>
                <w:color w:val="auto"/>
                <w:sz w:val="24"/>
                <w:highlight w:val="none"/>
                <w:shd w:val="clear" w:color="auto" w:fill="auto"/>
              </w:rPr>
              <w:t>GB15562.2</w:t>
            </w:r>
            <w:r>
              <w:rPr>
                <w:rFonts w:hint="eastAsia" w:ascii="Times New Roman" w:hAnsi="Times New Roman" w:eastAsia="宋体"/>
                <w:color w:val="auto"/>
                <w:sz w:val="24"/>
                <w:highlight w:val="none"/>
                <w:shd w:val="clear" w:color="auto" w:fill="auto"/>
              </w:rPr>
              <w:t>的规定设置警示标志，并具有防雨淋、防日晒、防渗漏措施，且危险废物要有专用的收集容器，定期对所贮存的危险废物贮存设施进行检查，发现破损，应及时采取措施。</w:t>
            </w:r>
            <w:r>
              <w:rPr>
                <w:rFonts w:hint="eastAsia"/>
                <w:color w:val="auto"/>
                <w:sz w:val="24"/>
                <w:highlight w:val="none"/>
                <w:shd w:val="clear" w:color="auto" w:fill="auto"/>
                <w:lang w:val="en-US" w:eastAsia="zh-CN"/>
              </w:rPr>
              <w:t>建设单位应</w:t>
            </w:r>
            <w:r>
              <w:rPr>
                <w:rFonts w:hint="eastAsia" w:ascii="Times New Roman" w:hAnsi="Times New Roman" w:eastAsia="宋体"/>
                <w:color w:val="auto"/>
                <w:sz w:val="24"/>
                <w:highlight w:val="none"/>
                <w:shd w:val="clear" w:color="auto" w:fill="auto"/>
              </w:rPr>
              <w:t>按照《危险废物污染防治技术政策》（环发〔</w:t>
            </w:r>
            <w:r>
              <w:rPr>
                <w:rFonts w:hint="eastAsia" w:ascii="Times New Roman" w:hAnsi="Times New Roman" w:eastAsia="宋体"/>
                <w:color w:val="auto"/>
                <w:sz w:val="24"/>
                <w:highlight w:val="none"/>
                <w:shd w:val="clear" w:color="auto" w:fill="auto"/>
                <w:lang w:val="en-US" w:eastAsia="zh-CN"/>
              </w:rPr>
              <w:t>2001</w:t>
            </w:r>
            <w:r>
              <w:rPr>
                <w:rFonts w:hint="eastAsia" w:ascii="Times New Roman" w:hAnsi="Times New Roman" w:eastAsia="宋体"/>
                <w:color w:val="auto"/>
                <w:sz w:val="24"/>
                <w:highlight w:val="none"/>
                <w:shd w:val="clear" w:color="auto" w:fill="auto"/>
              </w:rPr>
              <w:t>〕</w:t>
            </w:r>
            <w:r>
              <w:rPr>
                <w:rFonts w:ascii="Times New Roman" w:hAnsi="Times New Roman" w:eastAsia="宋体"/>
                <w:color w:val="auto"/>
                <w:sz w:val="24"/>
                <w:highlight w:val="none"/>
                <w:shd w:val="clear" w:color="auto" w:fill="auto"/>
              </w:rPr>
              <w:t>199</w:t>
            </w:r>
            <w:r>
              <w:rPr>
                <w:rFonts w:hint="eastAsia" w:ascii="Times New Roman" w:hAnsi="Times New Roman" w:eastAsia="宋体"/>
                <w:color w:val="auto"/>
                <w:sz w:val="24"/>
                <w:highlight w:val="none"/>
                <w:shd w:val="clear" w:color="auto" w:fill="auto"/>
              </w:rPr>
              <w:t>号）、《危险废物贮存污染控制标准》（</w:t>
            </w:r>
            <w:r>
              <w:rPr>
                <w:rFonts w:ascii="Times New Roman" w:hAnsi="Times New Roman" w:eastAsia="宋体"/>
                <w:color w:val="auto"/>
                <w:sz w:val="24"/>
                <w:highlight w:val="none"/>
                <w:shd w:val="clear" w:color="auto" w:fill="auto"/>
              </w:rPr>
              <w:t>GB18597-2023</w:t>
            </w:r>
            <w:r>
              <w:rPr>
                <w:rFonts w:hint="eastAsia" w:ascii="Times New Roman" w:hAnsi="Times New Roman" w:eastAsia="宋体"/>
                <w:color w:val="auto"/>
                <w:sz w:val="24"/>
                <w:highlight w:val="none"/>
                <w:shd w:val="clear" w:color="auto" w:fill="auto"/>
              </w:rPr>
              <w:t>）及《建设项目危险废物环境影响评价指南》（</w:t>
            </w:r>
            <w:r>
              <w:rPr>
                <w:rFonts w:ascii="Times New Roman" w:hAnsi="Times New Roman" w:eastAsia="宋体"/>
                <w:color w:val="auto"/>
                <w:sz w:val="24"/>
                <w:highlight w:val="none"/>
                <w:shd w:val="clear" w:color="auto" w:fill="auto"/>
              </w:rPr>
              <w:t>2017.10.1</w:t>
            </w:r>
            <w:r>
              <w:rPr>
                <w:rFonts w:hint="eastAsia" w:ascii="Times New Roman" w:hAnsi="Times New Roman" w:eastAsia="宋体"/>
                <w:color w:val="auto"/>
                <w:sz w:val="24"/>
                <w:highlight w:val="none"/>
                <w:shd w:val="clear" w:color="auto" w:fill="auto"/>
              </w:rPr>
              <w:t>实施）等文件、技术规范要求设置危险废物</w:t>
            </w:r>
            <w:r>
              <w:rPr>
                <w:rFonts w:hint="eastAsia"/>
                <w:color w:val="auto"/>
                <w:sz w:val="24"/>
                <w:highlight w:val="none"/>
                <w:shd w:val="clear" w:color="auto" w:fill="auto"/>
                <w:lang w:val="en-US" w:eastAsia="zh-CN"/>
              </w:rPr>
              <w:t>储存库</w:t>
            </w:r>
            <w:r>
              <w:rPr>
                <w:rFonts w:hint="eastAsia" w:ascii="Times New Roman" w:hAnsi="Times New Roman" w:eastAsia="宋体"/>
                <w:color w:val="auto"/>
                <w:sz w:val="24"/>
                <w:highlight w:val="none"/>
                <w:shd w:val="clear" w:color="auto" w:fill="auto"/>
              </w:rPr>
              <w:t>。</w:t>
            </w:r>
          </w:p>
          <w:p w14:paraId="2DB82303">
            <w:pPr>
              <w:pStyle w:val="120"/>
              <w:keepNext w:val="0"/>
              <w:keepLines w:val="0"/>
              <w:pageBreakBefore w:val="0"/>
              <w:widowControl w:val="0"/>
              <w:kinsoku/>
              <w:wordWrap/>
              <w:overflowPunct/>
              <w:topLinePunct w:val="0"/>
              <w:bidi w:val="0"/>
              <w:ind w:leftChars="0" w:firstLine="480" w:firstLineChars="200"/>
              <w:textAlignment w:val="auto"/>
              <w:rPr>
                <w:rFonts w:ascii="Times New Roman" w:hAnsi="Times New Roman" w:eastAsia="宋体"/>
                <w:color w:val="auto"/>
                <w:sz w:val="24"/>
                <w:highlight w:val="none"/>
                <w:shd w:val="clear" w:color="auto" w:fill="auto"/>
              </w:rPr>
            </w:pPr>
            <w:r>
              <w:rPr>
                <w:rFonts w:hint="eastAsia" w:ascii="Times New Roman" w:hAnsi="Times New Roman" w:eastAsia="宋体"/>
                <w:color w:val="auto"/>
                <w:sz w:val="24"/>
                <w:highlight w:val="none"/>
                <w:shd w:val="clear" w:color="auto" w:fill="auto"/>
              </w:rPr>
              <w:t>危险废物临时贮存的几点要求：</w:t>
            </w:r>
          </w:p>
          <w:p w14:paraId="7D7AF5DE">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color w:val="auto"/>
                <w:sz w:val="24"/>
                <w:highlight w:val="none"/>
                <w:shd w:val="clear" w:color="auto" w:fill="auto"/>
                <w:lang w:eastAsia="zh-CN"/>
              </w:rPr>
              <w:t>（1）</w:t>
            </w:r>
            <w:r>
              <w:rPr>
                <w:rFonts w:hint="eastAsia" w:ascii="Times New Roman" w:hAnsi="Times New Roman" w:eastAsia="宋体"/>
                <w:color w:val="auto"/>
                <w:sz w:val="24"/>
                <w:highlight w:val="none"/>
                <w:shd w:val="clear" w:color="auto" w:fill="auto"/>
              </w:rPr>
              <w:t>医疗废物专用包装物、盛装容积标准根据医疗废物的类别，将医疗废物分置于符合《医疗废物专用包装物、容器的标准和警示标识的规定》</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环发</w:t>
            </w:r>
            <w:r>
              <w:rPr>
                <w:rFonts w:hint="eastAsia"/>
                <w:color w:val="auto"/>
                <w:sz w:val="24"/>
                <w:highlight w:val="none"/>
                <w:shd w:val="clear" w:color="auto" w:fill="auto"/>
                <w:lang w:eastAsia="zh-CN"/>
              </w:rPr>
              <w:t>〔2003〕188号）</w:t>
            </w:r>
            <w:r>
              <w:rPr>
                <w:rFonts w:hint="eastAsia" w:ascii="Times New Roman" w:hAnsi="Times New Roman" w:eastAsia="宋体"/>
                <w:color w:val="auto"/>
                <w:sz w:val="24"/>
                <w:highlight w:val="none"/>
                <w:shd w:val="clear" w:color="auto" w:fill="auto"/>
              </w:rPr>
              <w:t>的包装物或者容器内</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包装袋、利器盒和周转箱</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桶</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，项目盛装医疗废物的包装物或者容器内</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包装袋、利器盒和周转箱</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桶</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应符合相关规定。</w:t>
            </w:r>
          </w:p>
          <w:p w14:paraId="36B5C8C3">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color w:val="auto"/>
                <w:sz w:val="24"/>
                <w:highlight w:val="none"/>
                <w:shd w:val="clear" w:color="auto" w:fill="auto"/>
                <w:lang w:eastAsia="zh-CN"/>
              </w:rPr>
              <w:t>（2）</w:t>
            </w:r>
            <w:r>
              <w:rPr>
                <w:rFonts w:hint="eastAsia" w:ascii="Times New Roman" w:hAnsi="Times New Roman" w:eastAsia="宋体"/>
                <w:color w:val="auto"/>
                <w:sz w:val="24"/>
                <w:highlight w:val="none"/>
                <w:shd w:val="clear" w:color="auto" w:fill="auto"/>
              </w:rPr>
              <w:t>医疗废物分类收集、运送及暂时贮存根据《医疗卫生机构医疗废物管理办法》</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卫生部令第36号</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，项目建成后运行过程中应按照以下要求，及时分类收集医疗废物。</w:t>
            </w:r>
          </w:p>
          <w:p w14:paraId="77A11491">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ascii="Times New Roman" w:hAnsi="Times New Roman" w:eastAsia="宋体"/>
                <w:color w:val="auto"/>
                <w:sz w:val="24"/>
                <w:highlight w:val="none"/>
                <w:shd w:val="clear" w:color="auto" w:fill="auto"/>
              </w:rPr>
              <w:t>A</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医疗废物分类收集</w:t>
            </w:r>
          </w:p>
          <w:p w14:paraId="311E90A5">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color w:val="auto"/>
                <w:sz w:val="24"/>
                <w:highlight w:val="none"/>
                <w:shd w:val="clear" w:color="auto" w:fill="auto"/>
                <w:lang w:eastAsia="zh-CN"/>
              </w:rPr>
              <w:t>1.</w:t>
            </w:r>
            <w:r>
              <w:rPr>
                <w:rFonts w:hint="eastAsia" w:ascii="Times New Roman" w:hAnsi="Times New Roman" w:eastAsia="宋体"/>
                <w:color w:val="auto"/>
                <w:sz w:val="24"/>
                <w:highlight w:val="none"/>
                <w:shd w:val="clear" w:color="auto" w:fill="auto"/>
              </w:rPr>
              <w:t>根据医疗废物的类别，将医疗废物分置于符合《医疗废物专用包装物、容器的标准和警示标识的规定》的包装物或者容器内。</w:t>
            </w:r>
          </w:p>
          <w:p w14:paraId="3824A999">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color w:val="auto"/>
                <w:sz w:val="24"/>
                <w:highlight w:val="none"/>
                <w:shd w:val="clear" w:color="auto" w:fill="auto"/>
                <w:lang w:eastAsia="zh-CN"/>
              </w:rPr>
              <w:t>2.</w:t>
            </w:r>
            <w:r>
              <w:rPr>
                <w:rFonts w:hint="eastAsia" w:ascii="Times New Roman" w:hAnsi="Times New Roman" w:eastAsia="宋体"/>
                <w:color w:val="auto"/>
                <w:sz w:val="24"/>
                <w:highlight w:val="none"/>
                <w:shd w:val="clear" w:color="auto" w:fill="auto"/>
              </w:rPr>
              <w:t>在盛装医疗废物前，应当对医疗废物包装物或者容器进行认真检查，确保无破损、渗漏和其它缺陷。</w:t>
            </w:r>
          </w:p>
          <w:p w14:paraId="012AD14D">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color w:val="auto"/>
                <w:sz w:val="24"/>
                <w:highlight w:val="none"/>
                <w:shd w:val="clear" w:color="auto" w:fill="auto"/>
                <w:lang w:eastAsia="zh-CN"/>
              </w:rPr>
              <w:t>3.</w:t>
            </w:r>
            <w:r>
              <w:rPr>
                <w:rFonts w:hint="eastAsia" w:ascii="Times New Roman" w:hAnsi="Times New Roman" w:eastAsia="宋体"/>
                <w:color w:val="auto"/>
                <w:sz w:val="24"/>
                <w:highlight w:val="none"/>
                <w:shd w:val="clear" w:color="auto" w:fill="auto"/>
              </w:rPr>
              <w:t>感染性废物、病理性废物、损伤性废物、药物性废物及化学性废物不能混合收集。少量的药物性废物可以混入感染性废物，但应当在标签上注明。</w:t>
            </w:r>
          </w:p>
          <w:p w14:paraId="64AD20A2">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color w:val="auto"/>
                <w:sz w:val="24"/>
                <w:highlight w:val="none"/>
                <w:shd w:val="clear" w:color="auto" w:fill="auto"/>
                <w:lang w:eastAsia="zh-CN"/>
              </w:rPr>
              <w:t>4.</w:t>
            </w:r>
            <w:r>
              <w:rPr>
                <w:rFonts w:hint="eastAsia" w:ascii="Times New Roman" w:hAnsi="Times New Roman" w:eastAsia="宋体"/>
                <w:color w:val="auto"/>
                <w:sz w:val="24"/>
                <w:highlight w:val="none"/>
                <w:shd w:val="clear" w:color="auto" w:fill="auto"/>
              </w:rPr>
              <w:t>废弃的麻醉、放射性、毒性等药品及其相关的废物的管理，依照有关法律、行政法规和国家有关规定、标准执行。</w:t>
            </w:r>
          </w:p>
          <w:p w14:paraId="5CF19825">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color w:val="auto"/>
                <w:sz w:val="24"/>
                <w:highlight w:val="none"/>
                <w:shd w:val="clear" w:color="auto" w:fill="auto"/>
                <w:lang w:eastAsia="zh-CN"/>
              </w:rPr>
              <w:t>5.</w:t>
            </w:r>
            <w:r>
              <w:rPr>
                <w:rFonts w:hint="eastAsia" w:ascii="Times New Roman" w:hAnsi="Times New Roman" w:eastAsia="宋体"/>
                <w:color w:val="auto"/>
                <w:sz w:val="24"/>
                <w:highlight w:val="none"/>
                <w:shd w:val="clear" w:color="auto" w:fill="auto"/>
              </w:rPr>
              <w:t>放入包装物或者容器内的感染性废物、病理性废物、损伤性废物不得取出。盛装的医疗废物达到包装物或者容器的3/4时，应当使用有效的封口方式，使包装物或者容器的封口紧实、严密。</w:t>
            </w:r>
          </w:p>
          <w:p w14:paraId="74E0DC80">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color w:val="auto"/>
                <w:sz w:val="24"/>
                <w:highlight w:val="none"/>
                <w:shd w:val="clear" w:color="auto" w:fill="auto"/>
                <w:lang w:eastAsia="zh-CN"/>
              </w:rPr>
              <w:t>7.</w:t>
            </w:r>
            <w:r>
              <w:rPr>
                <w:rFonts w:hint="eastAsia" w:ascii="Times New Roman" w:hAnsi="Times New Roman" w:eastAsia="宋体"/>
                <w:color w:val="auto"/>
                <w:sz w:val="24"/>
                <w:highlight w:val="none"/>
                <w:shd w:val="clear" w:color="auto" w:fill="auto"/>
              </w:rPr>
              <w:t>包装物或者容器的外表面被感染性废物污染时，应当对被污染处进行消毒处理或者增加一层包装。</w:t>
            </w:r>
          </w:p>
          <w:p w14:paraId="7C71285F">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color w:val="auto"/>
                <w:sz w:val="24"/>
                <w:highlight w:val="none"/>
                <w:shd w:val="clear" w:color="auto" w:fill="auto"/>
                <w:lang w:val="en-US" w:eastAsia="zh-CN"/>
              </w:rPr>
              <w:t>8.</w:t>
            </w:r>
            <w:r>
              <w:rPr>
                <w:rFonts w:hint="eastAsia" w:ascii="Times New Roman" w:hAnsi="Times New Roman" w:eastAsia="宋体"/>
                <w:color w:val="auto"/>
                <w:sz w:val="24"/>
                <w:highlight w:val="none"/>
                <w:shd w:val="clear" w:color="auto" w:fill="auto"/>
              </w:rPr>
              <w:t>盛装医疗废物的每个包装物、容器外表面应当有警示标识，在每个包装物、容器上应当系中文标签，中文标签的内容应当包括</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医疗废物产生单位、产生日期、类别及需要的特别说明等。</w:t>
            </w:r>
          </w:p>
          <w:p w14:paraId="44CCD79D">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ascii="Times New Roman" w:hAnsi="Times New Roman" w:eastAsia="宋体"/>
                <w:color w:val="auto"/>
                <w:sz w:val="24"/>
                <w:highlight w:val="none"/>
                <w:shd w:val="clear" w:color="auto" w:fill="auto"/>
              </w:rPr>
              <w:t>B</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医疗废物院内运送</w:t>
            </w:r>
          </w:p>
          <w:p w14:paraId="67BDD054">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color w:val="auto"/>
                <w:sz w:val="24"/>
                <w:highlight w:val="none"/>
                <w:shd w:val="clear" w:color="auto" w:fill="auto"/>
                <w:lang w:eastAsia="zh-CN"/>
              </w:rPr>
              <w:t>1.</w:t>
            </w:r>
            <w:r>
              <w:rPr>
                <w:rFonts w:hint="eastAsia" w:ascii="Times New Roman" w:hAnsi="Times New Roman" w:eastAsia="宋体"/>
                <w:color w:val="auto"/>
                <w:sz w:val="24"/>
                <w:highlight w:val="none"/>
                <w:shd w:val="clear" w:color="auto" w:fill="auto"/>
              </w:rPr>
              <w:t>运送人员每天从医疗废物产生地点将分类包装的医疗废物按照规定的时间和路线运送至内部指定的暂时贮存地点。</w:t>
            </w:r>
          </w:p>
          <w:p w14:paraId="03BB2FA0">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color w:val="auto"/>
                <w:sz w:val="24"/>
                <w:highlight w:val="none"/>
                <w:shd w:val="clear" w:color="auto" w:fill="auto"/>
                <w:lang w:eastAsia="zh-CN"/>
              </w:rPr>
              <w:t>2.</w:t>
            </w:r>
            <w:r>
              <w:rPr>
                <w:rFonts w:hint="eastAsia" w:ascii="Times New Roman" w:hAnsi="Times New Roman" w:eastAsia="宋体"/>
                <w:color w:val="auto"/>
                <w:sz w:val="24"/>
                <w:highlight w:val="none"/>
                <w:shd w:val="clear" w:color="auto" w:fill="auto"/>
              </w:rPr>
              <w:t>运送人员在运送医疗废物前，应当检查包装物或者容器的标识、标签及封口是否符合要求，不得将不符合要求的医疗废物运送至暂时贮存地点。</w:t>
            </w:r>
          </w:p>
          <w:p w14:paraId="691E4C27">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color w:val="auto"/>
                <w:sz w:val="24"/>
                <w:highlight w:val="none"/>
                <w:shd w:val="clear" w:color="auto" w:fill="auto"/>
                <w:lang w:eastAsia="zh-CN"/>
              </w:rPr>
              <w:t>3.</w:t>
            </w:r>
            <w:r>
              <w:rPr>
                <w:rFonts w:hint="eastAsia" w:ascii="Times New Roman" w:hAnsi="Times New Roman" w:eastAsia="宋体"/>
                <w:color w:val="auto"/>
                <w:sz w:val="24"/>
                <w:highlight w:val="none"/>
                <w:shd w:val="clear" w:color="auto" w:fill="auto"/>
              </w:rPr>
              <w:t>运送人员在运送医疗废物时，应当防止造成包装物或容器破损和医疗废物的流失、泄漏和扩散，并防止医疗废物直接接触身体。</w:t>
            </w:r>
          </w:p>
          <w:p w14:paraId="7F4C9221">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color w:val="auto"/>
                <w:sz w:val="24"/>
                <w:highlight w:val="none"/>
                <w:shd w:val="clear" w:color="auto" w:fill="auto"/>
                <w:lang w:eastAsia="zh-CN"/>
              </w:rPr>
              <w:t>4.</w:t>
            </w:r>
            <w:r>
              <w:rPr>
                <w:rFonts w:hint="eastAsia" w:ascii="Times New Roman" w:hAnsi="Times New Roman" w:eastAsia="宋体"/>
                <w:color w:val="auto"/>
                <w:sz w:val="24"/>
                <w:highlight w:val="none"/>
                <w:shd w:val="clear" w:color="auto" w:fill="auto"/>
              </w:rPr>
              <w:t>运送医疗废物应当使用防渗漏、防遗撒、无锐利边角、易于装卸和清洁的专用运送工具。每天运送工作结束后，应当对运送工具及时进行清洁和消毒。</w:t>
            </w:r>
          </w:p>
          <w:p w14:paraId="2CE3CA53">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ascii="Times New Roman" w:hAnsi="Times New Roman" w:eastAsia="宋体"/>
                <w:color w:val="auto"/>
                <w:sz w:val="24"/>
                <w:highlight w:val="none"/>
                <w:shd w:val="clear" w:color="auto" w:fill="auto"/>
              </w:rPr>
              <w:t>C</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医疗废物暂时贮存</w:t>
            </w:r>
          </w:p>
          <w:p w14:paraId="34F44F47">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ascii="Times New Roman" w:hAnsi="Times New Roman" w:eastAsia="宋体"/>
                <w:color w:val="auto"/>
                <w:sz w:val="24"/>
                <w:highlight w:val="none"/>
                <w:shd w:val="clear" w:color="auto" w:fill="auto"/>
              </w:rPr>
              <w:t>项目在项目场地西南侧设置危险废物贮存库</w:t>
            </w:r>
            <w:r>
              <w:rPr>
                <w:rFonts w:hint="eastAsia"/>
                <w:color w:val="auto"/>
                <w:sz w:val="24"/>
                <w:highlight w:val="none"/>
                <w:shd w:val="clear" w:color="auto" w:fill="auto"/>
                <w:lang w:eastAsia="zh-CN"/>
              </w:rPr>
              <w:t>，对</w:t>
            </w:r>
            <w:r>
              <w:rPr>
                <w:rFonts w:hint="eastAsia" w:ascii="Times New Roman" w:hAnsi="Times New Roman" w:eastAsia="宋体"/>
                <w:color w:val="auto"/>
                <w:sz w:val="24"/>
                <w:highlight w:val="none"/>
                <w:shd w:val="clear" w:color="auto" w:fill="auto"/>
              </w:rPr>
              <w:t>地面进行防渗处理。医疗废物分类收集后，贮存于危险废物贮存库内，由资质单位定期清运。在危险废物贮存库应设有明显的医疗废物警示标识，应根据《危险废物贮存污染控制标准》</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GB18597-2023</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及修改单进行建设，采取“六防”</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防风、防晒、防雨、防漏、防渗、防腐</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措施。建立医疗废物的暂时贮存设施、设备，不得露天存放医疗废物。医疗废物的暂时贮存设施、设备，应当远离医疗区、人员活动区以及生活垃圾存放场所，并设置明显的警示标识和防渗漏、防鼠、防蚊蝇、防蟑螂、防盗以及预防儿童接触等安全措施</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如安装纱窗，防鼠板等</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w:t>
            </w:r>
          </w:p>
          <w:p w14:paraId="6E8876BE">
            <w:pPr>
              <w:pStyle w:val="120"/>
              <w:keepNext w:val="0"/>
              <w:keepLines w:val="0"/>
              <w:pageBreakBefore w:val="0"/>
              <w:widowControl w:val="0"/>
              <w:kinsoku/>
              <w:wordWrap/>
              <w:overflowPunct/>
              <w:topLinePunct w:val="0"/>
              <w:bidi w:val="0"/>
              <w:ind w:leftChars="0" w:firstLine="480" w:firstLineChars="200"/>
              <w:textAlignment w:val="auto"/>
              <w:rPr>
                <w:rFonts w:hint="eastAsia"/>
                <w:color w:val="auto"/>
                <w:sz w:val="24"/>
                <w:highlight w:val="none"/>
                <w:shd w:val="clear" w:color="auto" w:fill="auto"/>
                <w:lang w:eastAsia="zh-CN"/>
              </w:rPr>
            </w:pPr>
            <w:r>
              <w:rPr>
                <w:rFonts w:hint="eastAsia" w:ascii="Times New Roman" w:hAnsi="Times New Roman" w:eastAsia="宋体"/>
                <w:color w:val="auto"/>
                <w:sz w:val="24"/>
                <w:highlight w:val="none"/>
                <w:shd w:val="clear" w:color="auto" w:fill="auto"/>
              </w:rPr>
              <w:t>危险废物贮存库应满足《危险废物贮存污染控制标准》</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GB18597-2023</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有关规定</w:t>
            </w:r>
            <w:r>
              <w:rPr>
                <w:rFonts w:hint="eastAsia"/>
                <w:color w:val="auto"/>
                <w:sz w:val="24"/>
                <w:highlight w:val="none"/>
                <w:shd w:val="clear" w:color="auto" w:fill="auto"/>
                <w:lang w:eastAsia="zh-CN"/>
              </w:rPr>
              <w:t>：</w:t>
            </w:r>
          </w:p>
          <w:p w14:paraId="1FDFE4A1">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color w:val="auto"/>
                <w:sz w:val="24"/>
                <w:highlight w:val="none"/>
                <w:shd w:val="clear" w:color="auto" w:fill="auto"/>
                <w:lang w:eastAsia="zh-CN"/>
              </w:rPr>
              <w:t>1.</w:t>
            </w:r>
            <w:r>
              <w:rPr>
                <w:rFonts w:hint="eastAsia" w:ascii="Times New Roman" w:hAnsi="Times New Roman" w:eastAsia="宋体"/>
                <w:color w:val="auto"/>
                <w:sz w:val="24"/>
                <w:highlight w:val="none"/>
                <w:shd w:val="clear" w:color="auto" w:fill="auto"/>
              </w:rPr>
              <w:t>按《</w:t>
            </w:r>
            <w:r>
              <w:rPr>
                <w:rFonts w:hint="eastAsia"/>
                <w:color w:val="auto"/>
                <w:sz w:val="24"/>
                <w:highlight w:val="none"/>
                <w:shd w:val="clear" w:color="auto" w:fill="auto"/>
                <w:lang w:eastAsia="zh-CN"/>
              </w:rPr>
              <w:t>环境保护图形标志 固体废物贮存（处置）场</w:t>
            </w:r>
            <w:r>
              <w:rPr>
                <w:rFonts w:hint="eastAsia" w:ascii="Times New Roman" w:hAnsi="Times New Roman" w:eastAsia="宋体"/>
                <w:color w:val="auto"/>
                <w:sz w:val="24"/>
                <w:highlight w:val="none"/>
                <w:shd w:val="clear" w:color="auto" w:fill="auto"/>
              </w:rPr>
              <w:t>》</w:t>
            </w:r>
            <w:r>
              <w:rPr>
                <w:rFonts w:hint="eastAsia"/>
                <w:color w:val="auto"/>
                <w:sz w:val="24"/>
                <w:highlight w:val="none"/>
                <w:shd w:val="clear" w:color="auto" w:fill="auto"/>
                <w:lang w:eastAsia="zh-CN"/>
              </w:rPr>
              <w:t>（GB 15562.2-1995）</w:t>
            </w:r>
            <w:r>
              <w:rPr>
                <w:rFonts w:hint="eastAsia" w:ascii="Times New Roman" w:hAnsi="Times New Roman" w:eastAsia="宋体"/>
                <w:color w:val="auto"/>
                <w:sz w:val="24"/>
                <w:highlight w:val="none"/>
                <w:shd w:val="clear" w:color="auto" w:fill="auto"/>
              </w:rPr>
              <w:t>设置警示标志。</w:t>
            </w:r>
          </w:p>
          <w:p w14:paraId="1BE7DBFE">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color w:val="auto"/>
                <w:sz w:val="24"/>
                <w:highlight w:val="none"/>
                <w:shd w:val="clear" w:color="auto" w:fill="auto"/>
                <w:lang w:eastAsia="zh-CN"/>
              </w:rPr>
              <w:t>2.</w:t>
            </w:r>
            <w:r>
              <w:rPr>
                <w:rFonts w:hint="eastAsia" w:ascii="Times New Roman" w:hAnsi="Times New Roman" w:eastAsia="宋体"/>
                <w:color w:val="auto"/>
                <w:sz w:val="24"/>
                <w:highlight w:val="none"/>
                <w:shd w:val="clear" w:color="auto" w:fill="auto"/>
              </w:rPr>
              <w:t>必须有耐腐蚀的硬化地面和基础防渗层，地面无裂隙</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设施底部必须高于地下水最高水位。</w:t>
            </w:r>
          </w:p>
          <w:p w14:paraId="3F530332">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color w:val="auto"/>
                <w:sz w:val="24"/>
                <w:highlight w:val="none"/>
                <w:shd w:val="clear" w:color="auto" w:fill="auto"/>
                <w:lang w:eastAsia="zh-CN"/>
              </w:rPr>
              <w:t>3.</w:t>
            </w:r>
            <w:r>
              <w:rPr>
                <w:rFonts w:hint="eastAsia" w:ascii="Times New Roman" w:hAnsi="Times New Roman" w:eastAsia="宋体"/>
                <w:color w:val="auto"/>
                <w:sz w:val="24"/>
                <w:highlight w:val="none"/>
                <w:shd w:val="clear" w:color="auto" w:fill="auto"/>
              </w:rPr>
              <w:t>要求必要的防风、防雨、防晒措施。</w:t>
            </w:r>
          </w:p>
          <w:p w14:paraId="13ABFC1B">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color w:val="auto"/>
                <w:sz w:val="24"/>
                <w:highlight w:val="none"/>
                <w:shd w:val="clear" w:color="auto" w:fill="auto"/>
                <w:lang w:eastAsia="zh-CN"/>
              </w:rPr>
              <w:t>4.</w:t>
            </w:r>
            <w:r>
              <w:rPr>
                <w:rFonts w:hint="eastAsia" w:ascii="Times New Roman" w:hAnsi="Times New Roman" w:eastAsia="宋体"/>
                <w:color w:val="auto"/>
                <w:sz w:val="24"/>
                <w:highlight w:val="none"/>
                <w:shd w:val="clear" w:color="auto" w:fill="auto"/>
              </w:rPr>
              <w:t>要有隔离设施或其它防护栅栏。</w:t>
            </w:r>
          </w:p>
          <w:p w14:paraId="432F2A7C">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color w:val="auto"/>
                <w:sz w:val="24"/>
                <w:highlight w:val="none"/>
                <w:shd w:val="clear" w:color="auto" w:fill="auto"/>
                <w:lang w:val="en-US" w:eastAsia="zh-CN"/>
              </w:rPr>
              <w:t>5.</w:t>
            </w:r>
            <w:r>
              <w:rPr>
                <w:rFonts w:hint="eastAsia" w:ascii="Times New Roman" w:hAnsi="Times New Roman" w:eastAsia="宋体"/>
                <w:color w:val="auto"/>
                <w:sz w:val="24"/>
                <w:highlight w:val="none"/>
                <w:shd w:val="clear" w:color="auto" w:fill="auto"/>
              </w:rPr>
              <w:t>应配备通讯设备、照明设施、安全防护服装及</w:t>
            </w:r>
            <w:r>
              <w:rPr>
                <w:rFonts w:hint="eastAsia"/>
                <w:color w:val="auto"/>
                <w:sz w:val="24"/>
                <w:highlight w:val="none"/>
                <w:shd w:val="clear" w:color="auto" w:fill="auto"/>
                <w:lang w:eastAsia="zh-CN"/>
              </w:rPr>
              <w:t>工具</w:t>
            </w:r>
            <w:r>
              <w:rPr>
                <w:rFonts w:hint="eastAsia" w:ascii="Times New Roman" w:hAnsi="Times New Roman" w:eastAsia="宋体"/>
                <w:color w:val="auto"/>
                <w:sz w:val="24"/>
                <w:highlight w:val="none"/>
                <w:shd w:val="clear" w:color="auto" w:fill="auto"/>
              </w:rPr>
              <w:t>。</w:t>
            </w:r>
          </w:p>
          <w:p w14:paraId="7990D5AA">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ascii="Times New Roman" w:hAnsi="Times New Roman" w:eastAsia="宋体"/>
                <w:color w:val="auto"/>
                <w:sz w:val="24"/>
                <w:highlight w:val="none"/>
                <w:shd w:val="clear" w:color="auto" w:fill="auto"/>
              </w:rPr>
              <w:t>D</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医疗废物交换、处置</w:t>
            </w:r>
          </w:p>
          <w:p w14:paraId="1C4132F0">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ascii="Times New Roman" w:hAnsi="Times New Roman" w:eastAsia="宋体"/>
                <w:color w:val="auto"/>
                <w:sz w:val="24"/>
                <w:highlight w:val="none"/>
                <w:shd w:val="clear" w:color="auto" w:fill="auto"/>
              </w:rPr>
              <w:t>运营期医疗废物全部交由资质单位清运，建设单位依照危险废物转移联单制度填写和保存转移联单。《危险废物转移联单》</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医疗废物专用</w:t>
            </w:r>
            <w:r>
              <w:rPr>
                <w:rFonts w:hint="eastAsia"/>
                <w:color w:val="auto"/>
                <w:sz w:val="24"/>
                <w:highlight w:val="none"/>
                <w:shd w:val="clear" w:color="auto" w:fill="auto"/>
                <w:lang w:eastAsia="zh-CN"/>
              </w:rPr>
              <w:t>）</w:t>
            </w:r>
            <w:r>
              <w:rPr>
                <w:rFonts w:hint="eastAsia" w:ascii="Times New Roman" w:hAnsi="Times New Roman" w:eastAsia="宋体"/>
                <w:color w:val="auto"/>
                <w:sz w:val="24"/>
                <w:highlight w:val="none"/>
                <w:shd w:val="clear" w:color="auto" w:fill="auto"/>
              </w:rPr>
              <w:t>一式两份，由外部处置单位运送人员和医院医疗废物管理人员交接时共同填写，医院和处置单位分别保存。项目单位应当对医疗废物进行登记，登记内容应当包括医疗废物的来源、种类、重量或者数量、交接时间、最终去向以及经办人签名等项目。医疗废物转交出去后，应当对暂时贮存地点、设施及时进行清洁和消毒处理。禁止在非收集、非暂时贮存地点倾倒、堆放医疗废物，禁止将医疗废物混入其它废物和一般生活垃圾。</w:t>
            </w:r>
          </w:p>
          <w:p w14:paraId="59C653AC">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color w:val="auto"/>
                <w:sz w:val="24"/>
                <w:highlight w:val="none"/>
                <w:shd w:val="clear" w:color="auto" w:fill="auto"/>
                <w:lang w:eastAsia="zh-CN"/>
              </w:rPr>
              <w:t>（1）</w:t>
            </w:r>
            <w:r>
              <w:rPr>
                <w:rFonts w:hint="eastAsia" w:ascii="Times New Roman" w:hAnsi="Times New Roman" w:eastAsia="宋体"/>
                <w:color w:val="auto"/>
                <w:sz w:val="24"/>
                <w:highlight w:val="none"/>
                <w:shd w:val="clear" w:color="auto" w:fill="auto"/>
              </w:rPr>
              <w:t>人员培训</w:t>
            </w:r>
          </w:p>
          <w:p w14:paraId="34AC0C5D">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lang w:eastAsia="zh-CN"/>
              </w:rPr>
            </w:pPr>
            <w:r>
              <w:rPr>
                <w:rFonts w:hint="eastAsia" w:ascii="Times New Roman" w:hAnsi="Times New Roman" w:eastAsia="宋体"/>
                <w:color w:val="auto"/>
                <w:sz w:val="24"/>
                <w:highlight w:val="none"/>
                <w:shd w:val="clear" w:color="auto" w:fill="auto"/>
              </w:rPr>
              <w:t>建设单位应当对院内的工作人员进行培训，提高全体工作人员对医疗废物管理工作的认识。对从事医疗废物分类收集、运送、暂时储存、处置等工作的人员和管理人员，进行相关法律和专业技术、安全防护以及紧急处理等知识的培训。医疗废物相关工作人员和管理人员应当达到以下要求</w:t>
            </w:r>
            <w:r>
              <w:rPr>
                <w:rFonts w:hint="eastAsia"/>
                <w:color w:val="auto"/>
                <w:sz w:val="24"/>
                <w:highlight w:val="none"/>
                <w:shd w:val="clear" w:color="auto" w:fill="auto"/>
                <w:lang w:eastAsia="zh-CN"/>
              </w:rPr>
              <w:t>：</w:t>
            </w:r>
          </w:p>
          <w:p w14:paraId="6E739255">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lang w:eastAsia="zh-CN"/>
              </w:rPr>
            </w:pPr>
            <w:r>
              <w:rPr>
                <w:rFonts w:hint="eastAsia"/>
                <w:color w:val="auto"/>
                <w:sz w:val="24"/>
                <w:highlight w:val="none"/>
                <w:shd w:val="clear" w:color="auto" w:fill="auto"/>
                <w:lang w:eastAsia="zh-CN"/>
              </w:rPr>
              <w:t>1.</w:t>
            </w:r>
            <w:r>
              <w:rPr>
                <w:rFonts w:hint="eastAsia" w:ascii="Times New Roman" w:hAnsi="Times New Roman" w:eastAsia="宋体"/>
                <w:color w:val="auto"/>
                <w:sz w:val="24"/>
                <w:highlight w:val="none"/>
                <w:shd w:val="clear" w:color="auto" w:fill="auto"/>
              </w:rPr>
              <w:t>掌握国家相关法律、法规、规章和有关规范性文件的规定，熟悉医院制定的医疗废物管理的规章制度、工作流程和各项工作要求</w:t>
            </w:r>
            <w:r>
              <w:rPr>
                <w:rFonts w:hint="eastAsia"/>
                <w:color w:val="auto"/>
                <w:sz w:val="24"/>
                <w:highlight w:val="none"/>
                <w:shd w:val="clear" w:color="auto" w:fill="auto"/>
                <w:lang w:eastAsia="zh-CN"/>
              </w:rPr>
              <w:t>；</w:t>
            </w:r>
          </w:p>
          <w:p w14:paraId="5BA5AFCE">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lang w:eastAsia="zh-CN"/>
              </w:rPr>
            </w:pPr>
            <w:r>
              <w:rPr>
                <w:rFonts w:hint="eastAsia"/>
                <w:color w:val="auto"/>
                <w:sz w:val="24"/>
                <w:highlight w:val="none"/>
                <w:shd w:val="clear" w:color="auto" w:fill="auto"/>
                <w:lang w:eastAsia="zh-CN"/>
              </w:rPr>
              <w:t>2.</w:t>
            </w:r>
            <w:r>
              <w:rPr>
                <w:rFonts w:hint="eastAsia" w:ascii="Times New Roman" w:hAnsi="Times New Roman" w:eastAsia="宋体"/>
                <w:color w:val="auto"/>
                <w:sz w:val="24"/>
                <w:highlight w:val="none"/>
                <w:shd w:val="clear" w:color="auto" w:fill="auto"/>
              </w:rPr>
              <w:t>掌握医疗废物分类收集、运送、暂时贮存的正确方法和操作程序</w:t>
            </w:r>
            <w:r>
              <w:rPr>
                <w:rFonts w:hint="eastAsia"/>
                <w:color w:val="auto"/>
                <w:sz w:val="24"/>
                <w:highlight w:val="none"/>
                <w:shd w:val="clear" w:color="auto" w:fill="auto"/>
                <w:lang w:eastAsia="zh-CN"/>
              </w:rPr>
              <w:t>；</w:t>
            </w:r>
          </w:p>
          <w:p w14:paraId="7AED9130">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lang w:eastAsia="zh-CN"/>
              </w:rPr>
            </w:pPr>
            <w:r>
              <w:rPr>
                <w:rFonts w:hint="eastAsia"/>
                <w:color w:val="auto"/>
                <w:sz w:val="24"/>
                <w:highlight w:val="none"/>
                <w:shd w:val="clear" w:color="auto" w:fill="auto"/>
                <w:lang w:eastAsia="zh-CN"/>
              </w:rPr>
              <w:t>3.</w:t>
            </w:r>
            <w:r>
              <w:rPr>
                <w:rFonts w:hint="eastAsia" w:ascii="Times New Roman" w:hAnsi="Times New Roman" w:eastAsia="宋体"/>
                <w:color w:val="auto"/>
                <w:sz w:val="24"/>
                <w:highlight w:val="none"/>
                <w:shd w:val="clear" w:color="auto" w:fill="auto"/>
              </w:rPr>
              <w:t>掌握医疗废物分类中的安全知识、专业技术、职业卫生安全防护等知识</w:t>
            </w:r>
            <w:r>
              <w:rPr>
                <w:rFonts w:hint="eastAsia"/>
                <w:color w:val="auto"/>
                <w:sz w:val="24"/>
                <w:highlight w:val="none"/>
                <w:shd w:val="clear" w:color="auto" w:fill="auto"/>
                <w:lang w:eastAsia="zh-CN"/>
              </w:rPr>
              <w:t>；</w:t>
            </w:r>
          </w:p>
          <w:p w14:paraId="308D70E6">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lang w:eastAsia="zh-CN"/>
              </w:rPr>
            </w:pPr>
            <w:r>
              <w:rPr>
                <w:rFonts w:hint="eastAsia"/>
                <w:color w:val="auto"/>
                <w:sz w:val="24"/>
                <w:highlight w:val="none"/>
                <w:shd w:val="clear" w:color="auto" w:fill="auto"/>
                <w:lang w:eastAsia="zh-CN"/>
              </w:rPr>
              <w:t>4.</w:t>
            </w:r>
            <w:r>
              <w:rPr>
                <w:rFonts w:hint="eastAsia" w:ascii="Times New Roman" w:hAnsi="Times New Roman" w:eastAsia="宋体"/>
                <w:color w:val="auto"/>
                <w:sz w:val="24"/>
                <w:highlight w:val="none"/>
                <w:shd w:val="clear" w:color="auto" w:fill="auto"/>
              </w:rPr>
              <w:t>掌握在医疗废物分类收集、运送、暂时贮存及处置过程中预防被医疗废物刺伤、擦伤等伤害的措施及发生后的处理措施</w:t>
            </w:r>
            <w:r>
              <w:rPr>
                <w:rFonts w:hint="eastAsia"/>
                <w:color w:val="auto"/>
                <w:sz w:val="24"/>
                <w:highlight w:val="none"/>
                <w:shd w:val="clear" w:color="auto" w:fill="auto"/>
                <w:lang w:eastAsia="zh-CN"/>
              </w:rPr>
              <w:t>。</w:t>
            </w:r>
          </w:p>
          <w:p w14:paraId="795A392A">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color w:val="auto"/>
                <w:sz w:val="24"/>
                <w:highlight w:val="none"/>
                <w:shd w:val="clear" w:color="auto" w:fill="auto"/>
                <w:lang w:eastAsia="zh-CN"/>
              </w:rPr>
              <w:t>（2）</w:t>
            </w:r>
            <w:r>
              <w:rPr>
                <w:rFonts w:hint="eastAsia" w:ascii="Times New Roman" w:hAnsi="Times New Roman" w:eastAsia="宋体"/>
                <w:color w:val="auto"/>
                <w:sz w:val="24"/>
                <w:highlight w:val="none"/>
                <w:shd w:val="clear" w:color="auto" w:fill="auto"/>
              </w:rPr>
              <w:t>安全防护根据接触医疗废物种类及风险大小的不同，采取适宜、有效的职业卫生防护措施，为院内从事医疗废物分类收集、运送、暂时贮存和处置等工作的人员和管理人员配备必要的防护用品，定期进行健康检查，必要时，对有关人员进行免疫接种，防止其受到健康损害。</w:t>
            </w:r>
          </w:p>
          <w:p w14:paraId="2766B7FF">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lang w:eastAsia="zh-CN"/>
              </w:rPr>
            </w:pPr>
            <w:r>
              <w:rPr>
                <w:rFonts w:hint="eastAsia"/>
                <w:color w:val="auto"/>
                <w:sz w:val="24"/>
                <w:highlight w:val="none"/>
                <w:shd w:val="clear" w:color="auto" w:fill="auto"/>
                <w:lang w:eastAsia="zh-CN"/>
              </w:rPr>
              <w:t>（3）</w:t>
            </w:r>
            <w:r>
              <w:rPr>
                <w:rFonts w:hint="eastAsia" w:ascii="Times New Roman" w:hAnsi="Times New Roman" w:eastAsia="宋体"/>
                <w:color w:val="auto"/>
                <w:sz w:val="24"/>
                <w:highlight w:val="none"/>
                <w:shd w:val="clear" w:color="auto" w:fill="auto"/>
              </w:rPr>
              <w:t>应急处置措施医院发生医疗废物流失、泄漏、扩散和意外事故时，应当按照以下要求及时采取紧急处理措施</w:t>
            </w:r>
            <w:r>
              <w:rPr>
                <w:rFonts w:hint="eastAsia"/>
                <w:color w:val="auto"/>
                <w:sz w:val="24"/>
                <w:highlight w:val="none"/>
                <w:shd w:val="clear" w:color="auto" w:fill="auto"/>
                <w:lang w:eastAsia="zh-CN"/>
              </w:rPr>
              <w:t>：</w:t>
            </w:r>
          </w:p>
          <w:p w14:paraId="5B8FE842">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lang w:eastAsia="zh-CN"/>
              </w:rPr>
            </w:pPr>
            <w:r>
              <w:rPr>
                <w:rFonts w:hint="eastAsia"/>
                <w:color w:val="auto"/>
                <w:sz w:val="24"/>
                <w:highlight w:val="none"/>
                <w:shd w:val="clear" w:color="auto" w:fill="auto"/>
                <w:lang w:eastAsia="zh-CN"/>
              </w:rPr>
              <w:t>1.</w:t>
            </w:r>
            <w:r>
              <w:rPr>
                <w:rFonts w:hint="eastAsia" w:ascii="Times New Roman" w:hAnsi="Times New Roman" w:eastAsia="宋体"/>
                <w:color w:val="auto"/>
                <w:sz w:val="24"/>
                <w:highlight w:val="none"/>
                <w:shd w:val="clear" w:color="auto" w:fill="auto"/>
              </w:rPr>
              <w:t>确定流失、泄漏、扩散的医疗废物的类别、数量、发生时间、影响范围及严重程度</w:t>
            </w:r>
            <w:r>
              <w:rPr>
                <w:rFonts w:hint="eastAsia"/>
                <w:color w:val="auto"/>
                <w:sz w:val="24"/>
                <w:highlight w:val="none"/>
                <w:shd w:val="clear" w:color="auto" w:fill="auto"/>
                <w:lang w:eastAsia="zh-CN"/>
              </w:rPr>
              <w:t>；</w:t>
            </w:r>
          </w:p>
          <w:p w14:paraId="6EC1996A">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color w:val="auto"/>
                <w:sz w:val="24"/>
                <w:highlight w:val="none"/>
                <w:shd w:val="clear" w:color="auto" w:fill="auto"/>
                <w:lang w:eastAsia="zh-CN"/>
              </w:rPr>
              <w:t>2.</w:t>
            </w:r>
            <w:r>
              <w:rPr>
                <w:rFonts w:hint="eastAsia" w:ascii="Times New Roman" w:hAnsi="Times New Roman" w:eastAsia="宋体"/>
                <w:color w:val="auto"/>
                <w:sz w:val="24"/>
                <w:highlight w:val="none"/>
                <w:shd w:val="clear" w:color="auto" w:fill="auto"/>
              </w:rPr>
              <w:t>组织有关人员尽快按照应急方案，对发生医疗废物泄漏、扩散的现场进行处理</w:t>
            </w:r>
            <w:r>
              <w:rPr>
                <w:rFonts w:hint="eastAsia"/>
                <w:color w:val="auto"/>
                <w:sz w:val="24"/>
                <w:highlight w:val="none"/>
                <w:shd w:val="clear" w:color="auto" w:fill="auto"/>
                <w:lang w:eastAsia="zh-CN"/>
              </w:rPr>
              <w:t>；</w:t>
            </w:r>
          </w:p>
          <w:p w14:paraId="3A45775A">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lang w:eastAsia="zh-CN"/>
              </w:rPr>
            </w:pPr>
            <w:r>
              <w:rPr>
                <w:rFonts w:hint="eastAsia"/>
                <w:color w:val="auto"/>
                <w:sz w:val="24"/>
                <w:highlight w:val="none"/>
                <w:shd w:val="clear" w:color="auto" w:fill="auto"/>
                <w:lang w:eastAsia="zh-CN"/>
              </w:rPr>
              <w:t>3.</w:t>
            </w:r>
            <w:r>
              <w:rPr>
                <w:rFonts w:hint="eastAsia" w:ascii="Times New Roman" w:hAnsi="Times New Roman" w:eastAsia="宋体"/>
                <w:color w:val="auto"/>
                <w:sz w:val="24"/>
                <w:highlight w:val="none"/>
                <w:shd w:val="clear" w:color="auto" w:fill="auto"/>
              </w:rPr>
              <w:t>对被医疗废物污染的区域进行处理时，应当尽可能减少对病人、医务人员、其它现场人员及环境的影响</w:t>
            </w:r>
            <w:r>
              <w:rPr>
                <w:rFonts w:hint="eastAsia"/>
                <w:color w:val="auto"/>
                <w:sz w:val="24"/>
                <w:highlight w:val="none"/>
                <w:shd w:val="clear" w:color="auto" w:fill="auto"/>
                <w:lang w:eastAsia="zh-CN"/>
              </w:rPr>
              <w:t>；</w:t>
            </w:r>
          </w:p>
          <w:p w14:paraId="21E355B5">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lang w:eastAsia="zh-CN"/>
              </w:rPr>
            </w:pPr>
            <w:r>
              <w:rPr>
                <w:rFonts w:hint="eastAsia"/>
                <w:color w:val="auto"/>
                <w:sz w:val="24"/>
                <w:highlight w:val="none"/>
                <w:shd w:val="clear" w:color="auto" w:fill="auto"/>
                <w:lang w:eastAsia="zh-CN"/>
              </w:rPr>
              <w:t>4.</w:t>
            </w:r>
            <w:r>
              <w:rPr>
                <w:rFonts w:hint="eastAsia" w:ascii="Times New Roman" w:hAnsi="Times New Roman" w:eastAsia="宋体"/>
                <w:color w:val="auto"/>
                <w:sz w:val="24"/>
                <w:highlight w:val="none"/>
                <w:shd w:val="clear" w:color="auto" w:fill="auto"/>
              </w:rPr>
              <w:t>采取适当的安全处置措施，对泄漏物及受污染的区域、物品进行消毒或者其他无害化处置，必要时封锁污染区域，以防扩大污染</w:t>
            </w:r>
            <w:r>
              <w:rPr>
                <w:rFonts w:hint="eastAsia"/>
                <w:color w:val="auto"/>
                <w:sz w:val="24"/>
                <w:highlight w:val="none"/>
                <w:shd w:val="clear" w:color="auto" w:fill="auto"/>
                <w:lang w:eastAsia="zh-CN"/>
              </w:rPr>
              <w:t>；</w:t>
            </w:r>
          </w:p>
          <w:p w14:paraId="77639277">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lang w:eastAsia="zh-CN"/>
              </w:rPr>
            </w:pPr>
            <w:r>
              <w:rPr>
                <w:rFonts w:hint="eastAsia"/>
                <w:color w:val="auto"/>
                <w:sz w:val="24"/>
                <w:highlight w:val="none"/>
                <w:shd w:val="clear" w:color="auto" w:fill="auto"/>
                <w:lang w:eastAsia="zh-CN"/>
              </w:rPr>
              <w:t>5.</w:t>
            </w:r>
            <w:r>
              <w:rPr>
                <w:rFonts w:hint="eastAsia" w:ascii="Times New Roman" w:hAnsi="Times New Roman" w:eastAsia="宋体"/>
                <w:color w:val="auto"/>
                <w:sz w:val="24"/>
                <w:highlight w:val="none"/>
                <w:shd w:val="clear" w:color="auto" w:fill="auto"/>
              </w:rPr>
              <w:t>对感染性废物污染区域进行消毒时，消毒工作从污染最轻区域向污染最严重区域进行，对可能被污染的所有使用过的工具也应当进行消毒</w:t>
            </w:r>
            <w:r>
              <w:rPr>
                <w:rFonts w:hint="eastAsia"/>
                <w:color w:val="auto"/>
                <w:sz w:val="24"/>
                <w:highlight w:val="none"/>
                <w:shd w:val="clear" w:color="auto" w:fill="auto"/>
                <w:lang w:eastAsia="zh-CN"/>
              </w:rPr>
              <w:t>；</w:t>
            </w:r>
          </w:p>
          <w:p w14:paraId="698F1F73">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color w:val="auto"/>
                <w:sz w:val="24"/>
                <w:highlight w:val="none"/>
                <w:shd w:val="clear" w:color="auto" w:fill="auto"/>
                <w:lang w:val="en-US" w:eastAsia="zh-CN"/>
              </w:rPr>
              <w:t>6.</w:t>
            </w:r>
            <w:r>
              <w:rPr>
                <w:rFonts w:hint="eastAsia" w:ascii="Times New Roman" w:hAnsi="Times New Roman" w:eastAsia="宋体"/>
                <w:color w:val="auto"/>
                <w:sz w:val="24"/>
                <w:highlight w:val="none"/>
                <w:shd w:val="clear" w:color="auto" w:fill="auto"/>
              </w:rPr>
              <w:t>工作人员应当做好卫生安全防护后进行工作。处理工作结束后，医院应当对事件的起因进行调查，并采取有效的防范措施预防类似事件的发生。</w:t>
            </w:r>
          </w:p>
          <w:p w14:paraId="05CA63B2">
            <w:pPr>
              <w:pStyle w:val="120"/>
              <w:keepNext w:val="0"/>
              <w:keepLines w:val="0"/>
              <w:pageBreakBefore w:val="0"/>
              <w:widowControl w:val="0"/>
              <w:kinsoku/>
              <w:wordWrap/>
              <w:overflowPunct/>
              <w:topLinePunct w:val="0"/>
              <w:bidi w:val="0"/>
              <w:ind w:leftChars="0" w:firstLine="480" w:firstLineChars="200"/>
              <w:textAlignment w:val="auto"/>
              <w:rPr>
                <w:rFonts w:hint="eastAsia" w:ascii="Times New Roman" w:hAnsi="Times New Roman" w:eastAsia="宋体"/>
                <w:color w:val="auto"/>
                <w:sz w:val="24"/>
                <w:highlight w:val="none"/>
                <w:shd w:val="clear" w:color="auto" w:fill="auto"/>
              </w:rPr>
            </w:pPr>
            <w:r>
              <w:rPr>
                <w:rFonts w:hint="eastAsia" w:ascii="Times New Roman" w:hAnsi="Times New Roman" w:eastAsia="宋体"/>
                <w:color w:val="auto"/>
                <w:sz w:val="24"/>
                <w:highlight w:val="none"/>
                <w:shd w:val="clear" w:color="auto" w:fill="auto"/>
              </w:rPr>
              <w:t>综上，建设单位应认真落实上述各种固体废物分类处置措施，保证各种固体废物得到有效处置，营运期产生的各种固体废物对环境的影响可得到</w:t>
            </w:r>
            <w:r>
              <w:rPr>
                <w:rFonts w:hint="eastAsia"/>
                <w:color w:val="auto"/>
                <w:sz w:val="24"/>
                <w:highlight w:val="none"/>
                <w:shd w:val="clear" w:color="auto" w:fill="auto"/>
                <w:lang w:eastAsia="zh-CN"/>
              </w:rPr>
              <w:t>有效控制</w:t>
            </w:r>
            <w:r>
              <w:rPr>
                <w:rFonts w:hint="eastAsia" w:ascii="Times New Roman" w:hAnsi="Times New Roman" w:eastAsia="宋体"/>
                <w:color w:val="auto"/>
                <w:sz w:val="24"/>
                <w:highlight w:val="none"/>
                <w:shd w:val="clear" w:color="auto" w:fill="auto"/>
              </w:rPr>
              <w:t>，从而避免项目产生的固废对地下水环境和土壤环境造成二次污染。</w:t>
            </w:r>
          </w:p>
          <w:p w14:paraId="6BAF8FBB">
            <w:pPr>
              <w:pStyle w:val="46"/>
              <w:keepNext w:val="0"/>
              <w:keepLines w:val="0"/>
              <w:pageBreakBefore w:val="0"/>
              <w:widowControl w:val="0"/>
              <w:kinsoku/>
              <w:wordWrap/>
              <w:overflowPunct/>
              <w:topLinePunct w:val="0"/>
              <w:bidi w:val="0"/>
              <w:ind w:leftChars="0" w:firstLine="480" w:firstLineChars="200"/>
              <w:textAlignment w:val="auto"/>
              <w:rPr>
                <w:color w:val="auto"/>
                <w:sz w:val="24"/>
                <w:highlight w:val="none"/>
                <w:shd w:val="clear" w:color="auto" w:fill="auto"/>
              </w:rPr>
            </w:pPr>
            <w:r>
              <w:rPr>
                <w:rFonts w:hint="eastAsia"/>
                <w:color w:val="auto"/>
                <w:sz w:val="24"/>
                <w:highlight w:val="none"/>
                <w:shd w:val="clear" w:color="auto" w:fill="auto"/>
              </w:rPr>
              <w:t>综上分析，采取以上措施后，项目各项固体废物均可得到妥善处理，对周边环境影响较小。</w:t>
            </w:r>
          </w:p>
          <w:p w14:paraId="28546F46">
            <w:pPr>
              <w:pStyle w:val="3"/>
              <w:numPr>
                <w:ilvl w:val="1"/>
                <w:numId w:val="1"/>
              </w:numPr>
              <w:bidi w:val="0"/>
              <w:ind w:left="0" w:leftChars="0" w:firstLine="0"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地下水、土壤</w:t>
            </w:r>
          </w:p>
          <w:p w14:paraId="6F048B93">
            <w:pPr>
              <w:pStyle w:val="46"/>
              <w:bidi w:val="0"/>
              <w:rPr>
                <w:rFonts w:hint="default" w:ascii="Times New Roman" w:hAnsi="Times New Roman" w:eastAsia="宋体"/>
                <w:color w:val="auto"/>
                <w:highlight w:val="none"/>
                <w:lang w:val="en-US" w:eastAsia="zh-CN"/>
              </w:rPr>
            </w:pPr>
            <w:r>
              <w:rPr>
                <w:rFonts w:hint="eastAsia"/>
                <w:color w:val="auto"/>
                <w:highlight w:val="none"/>
              </w:rPr>
              <w:t>项目</w:t>
            </w:r>
            <w:r>
              <w:rPr>
                <w:rFonts w:hint="eastAsia"/>
                <w:color w:val="auto"/>
                <w:highlight w:val="none"/>
                <w:lang w:val="en-US" w:eastAsia="zh-CN"/>
              </w:rPr>
              <w:t>院</w:t>
            </w:r>
            <w:r>
              <w:rPr>
                <w:rFonts w:hint="eastAsia"/>
                <w:color w:val="auto"/>
                <w:highlight w:val="none"/>
              </w:rPr>
              <w:t>区固废贮存严格按照《一般工业固体废物贮存和填埋污染控制标准》（GB18599-2020）和《危险废物贮存污染控制标准》（GB 18597-2023）中有关规定进行落实，具备防风、防雨、防晒、防渗漏等要求，在正常工况，不会对评价区域内地下水、土壤环境产生不利影响。本次评价仅考虑在事故情况下液态物质泄漏，防渗层破损时对土壤和地下水造成污染。</w:t>
            </w:r>
            <w:r>
              <w:rPr>
                <w:rFonts w:hint="eastAsia" w:ascii="Times New Roman" w:hAnsi="Times New Roman" w:eastAsia="宋体"/>
                <w:color w:val="auto"/>
                <w:highlight w:val="none"/>
                <w:lang w:val="en-US" w:eastAsia="zh-CN"/>
              </w:rPr>
              <w:t>地下水、土壤污染物类型及污染途径详见下表。</w:t>
            </w:r>
          </w:p>
          <w:p w14:paraId="0E866E5F">
            <w:pPr>
              <w:pStyle w:val="44"/>
              <w:keepNext/>
              <w:keepLines/>
              <w:pageBreakBefore w:val="0"/>
              <w:widowControl w:val="0"/>
              <w:numPr>
                <w:ilvl w:val="7"/>
                <w:numId w:val="13"/>
              </w:numPr>
              <w:tabs>
                <w:tab w:val="left" w:pos="0"/>
              </w:tabs>
              <w:kinsoku/>
              <w:wordWrap/>
              <w:overflowPunct/>
              <w:topLinePunct w:val="0"/>
              <w:autoSpaceDE/>
              <w:autoSpaceDN/>
              <w:bidi w:val="0"/>
              <w:adjustRightInd/>
              <w:snapToGrid/>
              <w:spacing w:after="0"/>
              <w:ind w:left="630" w:leftChars="0" w:firstLine="0" w:firstLineChars="0"/>
              <w:jc w:val="center"/>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地下水、土壤污染途径情况一览表</w:t>
            </w:r>
          </w:p>
          <w:tbl>
            <w:tblPr>
              <w:tblStyle w:val="86"/>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1661"/>
              <w:gridCol w:w="2409"/>
              <w:gridCol w:w="4856"/>
            </w:tblGrid>
            <w:tr w14:paraId="577E8A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930" w:type="pct"/>
                  <w:tcBorders>
                    <w:bottom w:val="single" w:color="000000" w:sz="12" w:space="0"/>
                  </w:tcBorders>
                  <w:vAlign w:val="center"/>
                </w:tcPr>
                <w:p w14:paraId="0F4A9029">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1"/>
                      <w:sz w:val="21"/>
                      <w:highlight w:val="none"/>
                    </w:rPr>
                    <w:t>防渗区</w:t>
                  </w:r>
                </w:p>
              </w:tc>
              <w:tc>
                <w:tcPr>
                  <w:tcW w:w="1349" w:type="pct"/>
                  <w:tcBorders>
                    <w:bottom w:val="single" w:color="000000" w:sz="12" w:space="0"/>
                  </w:tcBorders>
                  <w:vAlign w:val="center"/>
                </w:tcPr>
                <w:p w14:paraId="39AF4EBF">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6"/>
                      <w:sz w:val="21"/>
                      <w:highlight w:val="none"/>
                    </w:rPr>
                    <w:t>构筑物名称</w:t>
                  </w:r>
                </w:p>
              </w:tc>
              <w:tc>
                <w:tcPr>
                  <w:tcW w:w="2719" w:type="pct"/>
                  <w:tcBorders>
                    <w:bottom w:val="single" w:color="000000" w:sz="12" w:space="0"/>
                  </w:tcBorders>
                  <w:vAlign w:val="center"/>
                </w:tcPr>
                <w:p w14:paraId="76F97EDF">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4"/>
                      <w:sz w:val="21"/>
                      <w:highlight w:val="none"/>
                    </w:rPr>
                    <w:t>防渗技术要求</w:t>
                  </w:r>
                </w:p>
              </w:tc>
            </w:tr>
            <w:tr w14:paraId="24F7B0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63" w:hRule="atLeast"/>
              </w:trPr>
              <w:tc>
                <w:tcPr>
                  <w:tcW w:w="930" w:type="pct"/>
                  <w:tcBorders>
                    <w:top w:val="single" w:color="000000" w:sz="12" w:space="0"/>
                    <w:tl2br w:val="nil"/>
                    <w:tr2bl w:val="nil"/>
                  </w:tcBorders>
                  <w:vAlign w:val="center"/>
                </w:tcPr>
                <w:p w14:paraId="73229144">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color w:val="auto"/>
                      <w:spacing w:val="7"/>
                      <w:sz w:val="21"/>
                      <w:highlight w:val="none"/>
                    </w:rPr>
                    <w:t>重点防渗区</w:t>
                  </w:r>
                </w:p>
              </w:tc>
              <w:tc>
                <w:tcPr>
                  <w:tcW w:w="1349" w:type="pct"/>
                  <w:tcBorders>
                    <w:top w:val="single" w:color="000000" w:sz="12" w:space="0"/>
                    <w:tl2br w:val="nil"/>
                    <w:tr2bl w:val="nil"/>
                  </w:tcBorders>
                  <w:vAlign w:val="center"/>
                </w:tcPr>
                <w:p w14:paraId="1A1443FE">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hint="eastAsia" w:ascii="Times New Roman" w:hAnsi="Times New Roman"/>
                      <w:color w:val="auto"/>
                      <w:spacing w:val="7"/>
                      <w:sz w:val="21"/>
                      <w:highlight w:val="none"/>
                      <w:lang w:eastAsia="zh-CN"/>
                    </w:rPr>
                    <w:t>污水处理设施</w:t>
                  </w:r>
                  <w:r>
                    <w:rPr>
                      <w:rFonts w:ascii="Times New Roman" w:hAnsi="Times New Roman" w:eastAsia="宋体"/>
                      <w:color w:val="auto"/>
                      <w:spacing w:val="7"/>
                      <w:sz w:val="21"/>
                      <w:highlight w:val="none"/>
                    </w:rPr>
                    <w:t>、危废</w:t>
                  </w:r>
                </w:p>
                <w:p w14:paraId="4303F049">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olor w:val="auto"/>
                      <w:sz w:val="21"/>
                      <w:highlight w:val="none"/>
                      <w:lang w:eastAsia="zh-CN"/>
                    </w:rPr>
                  </w:pPr>
                  <w:r>
                    <w:rPr>
                      <w:rFonts w:hint="eastAsia" w:ascii="Times New Roman" w:hAnsi="Times New Roman"/>
                      <w:color w:val="auto"/>
                      <w:spacing w:val="4"/>
                      <w:sz w:val="21"/>
                      <w:highlight w:val="none"/>
                      <w:lang w:val="en-US" w:eastAsia="zh-CN"/>
                    </w:rPr>
                    <w:t>储存库</w:t>
                  </w:r>
                </w:p>
              </w:tc>
              <w:tc>
                <w:tcPr>
                  <w:tcW w:w="2719" w:type="pct"/>
                  <w:tcBorders>
                    <w:top w:val="single" w:color="000000" w:sz="12" w:space="0"/>
                    <w:tl2br w:val="nil"/>
                    <w:tr2bl w:val="nil"/>
                  </w:tcBorders>
                  <w:vAlign w:val="center"/>
                </w:tcPr>
                <w:p w14:paraId="758F3652">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color w:val="auto"/>
                      <w:spacing w:val="6"/>
                      <w:position w:val="1"/>
                      <w:sz w:val="21"/>
                      <w:highlight w:val="none"/>
                    </w:rPr>
                    <w:t>等效黏土防渗层</w:t>
                  </w:r>
                  <w:r>
                    <w:rPr>
                      <w:rFonts w:ascii="Times New Roman" w:hAnsi="Times New Roman" w:eastAsia="宋体" w:cs="Times New Roman"/>
                      <w:color w:val="auto"/>
                      <w:position w:val="1"/>
                      <w:sz w:val="21"/>
                      <w:highlight w:val="none"/>
                    </w:rPr>
                    <w:t>Mb</w:t>
                  </w:r>
                  <w:r>
                    <w:rPr>
                      <w:rFonts w:ascii="Times New Roman" w:hAnsi="Times New Roman" w:eastAsia="宋体" w:cs="Times New Roman"/>
                      <w:color w:val="auto"/>
                      <w:spacing w:val="6"/>
                      <w:position w:val="1"/>
                      <w:sz w:val="21"/>
                      <w:highlight w:val="none"/>
                    </w:rPr>
                    <w:t>≥6.0m</w:t>
                  </w:r>
                  <w:r>
                    <w:rPr>
                      <w:rFonts w:ascii="Times New Roman" w:hAnsi="Times New Roman" w:eastAsia="宋体"/>
                      <w:color w:val="auto"/>
                      <w:spacing w:val="6"/>
                      <w:position w:val="1"/>
                      <w:sz w:val="21"/>
                      <w:highlight w:val="none"/>
                    </w:rPr>
                    <w:t>，</w:t>
                  </w:r>
                  <w:r>
                    <w:rPr>
                      <w:rFonts w:ascii="Times New Roman" w:hAnsi="Times New Roman" w:eastAsia="宋体" w:cs="Times New Roman"/>
                      <w:color w:val="auto"/>
                      <w:spacing w:val="6"/>
                      <w:position w:val="1"/>
                      <w:sz w:val="21"/>
                      <w:highlight w:val="none"/>
                    </w:rPr>
                    <w:t>K≤10</w:t>
                  </w:r>
                  <w:r>
                    <w:rPr>
                      <w:rFonts w:ascii="Times New Roman" w:hAnsi="Times New Roman" w:eastAsia="宋体" w:cs="Times New Roman"/>
                      <w:color w:val="auto"/>
                      <w:spacing w:val="6"/>
                      <w:position w:val="1"/>
                      <w:sz w:val="21"/>
                      <w:szCs w:val="13"/>
                      <w:highlight w:val="none"/>
                      <w:vertAlign w:val="superscript"/>
                    </w:rPr>
                    <w:t>-7</w:t>
                  </w:r>
                  <w:r>
                    <w:rPr>
                      <w:rFonts w:ascii="Times New Roman" w:hAnsi="Times New Roman" w:eastAsia="宋体" w:cs="Times New Roman"/>
                      <w:color w:val="auto"/>
                      <w:position w:val="1"/>
                      <w:sz w:val="21"/>
                      <w:highlight w:val="none"/>
                    </w:rPr>
                    <w:t>cm</w:t>
                  </w:r>
                  <w:r>
                    <w:rPr>
                      <w:rFonts w:ascii="Times New Roman" w:hAnsi="Times New Roman" w:eastAsia="宋体" w:cs="Times New Roman"/>
                      <w:color w:val="auto"/>
                      <w:spacing w:val="6"/>
                      <w:position w:val="1"/>
                      <w:sz w:val="21"/>
                      <w:highlight w:val="none"/>
                    </w:rPr>
                    <w:t>/s</w:t>
                  </w:r>
                  <w:r>
                    <w:rPr>
                      <w:rFonts w:ascii="Times New Roman" w:hAnsi="Times New Roman" w:eastAsia="宋体"/>
                      <w:color w:val="auto"/>
                      <w:spacing w:val="6"/>
                      <w:position w:val="1"/>
                      <w:sz w:val="21"/>
                      <w:highlight w:val="none"/>
                    </w:rPr>
                    <w:t>或者</w:t>
                  </w:r>
                </w:p>
                <w:p w14:paraId="74F6F12C">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color w:val="auto"/>
                      <w:spacing w:val="6"/>
                      <w:position w:val="1"/>
                      <w:sz w:val="21"/>
                      <w:highlight w:val="none"/>
                    </w:rPr>
                    <w:t>参照</w:t>
                  </w:r>
                  <w:r>
                    <w:rPr>
                      <w:rFonts w:ascii="Times New Roman" w:hAnsi="Times New Roman" w:eastAsia="宋体" w:cs="Times New Roman"/>
                      <w:color w:val="auto"/>
                      <w:position w:val="1"/>
                      <w:sz w:val="21"/>
                      <w:highlight w:val="none"/>
                    </w:rPr>
                    <w:t>GB</w:t>
                  </w:r>
                  <w:r>
                    <w:rPr>
                      <w:rFonts w:ascii="Times New Roman" w:hAnsi="Times New Roman" w:eastAsia="宋体" w:cs="Times New Roman"/>
                      <w:color w:val="auto"/>
                      <w:spacing w:val="6"/>
                      <w:position w:val="1"/>
                      <w:sz w:val="21"/>
                      <w:highlight w:val="none"/>
                    </w:rPr>
                    <w:t>18598</w:t>
                  </w:r>
                  <w:r>
                    <w:rPr>
                      <w:rFonts w:ascii="Times New Roman" w:hAnsi="Times New Roman" w:eastAsia="宋体"/>
                      <w:color w:val="auto"/>
                      <w:spacing w:val="6"/>
                      <w:position w:val="1"/>
                      <w:sz w:val="21"/>
                      <w:highlight w:val="none"/>
                    </w:rPr>
                    <w:t>执行</w:t>
                  </w:r>
                </w:p>
              </w:tc>
            </w:tr>
            <w:tr w14:paraId="1A735C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930" w:type="pct"/>
                  <w:tcBorders>
                    <w:tl2br w:val="nil"/>
                    <w:tr2bl w:val="nil"/>
                  </w:tcBorders>
                  <w:vAlign w:val="center"/>
                </w:tcPr>
                <w:p w14:paraId="11825F67">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color w:val="auto"/>
                      <w:spacing w:val="7"/>
                      <w:sz w:val="21"/>
                      <w:highlight w:val="none"/>
                    </w:rPr>
                    <w:t>一般防渗区</w:t>
                  </w:r>
                </w:p>
              </w:tc>
              <w:tc>
                <w:tcPr>
                  <w:tcW w:w="1349" w:type="pct"/>
                  <w:tcBorders>
                    <w:tl2br w:val="nil"/>
                    <w:tr2bl w:val="nil"/>
                  </w:tcBorders>
                  <w:vAlign w:val="center"/>
                </w:tcPr>
                <w:p w14:paraId="6D3D54F1">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olor w:val="auto"/>
                      <w:sz w:val="21"/>
                      <w:highlight w:val="none"/>
                      <w:lang w:val="en-US" w:eastAsia="zh-CN"/>
                    </w:rPr>
                  </w:pPr>
                  <w:r>
                    <w:rPr>
                      <w:rFonts w:ascii="Times New Roman" w:hAnsi="Times New Roman" w:eastAsia="宋体"/>
                      <w:color w:val="auto"/>
                      <w:spacing w:val="7"/>
                      <w:sz w:val="21"/>
                      <w:highlight w:val="none"/>
                    </w:rPr>
                    <w:t>一般固废暂存间</w:t>
                  </w:r>
                  <w:r>
                    <w:rPr>
                      <w:rFonts w:hint="eastAsia" w:ascii="Times New Roman" w:hAnsi="Times New Roman"/>
                      <w:color w:val="auto"/>
                      <w:spacing w:val="7"/>
                      <w:sz w:val="21"/>
                      <w:highlight w:val="none"/>
                      <w:lang w:val="en-US" w:eastAsia="zh-CN"/>
                    </w:rPr>
                    <w:t>库</w:t>
                  </w:r>
                </w:p>
              </w:tc>
              <w:tc>
                <w:tcPr>
                  <w:tcW w:w="2719" w:type="pct"/>
                  <w:tcBorders>
                    <w:tl2br w:val="nil"/>
                    <w:tr2bl w:val="nil"/>
                  </w:tcBorders>
                  <w:vAlign w:val="center"/>
                </w:tcPr>
                <w:p w14:paraId="0ACA5B0B">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color w:val="auto"/>
                      <w:spacing w:val="4"/>
                      <w:position w:val="1"/>
                      <w:sz w:val="21"/>
                      <w:highlight w:val="none"/>
                    </w:rPr>
                    <w:t>等效黏土防渗层</w:t>
                  </w:r>
                  <w:r>
                    <w:rPr>
                      <w:rFonts w:ascii="Times New Roman" w:hAnsi="Times New Roman" w:eastAsia="宋体" w:cs="Times New Roman"/>
                      <w:color w:val="auto"/>
                      <w:position w:val="1"/>
                      <w:sz w:val="21"/>
                      <w:highlight w:val="none"/>
                    </w:rPr>
                    <w:t>Mb</w:t>
                  </w:r>
                  <w:r>
                    <w:rPr>
                      <w:rFonts w:ascii="Times New Roman" w:hAnsi="Times New Roman" w:eastAsia="宋体" w:cs="Times New Roman"/>
                      <w:color w:val="auto"/>
                      <w:spacing w:val="4"/>
                      <w:position w:val="1"/>
                      <w:sz w:val="21"/>
                      <w:highlight w:val="none"/>
                    </w:rPr>
                    <w:t>≥1.5m</w:t>
                  </w:r>
                  <w:r>
                    <w:rPr>
                      <w:rFonts w:ascii="Times New Roman" w:hAnsi="Times New Roman" w:eastAsia="宋体"/>
                      <w:color w:val="auto"/>
                      <w:spacing w:val="4"/>
                      <w:position w:val="1"/>
                      <w:sz w:val="21"/>
                      <w:highlight w:val="none"/>
                    </w:rPr>
                    <w:t>，</w:t>
                  </w:r>
                  <w:r>
                    <w:rPr>
                      <w:rFonts w:ascii="Times New Roman" w:hAnsi="Times New Roman" w:eastAsia="宋体" w:cs="Times New Roman"/>
                      <w:color w:val="auto"/>
                      <w:spacing w:val="4"/>
                      <w:position w:val="1"/>
                      <w:sz w:val="21"/>
                      <w:highlight w:val="none"/>
                    </w:rPr>
                    <w:t>K≤1×10</w:t>
                  </w:r>
                  <w:r>
                    <w:rPr>
                      <w:rFonts w:ascii="Times New Roman" w:hAnsi="Times New Roman" w:eastAsia="宋体" w:cs="Times New Roman"/>
                      <w:color w:val="auto"/>
                      <w:spacing w:val="4"/>
                      <w:position w:val="1"/>
                      <w:sz w:val="21"/>
                      <w:szCs w:val="13"/>
                      <w:highlight w:val="none"/>
                      <w:vertAlign w:val="superscript"/>
                    </w:rPr>
                    <w:t>-7</w:t>
                  </w:r>
                  <w:r>
                    <w:rPr>
                      <w:rFonts w:ascii="Times New Roman" w:hAnsi="Times New Roman" w:eastAsia="宋体" w:cs="Times New Roman"/>
                      <w:color w:val="auto"/>
                      <w:position w:val="1"/>
                      <w:sz w:val="21"/>
                      <w:highlight w:val="none"/>
                    </w:rPr>
                    <w:t>cm</w:t>
                  </w:r>
                  <w:r>
                    <w:rPr>
                      <w:rFonts w:ascii="Times New Roman" w:hAnsi="Times New Roman" w:eastAsia="宋体" w:cs="Times New Roman"/>
                      <w:color w:val="auto"/>
                      <w:spacing w:val="4"/>
                      <w:position w:val="1"/>
                      <w:sz w:val="21"/>
                      <w:highlight w:val="none"/>
                    </w:rPr>
                    <w:t>/s</w:t>
                  </w:r>
                  <w:r>
                    <w:rPr>
                      <w:rFonts w:ascii="Times New Roman" w:hAnsi="Times New Roman" w:eastAsia="宋体"/>
                      <w:color w:val="auto"/>
                      <w:spacing w:val="4"/>
                      <w:position w:val="1"/>
                      <w:sz w:val="21"/>
                      <w:highlight w:val="none"/>
                    </w:rPr>
                    <w:t>；</w:t>
                  </w:r>
                </w:p>
                <w:p w14:paraId="519D8EE7">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color w:val="auto"/>
                      <w:spacing w:val="6"/>
                      <w:position w:val="1"/>
                      <w:sz w:val="21"/>
                      <w:highlight w:val="none"/>
                    </w:rPr>
                    <w:t>或参照</w:t>
                  </w:r>
                  <w:r>
                    <w:rPr>
                      <w:rFonts w:ascii="Times New Roman" w:hAnsi="Times New Roman" w:eastAsia="宋体" w:cs="Times New Roman"/>
                      <w:color w:val="auto"/>
                      <w:position w:val="1"/>
                      <w:sz w:val="21"/>
                      <w:highlight w:val="none"/>
                    </w:rPr>
                    <w:t>GB</w:t>
                  </w:r>
                  <w:r>
                    <w:rPr>
                      <w:rFonts w:ascii="Times New Roman" w:hAnsi="Times New Roman" w:eastAsia="宋体" w:cs="Times New Roman"/>
                      <w:color w:val="auto"/>
                      <w:spacing w:val="6"/>
                      <w:position w:val="1"/>
                      <w:sz w:val="21"/>
                      <w:highlight w:val="none"/>
                    </w:rPr>
                    <w:t>16889</w:t>
                  </w:r>
                  <w:r>
                    <w:rPr>
                      <w:rFonts w:ascii="Times New Roman" w:hAnsi="Times New Roman" w:eastAsia="宋体"/>
                      <w:color w:val="auto"/>
                      <w:spacing w:val="6"/>
                      <w:position w:val="1"/>
                      <w:sz w:val="21"/>
                      <w:highlight w:val="none"/>
                    </w:rPr>
                    <w:t>执行</w:t>
                  </w:r>
                </w:p>
              </w:tc>
            </w:tr>
            <w:tr w14:paraId="78C530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48" w:hRule="atLeast"/>
              </w:trPr>
              <w:tc>
                <w:tcPr>
                  <w:tcW w:w="930" w:type="pct"/>
                  <w:tcBorders>
                    <w:tl2br w:val="nil"/>
                    <w:tr2bl w:val="nil"/>
                  </w:tcBorders>
                  <w:vAlign w:val="center"/>
                </w:tcPr>
                <w:p w14:paraId="68DD8D91">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color w:val="auto"/>
                      <w:spacing w:val="7"/>
                      <w:sz w:val="21"/>
                      <w:highlight w:val="none"/>
                    </w:rPr>
                    <w:t>简单防渗区</w:t>
                  </w:r>
                </w:p>
              </w:tc>
              <w:tc>
                <w:tcPr>
                  <w:tcW w:w="1349" w:type="pct"/>
                  <w:tcBorders>
                    <w:tl2br w:val="nil"/>
                    <w:tr2bl w:val="nil"/>
                  </w:tcBorders>
                  <w:vAlign w:val="center"/>
                </w:tcPr>
                <w:p w14:paraId="40FC1EED">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color w:val="auto"/>
                      <w:spacing w:val="7"/>
                      <w:sz w:val="21"/>
                      <w:highlight w:val="none"/>
                    </w:rPr>
                    <w:t>办公区、</w:t>
                  </w:r>
                  <w:r>
                    <w:rPr>
                      <w:rFonts w:hint="eastAsia" w:ascii="Times New Roman" w:hAnsi="Times New Roman"/>
                      <w:color w:val="auto"/>
                      <w:spacing w:val="7"/>
                      <w:sz w:val="21"/>
                      <w:highlight w:val="none"/>
                      <w:lang w:val="en-US" w:eastAsia="zh-CN"/>
                    </w:rPr>
                    <w:t>院</w:t>
                  </w:r>
                  <w:r>
                    <w:rPr>
                      <w:rFonts w:ascii="Times New Roman" w:hAnsi="Times New Roman" w:eastAsia="宋体"/>
                      <w:color w:val="auto"/>
                      <w:spacing w:val="7"/>
                      <w:sz w:val="21"/>
                      <w:highlight w:val="none"/>
                    </w:rPr>
                    <w:t>内其他区</w:t>
                  </w:r>
                </w:p>
                <w:p w14:paraId="795DC6DC">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color w:val="auto"/>
                      <w:sz w:val="21"/>
                      <w:highlight w:val="none"/>
                    </w:rPr>
                    <w:t>域</w:t>
                  </w:r>
                </w:p>
              </w:tc>
              <w:tc>
                <w:tcPr>
                  <w:tcW w:w="2719" w:type="pct"/>
                  <w:tcBorders>
                    <w:tl2br w:val="nil"/>
                    <w:tr2bl w:val="nil"/>
                  </w:tcBorders>
                  <w:vAlign w:val="center"/>
                </w:tcPr>
                <w:p w14:paraId="07CA9589">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color w:val="auto"/>
                      <w:spacing w:val="7"/>
                      <w:sz w:val="21"/>
                      <w:highlight w:val="none"/>
                    </w:rPr>
                    <w:t>一般地面硬化</w:t>
                  </w:r>
                </w:p>
              </w:tc>
            </w:tr>
          </w:tbl>
          <w:p w14:paraId="1BBBAFD4">
            <w:pPr>
              <w:pStyle w:val="120"/>
              <w:ind w:firstLine="31680"/>
              <w:rPr>
                <w:rFonts w:ascii="Times New Roman" w:hAnsi="Times New Roman" w:eastAsia="宋体"/>
                <w:color w:val="auto"/>
                <w:highlight w:val="none"/>
              </w:rPr>
            </w:pPr>
            <w:r>
              <w:rPr>
                <w:rFonts w:hint="eastAsia" w:ascii="Times New Roman" w:hAnsi="Times New Roman" w:eastAsia="宋体"/>
                <w:color w:val="auto"/>
                <w:highlight w:val="none"/>
              </w:rPr>
              <w:t>（</w:t>
            </w:r>
            <w:r>
              <w:rPr>
                <w:rFonts w:ascii="Times New Roman" w:hAnsi="Times New Roman" w:eastAsia="宋体"/>
                <w:color w:val="auto"/>
                <w:highlight w:val="none"/>
              </w:rPr>
              <w:t>1</w:t>
            </w:r>
            <w:r>
              <w:rPr>
                <w:rFonts w:hint="eastAsia" w:ascii="Times New Roman" w:hAnsi="Times New Roman" w:eastAsia="宋体"/>
                <w:color w:val="auto"/>
                <w:highlight w:val="none"/>
              </w:rPr>
              <w:t>）地下水、土壤环境影响分析</w:t>
            </w:r>
          </w:p>
          <w:p w14:paraId="7E2D332F">
            <w:pPr>
              <w:pStyle w:val="46"/>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1）</w:t>
            </w:r>
            <w:r>
              <w:rPr>
                <w:rFonts w:hint="eastAsia" w:cs="Times New Roman"/>
                <w:color w:val="auto"/>
                <w:highlight w:val="none"/>
                <w:lang w:val="en-US" w:eastAsia="zh-CN"/>
              </w:rPr>
              <w:t>污水处理设施</w:t>
            </w:r>
            <w:r>
              <w:rPr>
                <w:rFonts w:hint="default" w:ascii="Times New Roman" w:hAnsi="Times New Roman" w:eastAsia="宋体" w:cs="Times New Roman"/>
                <w:color w:val="auto"/>
                <w:highlight w:val="none"/>
                <w:lang w:val="en-US" w:eastAsia="zh-CN"/>
              </w:rPr>
              <w:t>发生损坏和跑冒滴漏对地下水的影响</w:t>
            </w:r>
          </w:p>
          <w:p w14:paraId="40FC66EB">
            <w:pPr>
              <w:pStyle w:val="46"/>
              <w:bidi w:val="0"/>
              <w:rPr>
                <w:rFonts w:hint="default" w:ascii="Times New Roman" w:hAnsi="Times New Roman" w:eastAsia="宋体" w:cs="Times New Roman"/>
                <w:color w:val="auto"/>
                <w:sz w:val="24"/>
                <w:szCs w:val="22"/>
                <w:highlight w:val="none"/>
                <w:lang w:val="en-US" w:eastAsia="zh-CN"/>
              </w:rPr>
            </w:pPr>
            <w:r>
              <w:rPr>
                <w:rFonts w:hint="default" w:ascii="Times New Roman" w:hAnsi="Times New Roman" w:eastAsia="宋体" w:cs="Times New Roman"/>
                <w:color w:val="auto"/>
                <w:sz w:val="24"/>
                <w:szCs w:val="22"/>
                <w:highlight w:val="none"/>
                <w:lang w:val="en-US" w:eastAsia="zh-CN"/>
              </w:rPr>
              <w:t>营运期可能对地下水环境造成影响的因素为</w:t>
            </w:r>
            <w:r>
              <w:rPr>
                <w:rFonts w:hint="eastAsia" w:ascii="Times New Roman" w:hAnsi="Times New Roman" w:eastAsia="宋体" w:cs="Times New Roman"/>
                <w:color w:val="auto"/>
                <w:sz w:val="24"/>
                <w:szCs w:val="22"/>
                <w:highlight w:val="none"/>
                <w:lang w:val="en-US" w:eastAsia="zh-CN"/>
              </w:rPr>
              <w:t>化粪池</w:t>
            </w:r>
            <w:r>
              <w:rPr>
                <w:rFonts w:hint="default" w:ascii="Times New Roman" w:hAnsi="Times New Roman" w:eastAsia="宋体" w:cs="Times New Roman"/>
                <w:color w:val="auto"/>
                <w:sz w:val="24"/>
                <w:szCs w:val="22"/>
                <w:highlight w:val="none"/>
                <w:lang w:val="en-US" w:eastAsia="zh-CN"/>
              </w:rPr>
              <w:t>渗漏、</w:t>
            </w:r>
            <w:r>
              <w:rPr>
                <w:rFonts w:hint="eastAsia" w:ascii="Times New Roman" w:hAnsi="Times New Roman" w:eastAsia="宋体" w:cs="Times New Roman"/>
                <w:color w:val="auto"/>
                <w:sz w:val="24"/>
                <w:szCs w:val="22"/>
                <w:highlight w:val="none"/>
                <w:lang w:val="en-US" w:eastAsia="zh-CN"/>
              </w:rPr>
              <w:t>生活</w:t>
            </w:r>
            <w:r>
              <w:rPr>
                <w:rFonts w:hint="default" w:ascii="Times New Roman" w:hAnsi="Times New Roman" w:eastAsia="宋体" w:cs="Times New Roman"/>
                <w:color w:val="auto"/>
                <w:sz w:val="24"/>
                <w:szCs w:val="22"/>
                <w:highlight w:val="none"/>
                <w:lang w:val="en-US" w:eastAsia="zh-CN"/>
              </w:rPr>
              <w:t>污水管道破裂</w:t>
            </w:r>
            <w:r>
              <w:rPr>
                <w:rFonts w:hint="eastAsia" w:ascii="Times New Roman" w:hAnsi="Times New Roman" w:eastAsia="宋体" w:cs="Times New Roman"/>
                <w:color w:val="auto"/>
                <w:sz w:val="24"/>
                <w:szCs w:val="22"/>
                <w:highlight w:val="none"/>
                <w:lang w:val="en-US" w:eastAsia="zh-CN"/>
              </w:rPr>
              <w:t>导致废水</w:t>
            </w:r>
            <w:r>
              <w:rPr>
                <w:rFonts w:hint="default" w:ascii="Times New Roman" w:hAnsi="Times New Roman" w:eastAsia="宋体" w:cs="Times New Roman"/>
                <w:color w:val="auto"/>
                <w:sz w:val="24"/>
                <w:szCs w:val="22"/>
                <w:highlight w:val="none"/>
                <w:lang w:val="en-US" w:eastAsia="zh-CN"/>
              </w:rPr>
              <w:t>渗漏等所造成的污水事故排放和渗漏。</w:t>
            </w:r>
          </w:p>
          <w:p w14:paraId="56DF5B40">
            <w:pPr>
              <w:pStyle w:val="46"/>
              <w:bidi w:val="0"/>
              <w:rPr>
                <w:rFonts w:hint="default" w:ascii="Times New Roman" w:hAnsi="Times New Roman" w:eastAsia="宋体" w:cs="Times New Roman"/>
                <w:color w:val="auto"/>
                <w:sz w:val="24"/>
                <w:szCs w:val="22"/>
                <w:highlight w:val="none"/>
                <w:lang w:val="en-US" w:eastAsia="zh-CN"/>
              </w:rPr>
            </w:pPr>
            <w:r>
              <w:rPr>
                <w:rFonts w:hint="default" w:ascii="Times New Roman" w:hAnsi="Times New Roman" w:eastAsia="宋体" w:cs="Times New Roman"/>
                <w:color w:val="auto"/>
                <w:sz w:val="24"/>
                <w:szCs w:val="22"/>
                <w:highlight w:val="none"/>
                <w:lang w:val="en-US" w:eastAsia="zh-CN"/>
              </w:rPr>
              <w:t>一般情况下，废水渗漏主要考虑废水容纳构筑物底部破损渗漏和排水管道渗漏两个方面。只要严格按照相应规范要求施工并在竣工验收时严把质量关，废水容纳构筑物底部破损渗漏对地下水产生影响的情况是可以避免的。</w:t>
            </w:r>
          </w:p>
          <w:p w14:paraId="3B232073">
            <w:pPr>
              <w:pStyle w:val="46"/>
              <w:bidi w:val="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lang w:val="en-US" w:eastAsia="zh-CN"/>
              </w:rPr>
              <w:t>固体废物</w:t>
            </w:r>
            <w:r>
              <w:rPr>
                <w:rFonts w:hint="default" w:ascii="Times New Roman" w:hAnsi="Times New Roman" w:eastAsia="宋体" w:cs="Times New Roman"/>
                <w:color w:val="auto"/>
                <w:sz w:val="24"/>
                <w:szCs w:val="22"/>
                <w:highlight w:val="none"/>
                <w:lang w:val="en-US" w:eastAsia="zh-CN"/>
              </w:rPr>
              <w:t>淋溶对地下水的影响</w:t>
            </w:r>
          </w:p>
          <w:p w14:paraId="6E25D823">
            <w:pPr>
              <w:pStyle w:val="90"/>
              <w:ind w:firstLine="3168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在项目</w:t>
            </w:r>
            <w:r>
              <w:rPr>
                <w:rFonts w:hint="eastAsia" w:cs="Times New Roman"/>
                <w:color w:val="auto"/>
                <w:highlight w:val="none"/>
                <w:lang w:val="en-US" w:eastAsia="zh-CN"/>
              </w:rPr>
              <w:t>固废堆存区</w:t>
            </w:r>
            <w:r>
              <w:rPr>
                <w:rFonts w:hint="default" w:ascii="Times New Roman" w:hAnsi="Times New Roman" w:eastAsia="宋体" w:cs="Times New Roman"/>
                <w:color w:val="auto"/>
                <w:highlight w:val="none"/>
                <w:lang w:val="en-US" w:eastAsia="zh-CN"/>
              </w:rPr>
              <w:t>按要求做好地面防渗工作，加强日常管理维护，污染物不易发生渗漏。因此，区域内通过饱水带下渗污染地下水的可能性很小，对</w:t>
            </w:r>
            <w:r>
              <w:rPr>
                <w:rFonts w:hint="eastAsia" w:ascii="Times New Roman" w:hAnsi="Times New Roman" w:eastAsia="宋体" w:cs="Times New Roman"/>
                <w:color w:val="auto"/>
                <w:highlight w:val="none"/>
                <w:lang w:val="en-US" w:eastAsia="zh-CN"/>
              </w:rPr>
              <w:t>区域地下水</w:t>
            </w:r>
            <w:r>
              <w:rPr>
                <w:rFonts w:hint="default" w:ascii="Times New Roman" w:hAnsi="Times New Roman" w:eastAsia="宋体" w:cs="Times New Roman"/>
                <w:color w:val="auto"/>
                <w:highlight w:val="none"/>
                <w:lang w:val="en-US" w:eastAsia="zh-CN"/>
              </w:rPr>
              <w:t>环境影响不大</w:t>
            </w:r>
            <w:r>
              <w:rPr>
                <w:rFonts w:hint="eastAsia" w:ascii="Times New Roman" w:hAnsi="Times New Roman" w:eastAsia="宋体" w:cs="Times New Roman"/>
                <w:color w:val="auto"/>
                <w:highlight w:val="none"/>
                <w:lang w:val="en-US" w:eastAsia="zh-CN"/>
              </w:rPr>
              <w:t>。</w:t>
            </w:r>
          </w:p>
          <w:p w14:paraId="68874962">
            <w:pPr>
              <w:pStyle w:val="90"/>
              <w:ind w:firstLine="31680"/>
              <w:rPr>
                <w:rFonts w:hint="default" w:ascii="Times New Roman" w:hAnsi="Times New Roman" w:eastAsia="宋体" w:cs="Times New Roman"/>
                <w:color w:val="auto"/>
                <w:highlight w:val="none"/>
                <w:lang w:val="en-US" w:eastAsia="zh-CN"/>
              </w:rPr>
            </w:pPr>
            <w:r>
              <w:rPr>
                <w:rFonts w:hint="eastAsia" w:ascii="Times New Roman" w:hAnsi="Times New Roman" w:eastAsia="宋体"/>
                <w:color w:val="auto"/>
                <w:highlight w:val="none"/>
              </w:rPr>
              <w:t>（</w:t>
            </w:r>
            <w:r>
              <w:rPr>
                <w:rFonts w:hint="eastAsia" w:ascii="Times New Roman" w:hAnsi="Times New Roman" w:eastAsia="宋体"/>
                <w:color w:val="auto"/>
                <w:highlight w:val="none"/>
                <w:lang w:val="en-US" w:eastAsia="zh-CN"/>
              </w:rPr>
              <w:t>2</w:t>
            </w:r>
            <w:r>
              <w:rPr>
                <w:rFonts w:hint="eastAsia" w:ascii="Times New Roman" w:hAnsi="Times New Roman" w:eastAsia="宋体"/>
                <w:color w:val="auto"/>
                <w:highlight w:val="none"/>
              </w:rPr>
              <w:t>）污染防控措施</w:t>
            </w:r>
          </w:p>
          <w:p w14:paraId="42683F38">
            <w:pPr>
              <w:pStyle w:val="46"/>
              <w:bidi w:val="0"/>
              <w:rPr>
                <w:rFonts w:hint="default" w:ascii="Times New Roman" w:hAnsi="Times New Roman" w:eastAsia="宋体"/>
                <w:color w:val="auto"/>
                <w:highlight w:val="none"/>
                <w:lang w:val="en-US" w:eastAsia="zh-CN"/>
              </w:rPr>
            </w:pPr>
            <w:r>
              <w:rPr>
                <w:rFonts w:hint="default" w:ascii="Times New Roman" w:hAnsi="Times New Roman" w:eastAsia="宋体"/>
                <w:color w:val="auto"/>
                <w:highlight w:val="none"/>
                <w:lang w:val="en-US" w:eastAsia="zh-CN"/>
              </w:rPr>
              <w:t>本项目地下水及土壤污染防治措施按照</w:t>
            </w:r>
            <w:r>
              <w:rPr>
                <w:rFonts w:hint="eastAsia" w:ascii="Times New Roman" w:hAnsi="Times New Roman" w:eastAsia="宋体" w:cs="宋体"/>
                <w:color w:val="auto"/>
                <w:highlight w:val="none"/>
                <w:lang w:val="en-US" w:eastAsia="zh-CN"/>
              </w:rPr>
              <w:t>“源头控制、分区防治、污染监控、应急响应”相结</w:t>
            </w:r>
            <w:r>
              <w:rPr>
                <w:rFonts w:hint="default" w:ascii="Times New Roman" w:hAnsi="Times New Roman" w:eastAsia="宋体"/>
                <w:color w:val="auto"/>
                <w:highlight w:val="none"/>
                <w:lang w:val="en-US" w:eastAsia="zh-CN"/>
              </w:rPr>
              <w:t>合的原则，从污染物的产生、入渗、扩散、应急响应全方位进行控制。</w:t>
            </w:r>
          </w:p>
          <w:p w14:paraId="7CE84AB6">
            <w:pPr>
              <w:pStyle w:val="46"/>
              <w:bidi w:val="0"/>
              <w:rPr>
                <w:rFonts w:hint="eastAsia" w:ascii="Times New Roman" w:hAnsi="Times New Roman" w:eastAsia="宋体"/>
                <w:color w:val="auto"/>
                <w:highlight w:val="none"/>
                <w:lang w:val="en-US" w:eastAsia="zh-CN"/>
              </w:rPr>
            </w:pPr>
            <w:r>
              <w:rPr>
                <w:rFonts w:hint="eastAsia" w:ascii="Times New Roman" w:hAnsi="Times New Roman" w:eastAsia="宋体"/>
                <w:color w:val="auto"/>
                <w:highlight w:val="none"/>
                <w:lang w:val="en-US" w:eastAsia="zh-CN"/>
              </w:rPr>
              <w:t>1）源头控制措施</w:t>
            </w:r>
          </w:p>
          <w:p w14:paraId="7F063F24">
            <w:pPr>
              <w:pStyle w:val="46"/>
              <w:bidi w:val="0"/>
              <w:rPr>
                <w:rFonts w:hint="default" w:ascii="Times New Roman" w:hAnsi="Times New Roman" w:eastAsia="宋体"/>
                <w:color w:val="auto"/>
                <w:highlight w:val="none"/>
                <w:lang w:val="en-US" w:eastAsia="zh-CN"/>
              </w:rPr>
            </w:pPr>
            <w:r>
              <w:rPr>
                <w:rFonts w:hint="eastAsia" w:ascii="Times New Roman" w:hAnsi="Times New Roman" w:eastAsia="宋体"/>
                <w:color w:val="auto"/>
                <w:highlight w:val="none"/>
                <w:lang w:val="en-US" w:eastAsia="zh-CN"/>
              </w:rPr>
              <w:t>①</w:t>
            </w:r>
            <w:r>
              <w:rPr>
                <w:rFonts w:hint="eastAsia"/>
                <w:color w:val="auto"/>
                <w:highlight w:val="none"/>
                <w:lang w:val="en-US" w:eastAsia="zh-CN"/>
              </w:rPr>
              <w:t>危废储存库</w:t>
            </w:r>
            <w:r>
              <w:rPr>
                <w:rFonts w:hint="default" w:ascii="Times New Roman" w:hAnsi="Times New Roman" w:eastAsia="宋体"/>
                <w:color w:val="auto"/>
                <w:highlight w:val="none"/>
                <w:lang w:val="en-US" w:eastAsia="zh-CN"/>
              </w:rPr>
              <w:t>区域进行防腐防渗措施，如地面采取防渗，并在</w:t>
            </w:r>
            <w:r>
              <w:rPr>
                <w:rFonts w:hint="eastAsia" w:ascii="Times New Roman" w:hAnsi="Times New Roman" w:eastAsia="宋体"/>
                <w:color w:val="auto"/>
                <w:highlight w:val="none"/>
                <w:lang w:val="en-US" w:eastAsia="zh-CN"/>
              </w:rPr>
              <w:t>危险废物</w:t>
            </w:r>
            <w:r>
              <w:rPr>
                <w:rFonts w:hint="default" w:ascii="Times New Roman" w:hAnsi="Times New Roman" w:eastAsia="宋体"/>
                <w:color w:val="auto"/>
                <w:highlight w:val="none"/>
                <w:lang w:val="en-US" w:eastAsia="zh-CN"/>
              </w:rPr>
              <w:t>设置托盘，防止液体滴落地面造成污染。</w:t>
            </w:r>
          </w:p>
          <w:p w14:paraId="6B32A4C1">
            <w:pPr>
              <w:pStyle w:val="46"/>
              <w:bidi w:val="0"/>
              <w:rPr>
                <w:rFonts w:hint="default" w:ascii="Times New Roman" w:hAnsi="Times New Roman" w:eastAsia="宋体"/>
                <w:color w:val="auto"/>
                <w:highlight w:val="none"/>
                <w:lang w:val="en-US" w:eastAsia="zh-CN"/>
              </w:rPr>
            </w:pPr>
            <w:r>
              <w:rPr>
                <w:rFonts w:hint="eastAsia" w:ascii="Times New Roman" w:hAnsi="Times New Roman" w:eastAsia="宋体"/>
                <w:color w:val="auto"/>
                <w:highlight w:val="none"/>
                <w:lang w:val="en-US" w:eastAsia="zh-CN"/>
              </w:rPr>
              <w:t>②加强危废储存场地的检修、加固，防止渗漏，对地下水造成污染。</w:t>
            </w:r>
          </w:p>
          <w:p w14:paraId="5EE0E493">
            <w:pPr>
              <w:pStyle w:val="46"/>
              <w:bidi w:val="0"/>
              <w:rPr>
                <w:rFonts w:hint="default" w:ascii="Times New Roman" w:hAnsi="Times New Roman" w:eastAsia="宋体"/>
                <w:color w:val="auto"/>
                <w:highlight w:val="none"/>
                <w:lang w:val="en-US" w:eastAsia="zh-CN"/>
              </w:rPr>
            </w:pPr>
            <w:r>
              <w:rPr>
                <w:rFonts w:hint="eastAsia" w:ascii="Times New Roman" w:hAnsi="Times New Roman" w:eastAsia="宋体"/>
                <w:color w:val="auto"/>
                <w:highlight w:val="none"/>
                <w:lang w:val="en-US" w:eastAsia="zh-CN"/>
              </w:rPr>
              <w:t>2）</w:t>
            </w:r>
            <w:r>
              <w:rPr>
                <w:rFonts w:hint="default" w:ascii="Times New Roman" w:hAnsi="Times New Roman" w:eastAsia="宋体"/>
                <w:color w:val="auto"/>
                <w:highlight w:val="none"/>
                <w:lang w:val="en-US" w:eastAsia="zh-CN"/>
              </w:rPr>
              <w:t>防渗分区防治及措施</w:t>
            </w:r>
          </w:p>
          <w:p w14:paraId="59B13B51">
            <w:pPr>
              <w:pStyle w:val="120"/>
              <w:rPr>
                <w:rFonts w:hint="default" w:ascii="Times New Roman" w:hAnsi="Times New Roman" w:eastAsia="宋体"/>
                <w:smallCaps w:val="0"/>
                <w:color w:val="auto"/>
                <w:highlight w:val="none"/>
                <w:shd w:val="clear" w:color="auto" w:fill="auto"/>
                <w:lang w:val="en-US" w:eastAsia="zh-CN"/>
              </w:rPr>
            </w:pPr>
            <w:r>
              <w:rPr>
                <w:rFonts w:hint="default" w:ascii="Times New Roman" w:hAnsi="Times New Roman" w:eastAsia="宋体"/>
                <w:color w:val="auto"/>
                <w:highlight w:val="none"/>
                <w:lang w:val="en-US" w:eastAsia="zh-CN"/>
              </w:rPr>
              <w:t>根据防渗分区技术方法及本项目的工程分析，将</w:t>
            </w:r>
            <w:r>
              <w:rPr>
                <w:rFonts w:hint="eastAsia"/>
                <w:color w:val="auto"/>
                <w:highlight w:val="none"/>
                <w:lang w:val="en-US" w:eastAsia="zh-CN"/>
              </w:rPr>
              <w:t>危废储存库</w:t>
            </w:r>
            <w:r>
              <w:rPr>
                <w:rFonts w:hint="eastAsia" w:ascii="Times New Roman" w:hAnsi="Times New Roman" w:eastAsia="宋体"/>
                <w:color w:val="auto"/>
                <w:highlight w:val="none"/>
                <w:lang w:val="en-US" w:eastAsia="zh-CN"/>
              </w:rPr>
              <w:t>、</w:t>
            </w:r>
            <w:r>
              <w:rPr>
                <w:rFonts w:hint="eastAsia"/>
                <w:color w:val="auto"/>
                <w:highlight w:val="none"/>
                <w:lang w:val="en-US" w:eastAsia="zh-CN"/>
              </w:rPr>
              <w:t>污水处理站</w:t>
            </w:r>
            <w:r>
              <w:rPr>
                <w:rFonts w:hint="default" w:ascii="Times New Roman" w:hAnsi="Times New Roman" w:eastAsia="宋体"/>
                <w:color w:val="auto"/>
                <w:highlight w:val="none"/>
                <w:lang w:val="en-US" w:eastAsia="zh-CN"/>
              </w:rPr>
              <w:t>划分为重点防渗区；</w:t>
            </w:r>
            <w:r>
              <w:rPr>
                <w:rFonts w:hint="eastAsia"/>
                <w:color w:val="auto"/>
                <w:highlight w:val="none"/>
                <w:lang w:val="en-US" w:eastAsia="zh-CN"/>
              </w:rPr>
              <w:t>院内</w:t>
            </w:r>
            <w:r>
              <w:rPr>
                <w:rFonts w:hint="default" w:ascii="Times New Roman" w:hAnsi="Times New Roman" w:eastAsia="宋体"/>
                <w:color w:val="auto"/>
                <w:highlight w:val="none"/>
                <w:lang w:val="en-US" w:eastAsia="zh-CN"/>
              </w:rPr>
              <w:t>其他</w:t>
            </w:r>
            <w:r>
              <w:rPr>
                <w:rFonts w:hint="eastAsia"/>
                <w:color w:val="auto"/>
                <w:highlight w:val="none"/>
                <w:lang w:val="en-US" w:eastAsia="zh-CN"/>
              </w:rPr>
              <w:t>区域</w:t>
            </w:r>
            <w:r>
              <w:rPr>
                <w:rFonts w:hint="default" w:ascii="Times New Roman" w:hAnsi="Times New Roman" w:eastAsia="宋体"/>
                <w:color w:val="auto"/>
                <w:highlight w:val="none"/>
                <w:lang w:val="en-US" w:eastAsia="zh-CN"/>
              </w:rPr>
              <w:t>划分为一般防渗区</w:t>
            </w:r>
            <w:r>
              <w:rPr>
                <w:rFonts w:hint="eastAsia"/>
                <w:color w:val="auto"/>
                <w:highlight w:val="none"/>
                <w:lang w:eastAsia="zh-CN"/>
              </w:rPr>
              <w:t>，</w:t>
            </w:r>
            <w:r>
              <w:rPr>
                <w:rFonts w:hint="eastAsia"/>
                <w:color w:val="auto"/>
                <w:highlight w:val="none"/>
                <w:lang w:val="en-US" w:eastAsia="zh-CN"/>
              </w:rPr>
              <w:t>院区道路设置为简单防渗区</w:t>
            </w:r>
            <w:r>
              <w:rPr>
                <w:rFonts w:hint="default" w:ascii="Times New Roman" w:hAnsi="Times New Roman" w:eastAsia="宋体"/>
                <w:color w:val="auto"/>
                <w:highlight w:val="none"/>
                <w:lang w:val="en-US" w:eastAsia="zh-CN"/>
              </w:rPr>
              <w:t>。</w:t>
            </w:r>
            <w:r>
              <w:rPr>
                <w:rFonts w:hint="eastAsia" w:ascii="Times New Roman" w:hAnsi="Times New Roman" w:eastAsia="宋体"/>
                <w:smallCaps w:val="0"/>
                <w:color w:val="auto"/>
                <w:highlight w:val="none"/>
                <w:shd w:val="clear" w:color="auto" w:fill="auto"/>
                <w:lang w:val="en-US" w:eastAsia="zh-CN"/>
              </w:rPr>
              <w:t>防渗要求如下：</w:t>
            </w:r>
          </w:p>
          <w:p w14:paraId="1B3F25E8">
            <w:pPr>
              <w:pStyle w:val="46"/>
              <w:ind w:left="420" w:leftChars="200" w:firstLine="0" w:firstLineChars="0"/>
              <w:rPr>
                <w:rFonts w:ascii="Times New Roman" w:hAnsi="Times New Roman" w:eastAsia="宋体"/>
                <w:smallCaps w:val="0"/>
                <w:color w:val="auto"/>
                <w:highlight w:val="none"/>
                <w:shd w:val="clear" w:color="auto" w:fill="auto"/>
              </w:rPr>
            </w:pPr>
            <w:r>
              <w:rPr>
                <w:rFonts w:ascii="Times New Roman" w:hAnsi="Times New Roman" w:eastAsia="宋体"/>
                <w:smallCaps w:val="0"/>
                <w:color w:val="auto"/>
                <w:highlight w:val="none"/>
                <w:shd w:val="clear" w:color="auto" w:fill="auto"/>
              </w:rPr>
              <w:fldChar w:fldCharType="begin"/>
            </w:r>
            <w:r>
              <w:rPr>
                <w:rFonts w:ascii="Times New Roman" w:hAnsi="Times New Roman" w:eastAsia="宋体"/>
                <w:smallCaps w:val="0"/>
                <w:color w:val="auto"/>
                <w:highlight w:val="none"/>
                <w:shd w:val="clear" w:color="auto" w:fill="auto"/>
              </w:rPr>
              <w:instrText xml:space="preserve"> = 1 \* GB3 \* MERGEFORMAT </w:instrText>
            </w:r>
            <w:r>
              <w:rPr>
                <w:rFonts w:ascii="Times New Roman" w:hAnsi="Times New Roman" w:eastAsia="宋体"/>
                <w:smallCaps w:val="0"/>
                <w:color w:val="auto"/>
                <w:highlight w:val="none"/>
                <w:shd w:val="clear" w:color="auto" w:fill="auto"/>
              </w:rPr>
              <w:fldChar w:fldCharType="separate"/>
            </w:r>
            <w:r>
              <w:rPr>
                <w:rFonts w:ascii="Times New Roman" w:hAnsi="Times New Roman" w:eastAsia="宋体"/>
                <w:smallCaps w:val="0"/>
                <w:color w:val="auto"/>
                <w:highlight w:val="none"/>
                <w:shd w:val="clear" w:color="auto" w:fill="auto"/>
              </w:rPr>
              <w:t>①</w:t>
            </w:r>
            <w:r>
              <w:rPr>
                <w:rFonts w:ascii="Times New Roman" w:hAnsi="Times New Roman" w:eastAsia="宋体"/>
                <w:smallCaps w:val="0"/>
                <w:color w:val="auto"/>
                <w:highlight w:val="none"/>
                <w:shd w:val="clear" w:color="auto" w:fill="auto"/>
              </w:rPr>
              <w:fldChar w:fldCharType="end"/>
            </w:r>
            <w:r>
              <w:rPr>
                <w:rFonts w:hint="eastAsia" w:ascii="Times New Roman" w:hAnsi="Times New Roman" w:eastAsia="宋体"/>
                <w:smallCaps w:val="0"/>
                <w:color w:val="auto"/>
                <w:highlight w:val="none"/>
                <w:shd w:val="clear" w:color="auto" w:fill="auto"/>
              </w:rPr>
              <w:t>重点防渗区</w:t>
            </w:r>
          </w:p>
          <w:p w14:paraId="057172D5">
            <w:pPr>
              <w:pStyle w:val="46"/>
              <w:ind w:firstLine="480"/>
              <w:rPr>
                <w:rFonts w:ascii="Times New Roman" w:hAnsi="Times New Roman" w:eastAsia="宋体"/>
                <w:smallCaps w:val="0"/>
                <w:color w:val="auto"/>
                <w:highlight w:val="none"/>
                <w:shd w:val="clear" w:color="auto" w:fill="auto"/>
              </w:rPr>
            </w:pPr>
            <w:r>
              <w:rPr>
                <w:rFonts w:ascii="Times New Roman" w:hAnsi="Times New Roman" w:eastAsia="宋体"/>
                <w:smallCaps w:val="0"/>
                <w:color w:val="auto"/>
                <w:highlight w:val="none"/>
                <w:shd w:val="clear" w:color="auto" w:fill="auto"/>
              </w:rPr>
              <w:t>指污染地下水环境的物料泄漏后，不容易被及时发现和处理的区域。本项目重点污染防治区主要包括危险废物暂存间。</w:t>
            </w:r>
          </w:p>
          <w:p w14:paraId="268105CD">
            <w:pPr>
              <w:pStyle w:val="46"/>
              <w:ind w:firstLine="480"/>
              <w:rPr>
                <w:rFonts w:ascii="Times New Roman" w:hAnsi="Times New Roman" w:eastAsia="宋体"/>
                <w:smallCaps w:val="0"/>
                <w:color w:val="auto"/>
                <w:highlight w:val="none"/>
                <w:shd w:val="clear" w:color="auto" w:fill="auto"/>
              </w:rPr>
            </w:pPr>
            <w:r>
              <w:rPr>
                <w:rFonts w:ascii="Times New Roman" w:hAnsi="Times New Roman" w:eastAsia="宋体"/>
                <w:smallCaps w:val="0"/>
                <w:color w:val="auto"/>
                <w:highlight w:val="none"/>
                <w:shd w:val="clear" w:color="auto" w:fill="auto"/>
              </w:rPr>
              <w:t>重点污染区防渗要求：</w:t>
            </w:r>
            <w:r>
              <w:rPr>
                <w:rFonts w:hint="eastAsia" w:ascii="Times New Roman" w:hAnsi="Times New Roman" w:eastAsia="宋体"/>
                <w:smallCaps w:val="0"/>
                <w:color w:val="auto"/>
                <w:highlight w:val="none"/>
                <w:shd w:val="clear" w:color="auto" w:fill="auto"/>
              </w:rPr>
              <w:t>防渗层为至少1m厚黏土层（</w:t>
            </w:r>
            <w:r>
              <w:rPr>
                <w:rFonts w:ascii="Times New Roman" w:hAnsi="Times New Roman" w:eastAsia="宋体"/>
                <w:smallCaps w:val="0"/>
                <w:color w:val="auto"/>
                <w:highlight w:val="none"/>
                <w:shd w:val="clear" w:color="auto" w:fill="auto"/>
              </w:rPr>
              <w:t>渗透系数≤10</w:t>
            </w:r>
            <w:r>
              <w:rPr>
                <w:rFonts w:hint="eastAsia"/>
                <w:smallCaps w:val="0"/>
                <w:color w:val="auto"/>
                <w:highlight w:val="none"/>
                <w:shd w:val="clear" w:color="auto" w:fill="auto"/>
                <w:lang w:eastAsia="zh-CN"/>
              </w:rPr>
              <w:t>—</w:t>
            </w:r>
            <w:r>
              <w:rPr>
                <w:rFonts w:hint="eastAsia" w:ascii="Times New Roman" w:hAnsi="Times New Roman" w:eastAsia="宋体"/>
                <w:smallCaps w:val="0"/>
                <w:color w:val="auto"/>
                <w:highlight w:val="none"/>
                <w:shd w:val="clear" w:color="auto" w:fill="auto"/>
                <w:vertAlign w:val="superscript"/>
              </w:rPr>
              <w:t>7</w:t>
            </w:r>
            <w:r>
              <w:rPr>
                <w:rFonts w:ascii="Times New Roman" w:hAnsi="Times New Roman" w:eastAsia="宋体"/>
                <w:smallCaps w:val="0"/>
                <w:color w:val="auto"/>
                <w:highlight w:val="none"/>
                <w:shd w:val="clear" w:color="auto" w:fill="auto"/>
              </w:rPr>
              <w:t>cm/s</w:t>
            </w:r>
            <w:r>
              <w:rPr>
                <w:rFonts w:hint="eastAsia" w:ascii="Times New Roman" w:hAnsi="Times New Roman" w:eastAsia="宋体"/>
                <w:smallCaps w:val="0"/>
                <w:color w:val="auto"/>
                <w:highlight w:val="none"/>
                <w:shd w:val="clear" w:color="auto" w:fill="auto"/>
              </w:rPr>
              <w:t>），或2mm厚高密度聚氯乙烯，或至少2mm厚</w:t>
            </w:r>
            <w:r>
              <w:rPr>
                <w:rFonts w:hint="eastAsia" w:ascii="Times New Roman" w:hAnsi="Times New Roman" w:eastAsia="宋体"/>
                <w:smallCaps w:val="0"/>
                <w:color w:val="auto"/>
                <w:highlight w:val="none"/>
                <w:shd w:val="clear" w:color="auto" w:fill="auto"/>
                <w:lang w:eastAsia="zh-CN"/>
              </w:rPr>
              <w:t>的其他</w:t>
            </w:r>
            <w:r>
              <w:rPr>
                <w:rFonts w:hint="eastAsia" w:ascii="Times New Roman" w:hAnsi="Times New Roman" w:eastAsia="宋体"/>
                <w:smallCaps w:val="0"/>
                <w:color w:val="auto"/>
                <w:highlight w:val="none"/>
                <w:shd w:val="clear" w:color="auto" w:fill="auto"/>
              </w:rPr>
              <w:t>人工材料，渗透系数</w:t>
            </w:r>
            <w:r>
              <w:rPr>
                <w:rFonts w:ascii="Times New Roman" w:hAnsi="Times New Roman" w:eastAsia="宋体"/>
                <w:smallCaps w:val="0"/>
                <w:color w:val="auto"/>
                <w:highlight w:val="none"/>
                <w:shd w:val="clear" w:color="auto" w:fill="auto"/>
              </w:rPr>
              <w:t>≤10</w:t>
            </w:r>
            <w:r>
              <w:rPr>
                <w:rFonts w:hint="eastAsia"/>
                <w:smallCaps w:val="0"/>
                <w:color w:val="auto"/>
                <w:highlight w:val="none"/>
                <w:shd w:val="clear" w:color="auto" w:fill="auto"/>
                <w:lang w:eastAsia="zh-CN"/>
              </w:rPr>
              <w:t>—</w:t>
            </w:r>
            <w:r>
              <w:rPr>
                <w:rFonts w:hint="eastAsia" w:ascii="Times New Roman" w:hAnsi="Times New Roman" w:eastAsia="宋体"/>
                <w:smallCaps w:val="0"/>
                <w:color w:val="auto"/>
                <w:highlight w:val="none"/>
                <w:shd w:val="clear" w:color="auto" w:fill="auto"/>
                <w:vertAlign w:val="superscript"/>
              </w:rPr>
              <w:t>10</w:t>
            </w:r>
            <w:r>
              <w:rPr>
                <w:rFonts w:ascii="Times New Roman" w:hAnsi="Times New Roman" w:eastAsia="宋体"/>
                <w:smallCaps w:val="0"/>
                <w:color w:val="auto"/>
                <w:highlight w:val="none"/>
                <w:shd w:val="clear" w:color="auto" w:fill="auto"/>
              </w:rPr>
              <w:t>cm/s。</w:t>
            </w:r>
          </w:p>
          <w:p w14:paraId="515320AC">
            <w:pPr>
              <w:pStyle w:val="46"/>
              <w:ind w:left="420" w:leftChars="200" w:firstLine="0" w:firstLineChars="0"/>
              <w:rPr>
                <w:rFonts w:ascii="Times New Roman" w:hAnsi="Times New Roman" w:eastAsia="宋体"/>
                <w:smallCaps w:val="0"/>
                <w:color w:val="auto"/>
                <w:highlight w:val="none"/>
                <w:shd w:val="clear" w:color="auto" w:fill="auto"/>
              </w:rPr>
            </w:pPr>
            <w:r>
              <w:rPr>
                <w:rFonts w:ascii="Times New Roman" w:hAnsi="Times New Roman" w:eastAsia="宋体"/>
                <w:smallCaps w:val="0"/>
                <w:color w:val="auto"/>
                <w:highlight w:val="none"/>
                <w:shd w:val="clear" w:color="auto" w:fill="auto"/>
              </w:rPr>
              <w:fldChar w:fldCharType="begin"/>
            </w:r>
            <w:r>
              <w:rPr>
                <w:rFonts w:ascii="Times New Roman" w:hAnsi="Times New Roman" w:eastAsia="宋体"/>
                <w:smallCaps w:val="0"/>
                <w:color w:val="auto"/>
                <w:highlight w:val="none"/>
                <w:shd w:val="clear" w:color="auto" w:fill="auto"/>
              </w:rPr>
              <w:instrText xml:space="preserve"> = 2 \* GB3 \* MERGEFORMAT </w:instrText>
            </w:r>
            <w:r>
              <w:rPr>
                <w:rFonts w:ascii="Times New Roman" w:hAnsi="Times New Roman" w:eastAsia="宋体"/>
                <w:smallCaps w:val="0"/>
                <w:color w:val="auto"/>
                <w:highlight w:val="none"/>
                <w:shd w:val="clear" w:color="auto" w:fill="auto"/>
              </w:rPr>
              <w:fldChar w:fldCharType="separate"/>
            </w:r>
            <w:r>
              <w:rPr>
                <w:rFonts w:ascii="Times New Roman" w:hAnsi="Times New Roman" w:eastAsia="宋体"/>
                <w:smallCaps w:val="0"/>
                <w:color w:val="auto"/>
                <w:highlight w:val="none"/>
                <w:shd w:val="clear" w:color="auto" w:fill="auto"/>
              </w:rPr>
              <w:t>②</w:t>
            </w:r>
            <w:r>
              <w:rPr>
                <w:rFonts w:ascii="Times New Roman" w:hAnsi="Times New Roman" w:eastAsia="宋体"/>
                <w:smallCaps w:val="0"/>
                <w:color w:val="auto"/>
                <w:highlight w:val="none"/>
                <w:shd w:val="clear" w:color="auto" w:fill="auto"/>
              </w:rPr>
              <w:fldChar w:fldCharType="end"/>
            </w:r>
            <w:r>
              <w:rPr>
                <w:rFonts w:hint="eastAsia" w:ascii="Times New Roman" w:hAnsi="Times New Roman" w:eastAsia="宋体"/>
                <w:smallCaps w:val="0"/>
                <w:color w:val="auto"/>
                <w:highlight w:val="none"/>
                <w:shd w:val="clear" w:color="auto" w:fill="auto"/>
              </w:rPr>
              <w:t>一般防渗区</w:t>
            </w:r>
          </w:p>
          <w:p w14:paraId="3CFC6FE5">
            <w:pPr>
              <w:pStyle w:val="46"/>
              <w:ind w:firstLine="480"/>
              <w:rPr>
                <w:rFonts w:ascii="Times New Roman" w:hAnsi="Times New Roman" w:eastAsia="宋体"/>
                <w:smallCaps w:val="0"/>
                <w:color w:val="auto"/>
                <w:highlight w:val="none"/>
                <w:shd w:val="clear" w:color="auto" w:fill="auto"/>
              </w:rPr>
            </w:pPr>
            <w:r>
              <w:rPr>
                <w:rFonts w:ascii="Times New Roman" w:hAnsi="Times New Roman" w:eastAsia="宋体"/>
                <w:smallCaps w:val="0"/>
                <w:color w:val="auto"/>
                <w:highlight w:val="none"/>
                <w:shd w:val="clear" w:color="auto" w:fill="auto"/>
              </w:rPr>
              <w:t>指裸露于地面的生产功能单元，污染地下水环境的物料泄漏后，容易被及时发现和处理的区域。</w:t>
            </w:r>
          </w:p>
          <w:p w14:paraId="0F019D4C">
            <w:pPr>
              <w:pStyle w:val="46"/>
              <w:ind w:firstLine="480"/>
              <w:rPr>
                <w:rFonts w:ascii="Times New Roman" w:hAnsi="Times New Roman" w:eastAsia="宋体"/>
                <w:smallCaps w:val="0"/>
                <w:color w:val="auto"/>
                <w:highlight w:val="none"/>
                <w:shd w:val="clear" w:color="auto" w:fill="auto"/>
              </w:rPr>
            </w:pPr>
            <w:r>
              <w:rPr>
                <w:rFonts w:ascii="Times New Roman" w:hAnsi="Times New Roman" w:eastAsia="宋体"/>
                <w:smallCaps w:val="0"/>
                <w:color w:val="auto"/>
                <w:highlight w:val="none"/>
                <w:shd w:val="clear" w:color="auto" w:fill="auto"/>
              </w:rPr>
              <w:t>对于一般污染防治区，参照《</w:t>
            </w:r>
            <w:r>
              <w:rPr>
                <w:rFonts w:hint="eastAsia"/>
                <w:smallCaps w:val="0"/>
                <w:color w:val="auto"/>
                <w:highlight w:val="none"/>
                <w:shd w:val="clear" w:color="auto" w:fill="auto"/>
                <w:lang w:eastAsia="zh-CN"/>
              </w:rPr>
              <w:t>一般工业固体废物贮存和填埋污染控制标准</w:t>
            </w:r>
            <w:r>
              <w:rPr>
                <w:rFonts w:ascii="Times New Roman" w:hAnsi="Times New Roman" w:eastAsia="宋体"/>
                <w:smallCaps w:val="0"/>
                <w:color w:val="auto"/>
                <w:highlight w:val="none"/>
                <w:shd w:val="clear" w:color="auto" w:fill="auto"/>
              </w:rPr>
              <w:t>》</w:t>
            </w:r>
            <w:r>
              <w:rPr>
                <w:rFonts w:hint="eastAsia" w:ascii="Times New Roman" w:hAnsi="Times New Roman" w:eastAsia="宋体"/>
                <w:smallCaps w:val="0"/>
                <w:color w:val="auto"/>
                <w:highlight w:val="none"/>
                <w:shd w:val="clear" w:color="auto" w:fill="auto"/>
                <w:lang w:eastAsia="zh-CN"/>
              </w:rPr>
              <w:t>（</w:t>
            </w:r>
            <w:r>
              <w:rPr>
                <w:rFonts w:ascii="Times New Roman" w:hAnsi="Times New Roman" w:eastAsia="宋体"/>
                <w:smallCaps w:val="0"/>
                <w:color w:val="auto"/>
                <w:highlight w:val="none"/>
                <w:shd w:val="clear" w:color="auto" w:fill="auto"/>
              </w:rPr>
              <w:t>GB18599-2020</w:t>
            </w:r>
            <w:r>
              <w:rPr>
                <w:rFonts w:hint="eastAsia" w:ascii="Times New Roman" w:hAnsi="Times New Roman" w:eastAsia="宋体"/>
                <w:smallCaps w:val="0"/>
                <w:color w:val="auto"/>
                <w:highlight w:val="none"/>
                <w:shd w:val="clear" w:color="auto" w:fill="auto"/>
                <w:lang w:eastAsia="zh-CN"/>
              </w:rPr>
              <w:t>）</w:t>
            </w:r>
            <w:r>
              <w:rPr>
                <w:rFonts w:ascii="Times New Roman" w:hAnsi="Times New Roman" w:eastAsia="宋体"/>
                <w:smallCaps w:val="0"/>
                <w:color w:val="auto"/>
                <w:highlight w:val="none"/>
                <w:shd w:val="clear" w:color="auto" w:fill="auto"/>
              </w:rPr>
              <w:t>Ⅱ类场进行设计。</w:t>
            </w:r>
          </w:p>
          <w:p w14:paraId="46FE53B9">
            <w:pPr>
              <w:pStyle w:val="46"/>
              <w:ind w:firstLine="480"/>
              <w:rPr>
                <w:rFonts w:ascii="Times New Roman" w:hAnsi="Times New Roman" w:eastAsia="宋体"/>
                <w:smallCaps w:val="0"/>
                <w:color w:val="auto"/>
                <w:highlight w:val="none"/>
                <w:shd w:val="clear" w:color="auto" w:fill="auto"/>
              </w:rPr>
            </w:pPr>
            <w:r>
              <w:rPr>
                <w:rFonts w:ascii="Times New Roman" w:hAnsi="Times New Roman" w:eastAsia="宋体"/>
                <w:smallCaps w:val="0"/>
                <w:color w:val="auto"/>
                <w:highlight w:val="none"/>
                <w:shd w:val="clear" w:color="auto" w:fill="auto"/>
              </w:rPr>
              <w:t>一般污染区防渗要求：</w:t>
            </w:r>
            <w:r>
              <w:rPr>
                <w:rFonts w:hint="eastAsia" w:ascii="Times New Roman" w:hAnsi="Times New Roman" w:eastAsia="宋体"/>
                <w:smallCaps w:val="0"/>
                <w:color w:val="auto"/>
                <w:highlight w:val="none"/>
                <w:shd w:val="clear" w:color="auto" w:fill="auto"/>
                <w:lang w:bidi="ar"/>
              </w:rPr>
              <w:t>人工合成材料应采用高密度聚乙烯膜，厚度不小于</w:t>
            </w:r>
            <w:r>
              <w:rPr>
                <w:rFonts w:ascii="Times New Roman" w:hAnsi="Times New Roman" w:eastAsia="宋体"/>
                <w:smallCaps w:val="0"/>
                <w:color w:val="auto"/>
                <w:highlight w:val="none"/>
                <w:shd w:val="clear" w:color="auto" w:fill="auto"/>
                <w:lang w:bidi="ar"/>
              </w:rPr>
              <w:t>1.5mm</w:t>
            </w:r>
            <w:r>
              <w:rPr>
                <w:rFonts w:hint="eastAsia" w:ascii="Times New Roman" w:hAnsi="Times New Roman" w:eastAsia="宋体"/>
                <w:smallCaps w:val="0"/>
                <w:color w:val="auto"/>
                <w:highlight w:val="none"/>
                <w:shd w:val="clear" w:color="auto" w:fill="auto"/>
                <w:lang w:bidi="ar"/>
              </w:rPr>
              <w:t>，并满足</w:t>
            </w:r>
            <w:r>
              <w:rPr>
                <w:rFonts w:ascii="Times New Roman" w:hAnsi="Times New Roman" w:eastAsia="宋体"/>
                <w:smallCaps w:val="0"/>
                <w:color w:val="auto"/>
                <w:highlight w:val="none"/>
                <w:shd w:val="clear" w:color="auto" w:fill="auto"/>
                <w:lang w:bidi="ar"/>
              </w:rPr>
              <w:t>GB/T17643</w:t>
            </w:r>
            <w:r>
              <w:rPr>
                <w:rFonts w:hint="eastAsia" w:ascii="Times New Roman" w:hAnsi="Times New Roman" w:eastAsia="宋体"/>
                <w:smallCaps w:val="0"/>
                <w:color w:val="auto"/>
                <w:highlight w:val="none"/>
                <w:shd w:val="clear" w:color="auto" w:fill="auto"/>
                <w:lang w:bidi="ar"/>
              </w:rPr>
              <w:t>规定的技术指标要求。采用其他人工合成材料的，其防渗性能至少相当于</w:t>
            </w:r>
            <w:r>
              <w:rPr>
                <w:rFonts w:ascii="Times New Roman" w:hAnsi="Times New Roman" w:eastAsia="宋体"/>
                <w:smallCaps w:val="0"/>
                <w:color w:val="auto"/>
                <w:highlight w:val="none"/>
                <w:shd w:val="clear" w:color="auto" w:fill="auto"/>
                <w:lang w:bidi="ar"/>
              </w:rPr>
              <w:t>1.5 mm</w:t>
            </w:r>
            <w:r>
              <w:rPr>
                <w:rFonts w:hint="eastAsia" w:ascii="Times New Roman" w:hAnsi="Times New Roman" w:eastAsia="宋体"/>
                <w:smallCaps w:val="0"/>
                <w:color w:val="auto"/>
                <w:highlight w:val="none"/>
                <w:shd w:val="clear" w:color="auto" w:fill="auto"/>
                <w:lang w:bidi="ar"/>
              </w:rPr>
              <w:t>高密度聚乙烯膜的防渗性能。</w:t>
            </w:r>
            <w:r>
              <w:rPr>
                <w:rFonts w:hint="eastAsia" w:ascii="Times New Roman" w:hAnsi="Times New Roman" w:eastAsia="宋体"/>
                <w:smallCaps w:val="0"/>
                <w:color w:val="auto"/>
                <w:highlight w:val="none"/>
                <w:shd w:val="clear" w:color="auto" w:fill="auto"/>
                <w:lang w:eastAsia="zh-CN" w:bidi="ar"/>
              </w:rPr>
              <w:t>黏土</w:t>
            </w:r>
            <w:r>
              <w:rPr>
                <w:rFonts w:hint="eastAsia" w:ascii="Times New Roman" w:hAnsi="Times New Roman" w:eastAsia="宋体"/>
                <w:smallCaps w:val="0"/>
                <w:color w:val="auto"/>
                <w:highlight w:val="none"/>
                <w:shd w:val="clear" w:color="auto" w:fill="auto"/>
                <w:lang w:bidi="ar"/>
              </w:rPr>
              <w:t>衬层厚度应不小于</w:t>
            </w:r>
            <w:r>
              <w:rPr>
                <w:rFonts w:ascii="Times New Roman" w:hAnsi="Times New Roman" w:eastAsia="宋体"/>
                <w:smallCaps w:val="0"/>
                <w:color w:val="auto"/>
                <w:highlight w:val="none"/>
                <w:shd w:val="clear" w:color="auto" w:fill="auto"/>
                <w:lang w:bidi="ar"/>
              </w:rPr>
              <w:t>0.75m</w:t>
            </w:r>
            <w:r>
              <w:rPr>
                <w:rFonts w:hint="eastAsia" w:ascii="Times New Roman" w:hAnsi="Times New Roman" w:eastAsia="宋体"/>
                <w:smallCaps w:val="0"/>
                <w:color w:val="auto"/>
                <w:highlight w:val="none"/>
                <w:shd w:val="clear" w:color="auto" w:fill="auto"/>
                <w:lang w:bidi="ar"/>
              </w:rPr>
              <w:t>，且经压实、人工改性等措施处理后的饱和渗透系数不应大于</w:t>
            </w:r>
            <w:r>
              <w:rPr>
                <w:rFonts w:ascii="Times New Roman" w:hAnsi="Times New Roman" w:eastAsia="宋体"/>
                <w:smallCaps w:val="0"/>
                <w:color w:val="auto"/>
                <w:highlight w:val="none"/>
                <w:shd w:val="clear" w:color="auto" w:fill="auto"/>
                <w:lang w:bidi="ar"/>
              </w:rPr>
              <w:t>1.0×10</w:t>
            </w:r>
            <w:r>
              <w:rPr>
                <w:rFonts w:hint="eastAsia"/>
                <w:smallCaps w:val="0"/>
                <w:color w:val="auto"/>
                <w:highlight w:val="none"/>
                <w:shd w:val="clear" w:color="auto" w:fill="auto"/>
                <w:lang w:eastAsia="zh-CN" w:bidi="ar"/>
              </w:rPr>
              <w:t>—</w:t>
            </w:r>
            <w:r>
              <w:rPr>
                <w:rFonts w:ascii="Times New Roman" w:hAnsi="Times New Roman" w:eastAsia="宋体"/>
                <w:smallCaps w:val="0"/>
                <w:color w:val="auto"/>
                <w:highlight w:val="none"/>
                <w:shd w:val="clear" w:color="auto" w:fill="auto"/>
                <w:vertAlign w:val="superscript"/>
                <w:lang w:bidi="ar"/>
              </w:rPr>
              <w:t>7</w:t>
            </w:r>
            <w:r>
              <w:rPr>
                <w:rFonts w:ascii="Times New Roman" w:hAnsi="Times New Roman" w:eastAsia="宋体"/>
                <w:smallCaps w:val="0"/>
                <w:color w:val="auto"/>
                <w:highlight w:val="none"/>
                <w:shd w:val="clear" w:color="auto" w:fill="auto"/>
                <w:lang w:bidi="ar"/>
              </w:rPr>
              <w:t>cm/s</w:t>
            </w:r>
            <w:r>
              <w:rPr>
                <w:rFonts w:hint="eastAsia" w:ascii="Times New Roman" w:hAnsi="Times New Roman" w:eastAsia="宋体"/>
                <w:smallCaps w:val="0"/>
                <w:color w:val="auto"/>
                <w:highlight w:val="none"/>
                <w:shd w:val="clear" w:color="auto" w:fill="auto"/>
                <w:lang w:bidi="ar"/>
              </w:rPr>
              <w:t>。使用其他</w:t>
            </w:r>
            <w:r>
              <w:rPr>
                <w:rFonts w:hint="eastAsia" w:ascii="Times New Roman" w:hAnsi="Times New Roman" w:eastAsia="宋体"/>
                <w:smallCaps w:val="0"/>
                <w:color w:val="auto"/>
                <w:highlight w:val="none"/>
                <w:shd w:val="clear" w:color="auto" w:fill="auto"/>
                <w:lang w:eastAsia="zh-CN" w:bidi="ar"/>
              </w:rPr>
              <w:t>黏土</w:t>
            </w:r>
            <w:r>
              <w:rPr>
                <w:rFonts w:hint="eastAsia" w:ascii="Times New Roman" w:hAnsi="Times New Roman" w:eastAsia="宋体"/>
                <w:smallCaps w:val="0"/>
                <w:color w:val="auto"/>
                <w:highlight w:val="none"/>
                <w:shd w:val="clear" w:color="auto" w:fill="auto"/>
                <w:lang w:bidi="ar"/>
              </w:rPr>
              <w:t>类防渗衬层材料时，应具有同等以上隔水效力。</w:t>
            </w:r>
          </w:p>
          <w:p w14:paraId="5FE82BA7">
            <w:pPr>
              <w:pStyle w:val="46"/>
              <w:ind w:left="420" w:leftChars="200" w:firstLine="0" w:firstLineChars="0"/>
              <w:rPr>
                <w:rFonts w:ascii="Times New Roman" w:hAnsi="Times New Roman" w:eastAsia="宋体"/>
                <w:smallCaps w:val="0"/>
                <w:color w:val="auto"/>
                <w:highlight w:val="none"/>
                <w:shd w:val="clear" w:color="auto" w:fill="auto"/>
              </w:rPr>
            </w:pPr>
            <w:r>
              <w:rPr>
                <w:rFonts w:hint="eastAsia" w:ascii="Times New Roman" w:hAnsi="Times New Roman" w:eastAsia="宋体"/>
                <w:smallCaps w:val="0"/>
                <w:color w:val="auto"/>
                <w:highlight w:val="none"/>
                <w:shd w:val="clear" w:color="auto" w:fill="auto"/>
              </w:rPr>
              <w:fldChar w:fldCharType="begin"/>
            </w:r>
            <w:r>
              <w:rPr>
                <w:rFonts w:hint="eastAsia" w:ascii="Times New Roman" w:hAnsi="Times New Roman" w:eastAsia="宋体"/>
                <w:smallCaps w:val="0"/>
                <w:color w:val="auto"/>
                <w:highlight w:val="none"/>
                <w:shd w:val="clear" w:color="auto" w:fill="auto"/>
              </w:rPr>
              <w:instrText xml:space="preserve"> = 3 \* GB3 \* MERGEFORMAT </w:instrText>
            </w:r>
            <w:r>
              <w:rPr>
                <w:rFonts w:hint="eastAsia" w:ascii="Times New Roman" w:hAnsi="Times New Roman" w:eastAsia="宋体"/>
                <w:smallCaps w:val="0"/>
                <w:color w:val="auto"/>
                <w:highlight w:val="none"/>
                <w:shd w:val="clear" w:color="auto" w:fill="auto"/>
              </w:rPr>
              <w:fldChar w:fldCharType="separate"/>
            </w:r>
            <w:r>
              <w:rPr>
                <w:rFonts w:ascii="Times New Roman" w:hAnsi="Times New Roman" w:eastAsia="宋体"/>
                <w:smallCaps w:val="0"/>
                <w:color w:val="auto"/>
                <w:highlight w:val="none"/>
                <w:shd w:val="clear" w:color="auto" w:fill="auto"/>
              </w:rPr>
              <w:t>③</w:t>
            </w:r>
            <w:r>
              <w:rPr>
                <w:rFonts w:hint="eastAsia" w:ascii="Times New Roman" w:hAnsi="Times New Roman" w:eastAsia="宋体"/>
                <w:smallCaps w:val="0"/>
                <w:color w:val="auto"/>
                <w:highlight w:val="none"/>
                <w:shd w:val="clear" w:color="auto" w:fill="auto"/>
              </w:rPr>
              <w:fldChar w:fldCharType="end"/>
            </w:r>
            <w:r>
              <w:rPr>
                <w:rFonts w:hint="eastAsia" w:ascii="Times New Roman" w:hAnsi="Times New Roman" w:eastAsia="宋体"/>
                <w:smallCaps w:val="0"/>
                <w:color w:val="auto"/>
                <w:highlight w:val="none"/>
                <w:shd w:val="clear" w:color="auto" w:fill="auto"/>
              </w:rPr>
              <w:t>简单防渗区</w:t>
            </w:r>
          </w:p>
          <w:p w14:paraId="038DBD29">
            <w:pPr>
              <w:pStyle w:val="46"/>
              <w:ind w:firstLine="480"/>
              <w:rPr>
                <w:rFonts w:ascii="Times New Roman" w:hAnsi="Times New Roman" w:eastAsia="宋体"/>
                <w:smallCaps w:val="0"/>
                <w:color w:val="auto"/>
                <w:highlight w:val="none"/>
                <w:shd w:val="clear" w:color="auto" w:fill="auto"/>
              </w:rPr>
            </w:pPr>
            <w:r>
              <w:rPr>
                <w:rFonts w:ascii="Times New Roman" w:hAnsi="Times New Roman" w:eastAsia="宋体"/>
                <w:smallCaps w:val="0"/>
                <w:color w:val="auto"/>
                <w:highlight w:val="none"/>
                <w:shd w:val="clear" w:color="auto" w:fill="auto"/>
              </w:rPr>
              <w:t>指不会对地下水环境造成污染的区域，主要</w:t>
            </w:r>
            <w:r>
              <w:rPr>
                <w:rFonts w:hint="eastAsia"/>
                <w:smallCaps w:val="0"/>
                <w:color w:val="auto"/>
                <w:highlight w:val="none"/>
                <w:shd w:val="clear" w:color="auto" w:fill="auto"/>
                <w:lang w:val="en-US" w:eastAsia="zh-CN"/>
              </w:rPr>
              <w:t>厂区道路及空置区域</w:t>
            </w:r>
            <w:r>
              <w:rPr>
                <w:rFonts w:ascii="Times New Roman" w:hAnsi="Times New Roman" w:eastAsia="宋体"/>
                <w:smallCaps w:val="0"/>
                <w:color w:val="auto"/>
                <w:highlight w:val="none"/>
                <w:shd w:val="clear" w:color="auto" w:fill="auto"/>
              </w:rPr>
              <w:t>。对于基本上不产生污染物的非污染防治区，不采取专门针对地下水污染的防治措施，但装置区外系统管廊区地基处理应分层压实。</w:t>
            </w:r>
          </w:p>
          <w:p w14:paraId="57E668EA">
            <w:pPr>
              <w:pStyle w:val="46"/>
              <w:ind w:firstLine="480"/>
              <w:rPr>
                <w:rFonts w:ascii="Times New Roman" w:hAnsi="Times New Roman" w:eastAsia="宋体"/>
                <w:smallCaps w:val="0"/>
                <w:color w:val="auto"/>
                <w:highlight w:val="none"/>
                <w:shd w:val="clear" w:color="auto" w:fill="auto"/>
              </w:rPr>
            </w:pPr>
            <w:r>
              <w:rPr>
                <w:rFonts w:ascii="Times New Roman" w:hAnsi="Times New Roman" w:eastAsia="宋体"/>
                <w:smallCaps w:val="0"/>
                <w:color w:val="auto"/>
                <w:highlight w:val="none"/>
                <w:shd w:val="clear" w:color="auto" w:fill="auto"/>
              </w:rPr>
              <w:t>为保证防渗工程正常施工、运行，达到设计防渗等级，应对工程质量进行管理控制：</w:t>
            </w:r>
          </w:p>
          <w:p w14:paraId="53FFCDCE">
            <w:pPr>
              <w:pStyle w:val="46"/>
              <w:ind w:firstLine="480"/>
              <w:rPr>
                <w:rFonts w:ascii="Times New Roman" w:hAnsi="Times New Roman" w:eastAsia="宋体"/>
                <w:smallCaps w:val="0"/>
                <w:color w:val="auto"/>
                <w:highlight w:val="none"/>
                <w:shd w:val="clear" w:color="auto" w:fill="auto"/>
              </w:rPr>
            </w:pPr>
            <w:r>
              <w:rPr>
                <w:rFonts w:ascii="Times New Roman" w:hAnsi="Times New Roman" w:eastAsia="宋体"/>
                <w:smallCaps w:val="0"/>
                <w:color w:val="auto"/>
                <w:highlight w:val="none"/>
                <w:shd w:val="clear" w:color="auto" w:fill="auto"/>
              </w:rPr>
              <w:t>a.选择具有相应资质的设计单位对工程进行设计，防渗工程的设计符合相应要求及设计规范；</w:t>
            </w:r>
          </w:p>
          <w:p w14:paraId="15327B16">
            <w:pPr>
              <w:pStyle w:val="46"/>
              <w:ind w:firstLine="480"/>
              <w:rPr>
                <w:rFonts w:ascii="Times New Roman" w:hAnsi="Times New Roman" w:eastAsia="宋体"/>
                <w:smallCaps w:val="0"/>
                <w:color w:val="auto"/>
                <w:highlight w:val="none"/>
                <w:shd w:val="clear" w:color="auto" w:fill="auto"/>
              </w:rPr>
            </w:pPr>
            <w:r>
              <w:rPr>
                <w:rFonts w:ascii="Times New Roman" w:hAnsi="Times New Roman" w:eastAsia="宋体"/>
                <w:smallCaps w:val="0"/>
                <w:color w:val="auto"/>
                <w:highlight w:val="none"/>
                <w:shd w:val="clear" w:color="auto" w:fill="auto"/>
              </w:rPr>
              <w:t>b.工程材料符合设计要求，并按照有关规定和要求进行质量检验，保证使用材料全部合格；</w:t>
            </w:r>
          </w:p>
          <w:p w14:paraId="2BD1C313">
            <w:pPr>
              <w:pStyle w:val="46"/>
              <w:ind w:firstLine="480"/>
              <w:rPr>
                <w:rFonts w:ascii="Times New Roman" w:hAnsi="Times New Roman" w:eastAsia="宋体"/>
                <w:smallCaps w:val="0"/>
                <w:color w:val="auto"/>
                <w:highlight w:val="none"/>
                <w:shd w:val="clear" w:color="auto" w:fill="auto"/>
              </w:rPr>
            </w:pPr>
            <w:r>
              <w:rPr>
                <w:rFonts w:ascii="Times New Roman" w:hAnsi="Times New Roman" w:eastAsia="宋体"/>
                <w:smallCaps w:val="0"/>
                <w:color w:val="auto"/>
                <w:highlight w:val="none"/>
                <w:shd w:val="clear" w:color="auto" w:fill="auto"/>
              </w:rPr>
              <w:t>c.聘请优秀专业施工队伍，施工方法符合规范要求；</w:t>
            </w:r>
          </w:p>
          <w:p w14:paraId="5C3074AE">
            <w:pPr>
              <w:pStyle w:val="46"/>
              <w:ind w:firstLine="480"/>
              <w:rPr>
                <w:rFonts w:ascii="Times New Roman" w:hAnsi="Times New Roman" w:eastAsia="宋体"/>
                <w:smallCaps w:val="0"/>
                <w:color w:val="auto"/>
                <w:highlight w:val="none"/>
                <w:shd w:val="clear" w:color="auto" w:fill="auto"/>
              </w:rPr>
            </w:pPr>
            <w:r>
              <w:rPr>
                <w:rFonts w:ascii="Times New Roman" w:hAnsi="Times New Roman" w:eastAsia="宋体"/>
                <w:smallCaps w:val="0"/>
                <w:color w:val="auto"/>
                <w:highlight w:val="none"/>
                <w:shd w:val="clear" w:color="auto" w:fill="auto"/>
              </w:rPr>
              <w:t>d.工程完工后应进行质量检测；</w:t>
            </w:r>
          </w:p>
          <w:p w14:paraId="43ABA3ED">
            <w:pPr>
              <w:pStyle w:val="46"/>
              <w:ind w:firstLine="480"/>
              <w:rPr>
                <w:rFonts w:ascii="Times New Roman" w:hAnsi="Times New Roman" w:eastAsia="宋体"/>
                <w:smallCaps w:val="0"/>
                <w:color w:val="auto"/>
                <w:highlight w:val="none"/>
                <w:shd w:val="clear" w:color="auto" w:fill="auto"/>
              </w:rPr>
            </w:pPr>
            <w:r>
              <w:rPr>
                <w:rFonts w:ascii="Times New Roman" w:hAnsi="Times New Roman" w:eastAsia="宋体"/>
                <w:smallCaps w:val="0"/>
                <w:color w:val="auto"/>
                <w:highlight w:val="none"/>
                <w:shd w:val="clear" w:color="auto" w:fill="auto"/>
              </w:rPr>
              <w:t>e.在防渗措施投入使用后，应加强日常的维护管理。</w:t>
            </w:r>
          </w:p>
          <w:p w14:paraId="22043A09">
            <w:pPr>
              <w:pStyle w:val="46"/>
              <w:bidi w:val="0"/>
              <w:rPr>
                <w:rFonts w:hint="default" w:ascii="Times New Roman" w:hAnsi="Times New Roman" w:eastAsia="宋体"/>
                <w:color w:val="auto"/>
                <w:highlight w:val="none"/>
                <w:lang w:val="en-US" w:eastAsia="zh-CN"/>
              </w:rPr>
            </w:pPr>
            <w:r>
              <w:rPr>
                <w:rFonts w:hint="eastAsia" w:ascii="Times New Roman" w:hAnsi="Times New Roman" w:eastAsia="宋体"/>
                <w:color w:val="auto"/>
                <w:highlight w:val="none"/>
                <w:lang w:val="en-US" w:eastAsia="zh-CN"/>
              </w:rPr>
              <w:t>（3）风险事故应急响应</w:t>
            </w:r>
          </w:p>
          <w:p w14:paraId="7C3F6D90">
            <w:pPr>
              <w:pStyle w:val="46"/>
              <w:bidi w:val="0"/>
              <w:rPr>
                <w:rFonts w:hint="default" w:ascii="Times New Roman" w:hAnsi="Times New Roman" w:eastAsia="宋体"/>
                <w:color w:val="auto"/>
                <w:highlight w:val="none"/>
                <w:lang w:val="en-US" w:eastAsia="zh-CN"/>
              </w:rPr>
            </w:pPr>
            <w:r>
              <w:rPr>
                <w:rFonts w:hint="eastAsia"/>
                <w:color w:val="auto"/>
                <w:highlight w:val="none"/>
                <w:lang w:val="en-US" w:eastAsia="zh-CN"/>
              </w:rPr>
              <w:t>医院</w:t>
            </w:r>
            <w:r>
              <w:rPr>
                <w:rFonts w:hint="eastAsia" w:ascii="Times New Roman" w:hAnsi="Times New Roman" w:eastAsia="宋体"/>
                <w:color w:val="auto"/>
                <w:highlight w:val="none"/>
                <w:lang w:val="en-US" w:eastAsia="zh-CN"/>
              </w:rPr>
              <w:t>在运营过程中</w:t>
            </w:r>
            <w:r>
              <w:rPr>
                <w:rFonts w:hint="default" w:ascii="Times New Roman" w:hAnsi="Times New Roman" w:eastAsia="宋体"/>
                <w:color w:val="auto"/>
                <w:highlight w:val="none"/>
                <w:lang w:val="en-US" w:eastAsia="zh-CN"/>
              </w:rPr>
              <w:t>发现渗漏</w:t>
            </w:r>
            <w:r>
              <w:rPr>
                <w:rFonts w:hint="eastAsia" w:ascii="Times New Roman" w:hAnsi="Times New Roman" w:eastAsia="宋体"/>
                <w:color w:val="auto"/>
                <w:highlight w:val="none"/>
                <w:lang w:val="en-US" w:eastAsia="zh-CN"/>
              </w:rPr>
              <w:t>情况</w:t>
            </w:r>
            <w:r>
              <w:rPr>
                <w:rFonts w:hint="default" w:ascii="Times New Roman" w:hAnsi="Times New Roman" w:eastAsia="宋体"/>
                <w:color w:val="auto"/>
                <w:highlight w:val="none"/>
                <w:lang w:val="en-US" w:eastAsia="zh-CN"/>
              </w:rPr>
              <w:t>时应组织人员查明渗漏源头，采取补救措施。</w:t>
            </w:r>
          </w:p>
          <w:p w14:paraId="1A14DD8D">
            <w:pPr>
              <w:pStyle w:val="46"/>
              <w:ind w:firstLine="480"/>
              <w:rPr>
                <w:color w:val="auto"/>
                <w:highlight w:val="none"/>
              </w:rPr>
            </w:pPr>
            <w:r>
              <w:rPr>
                <w:rFonts w:hint="default" w:ascii="Times New Roman" w:hAnsi="Times New Roman" w:eastAsia="宋体"/>
                <w:color w:val="auto"/>
                <w:highlight w:val="none"/>
                <w:lang w:val="en-US" w:eastAsia="zh-CN"/>
              </w:rPr>
              <w:t>综上，本项目对可能产生地下水及土壤影响的各项途径均进行有效预防，在确保各项防渗措施得到落实，并加强维护和厂区环境管理的前提下，可有效控制厂区内的液态污染物下渗现象，避免污染地下水及土壤，因此本项目不会对地下水及土壤环境产生明显影响。</w:t>
            </w:r>
          </w:p>
          <w:p w14:paraId="7129A017">
            <w:pPr>
              <w:pStyle w:val="3"/>
              <w:numPr>
                <w:ilvl w:val="1"/>
                <w:numId w:val="1"/>
              </w:numPr>
              <w:bidi w:val="0"/>
              <w:ind w:left="0" w:leftChars="0" w:firstLine="0"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环境风险</w:t>
            </w:r>
          </w:p>
          <w:p w14:paraId="4C6F5194">
            <w:pPr>
              <w:pStyle w:val="4"/>
              <w:numPr>
                <w:ilvl w:val="2"/>
                <w:numId w:val="1"/>
              </w:numPr>
              <w:bidi w:val="0"/>
              <w:ind w:left="720" w:leftChars="0" w:hanging="720" w:firstLineChars="0"/>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环境风险识别</w:t>
            </w:r>
          </w:p>
          <w:p w14:paraId="788457E7">
            <w:pPr>
              <w:pStyle w:val="120"/>
              <w:rPr>
                <w:rFonts w:hint="eastAsia" w:ascii="Times New Roman" w:hAnsi="Times New Roman"/>
                <w:color w:val="auto"/>
                <w:kern w:val="0"/>
                <w:highlight w:val="none"/>
                <w:lang w:val="en-US" w:eastAsia="zh-CN"/>
              </w:rPr>
            </w:pPr>
            <w:r>
              <w:rPr>
                <w:rFonts w:hint="eastAsia" w:ascii="Times New Roman" w:hAnsi="Times New Roman"/>
                <w:color w:val="auto"/>
                <w:kern w:val="0"/>
                <w:highlight w:val="none"/>
                <w:lang w:val="en-US" w:eastAsia="zh-CN"/>
              </w:rPr>
              <w:t>环境风险评价主要考虑建设项目建设和运行期间发生的可预测突发性事件或事故引</w:t>
            </w:r>
            <w:r>
              <w:rPr>
                <w:rFonts w:hint="eastAsia"/>
                <w:color w:val="auto"/>
                <w:kern w:val="0"/>
                <w:highlight w:val="none"/>
                <w:lang w:val="en-US" w:eastAsia="zh-CN"/>
              </w:rPr>
              <w:t>起的</w:t>
            </w:r>
            <w:r>
              <w:rPr>
                <w:rFonts w:hint="eastAsia" w:ascii="Times New Roman" w:hAnsi="Times New Roman"/>
                <w:color w:val="auto"/>
                <w:kern w:val="0"/>
                <w:highlight w:val="none"/>
                <w:lang w:val="en-US" w:eastAsia="zh-CN"/>
              </w:rPr>
              <w:t>有毒有害、易燃易爆等物质泄漏，或突发事件产生的新的有毒有害物质，所造成的对人身安全与环境的影响和损害，进行评估，提出防范、应急与减缓措施。本评价以《建设项目环境风险评价技术导则》</w:t>
            </w:r>
            <w:r>
              <w:rPr>
                <w:rFonts w:hint="eastAsia"/>
                <w:color w:val="auto"/>
                <w:kern w:val="0"/>
                <w:highlight w:val="none"/>
                <w:lang w:val="en-US" w:eastAsia="zh-CN"/>
              </w:rPr>
              <w:t>（HJ 169-2018）</w:t>
            </w:r>
            <w:r>
              <w:rPr>
                <w:rFonts w:hint="eastAsia" w:ascii="Times New Roman" w:hAnsi="Times New Roman"/>
                <w:color w:val="auto"/>
                <w:kern w:val="0"/>
                <w:highlight w:val="none"/>
                <w:lang w:val="en-US" w:eastAsia="zh-CN"/>
              </w:rPr>
              <w:t>为评价依据，从风险调查、环境风险潜势初判、风险识别、风险事故情形分析、风险预测与评价、环境风险管理等进行简要分析，提出风险防范、减缓和应急措施，给出项目评价结论与建议。</w:t>
            </w:r>
          </w:p>
          <w:p w14:paraId="3080959D">
            <w:pPr>
              <w:pStyle w:val="120"/>
              <w:rPr>
                <w:rFonts w:hint="eastAsia" w:ascii="Times New Roman" w:hAnsi="Times New Roman"/>
                <w:color w:val="auto"/>
                <w:kern w:val="0"/>
                <w:highlight w:val="none"/>
                <w:lang w:val="en-US" w:eastAsia="zh-CN"/>
              </w:rPr>
            </w:pPr>
            <w:r>
              <w:rPr>
                <w:rFonts w:ascii="Times New Roman" w:hAnsi="Times New Roman"/>
                <w:color w:val="auto"/>
                <w:kern w:val="0"/>
                <w:highlight w:val="none"/>
                <w:lang w:val="en-US" w:eastAsia="zh-CN"/>
              </w:rPr>
              <w:t>（1）</w:t>
            </w:r>
            <w:bookmarkStart w:id="54" w:name="bookmark247"/>
            <w:bookmarkEnd w:id="54"/>
            <w:r>
              <w:rPr>
                <w:rFonts w:hint="eastAsia" w:ascii="Times New Roman" w:hAnsi="Times New Roman"/>
                <w:color w:val="auto"/>
                <w:kern w:val="0"/>
                <w:highlight w:val="none"/>
                <w:lang w:val="en-US" w:eastAsia="zh-CN"/>
              </w:rPr>
              <w:t>建设项目风险源调查</w:t>
            </w:r>
          </w:p>
          <w:p w14:paraId="7F163F9F">
            <w:pPr>
              <w:pStyle w:val="120"/>
              <w:rPr>
                <w:rFonts w:hint="eastAsia" w:ascii="Times New Roman" w:hAnsi="Times New Roman"/>
                <w:color w:val="auto"/>
                <w:kern w:val="0"/>
                <w:highlight w:val="none"/>
                <w:lang w:val="en-US" w:eastAsia="zh-CN"/>
              </w:rPr>
            </w:pPr>
            <w:r>
              <w:rPr>
                <w:rFonts w:hint="eastAsia" w:ascii="Times New Roman" w:hAnsi="Times New Roman"/>
                <w:color w:val="auto"/>
                <w:kern w:val="0"/>
                <w:highlight w:val="none"/>
                <w:lang w:val="en-US" w:eastAsia="zh-CN"/>
              </w:rPr>
              <w:t>本项目污水处理设施使用二氧化氯发生器制备二氧化氯。二氧化氯发生器使用的原料一般为31%的盐酸溶液与33%的氯酸钠溶液按1:1比例投加，盐酸溶液与氯酸钠溶液均放置在发生器自带的原料罐中，通过阀门进行控制、添加。有效氯产量根据设备型号不同而异，一般在100g/h-500g/h。</w:t>
            </w:r>
          </w:p>
          <w:p w14:paraId="2B990A6B">
            <w:pPr>
              <w:pStyle w:val="120"/>
              <w:rPr>
                <w:rFonts w:ascii="Times New Roman" w:hAnsi="Times New Roman"/>
                <w:color w:val="auto"/>
                <w:kern w:val="0"/>
                <w:highlight w:val="none"/>
                <w:lang w:val="en-US" w:eastAsia="zh-CN"/>
              </w:rPr>
            </w:pPr>
            <w:r>
              <w:rPr>
                <w:rFonts w:hint="eastAsia" w:ascii="Times New Roman" w:hAnsi="Times New Roman"/>
                <w:color w:val="auto"/>
                <w:kern w:val="0"/>
                <w:highlight w:val="none"/>
                <w:lang w:val="en-US" w:eastAsia="zh-CN"/>
              </w:rPr>
              <w:t>本项目涉及的危险物质主要有</w:t>
            </w:r>
            <w:r>
              <w:rPr>
                <w:rFonts w:hint="eastAsia"/>
                <w:color w:val="auto"/>
                <w:kern w:val="0"/>
                <w:highlight w:val="none"/>
                <w:lang w:val="en-US" w:eastAsia="zh-CN"/>
              </w:rPr>
              <w:t>：</w:t>
            </w:r>
            <w:r>
              <w:rPr>
                <w:rFonts w:hint="eastAsia" w:ascii="Times New Roman" w:hAnsi="Times New Roman"/>
                <w:color w:val="auto"/>
                <w:kern w:val="0"/>
                <w:highlight w:val="none"/>
                <w:lang w:val="en-US" w:eastAsia="zh-CN"/>
              </w:rPr>
              <w:t>污水处理站二氧化氯发生器使用化学品、医院酒精、医疗废物等危险废物。以上风险物质使用情况详见表4.</w:t>
            </w:r>
            <w:r>
              <w:rPr>
                <w:rFonts w:hint="eastAsia"/>
                <w:color w:val="auto"/>
                <w:kern w:val="0"/>
                <w:highlight w:val="none"/>
                <w:lang w:val="en-US" w:eastAsia="zh-CN"/>
              </w:rPr>
              <w:t>7</w:t>
            </w:r>
            <w:r>
              <w:rPr>
                <w:rFonts w:hint="eastAsia" w:ascii="Times New Roman" w:hAnsi="Times New Roman"/>
                <w:color w:val="auto"/>
                <w:kern w:val="0"/>
                <w:highlight w:val="none"/>
                <w:lang w:val="en-US" w:eastAsia="zh-CN"/>
              </w:rPr>
              <w:t>-</w:t>
            </w:r>
            <w:r>
              <w:rPr>
                <w:rFonts w:hint="eastAsia"/>
                <w:color w:val="auto"/>
                <w:kern w:val="0"/>
                <w:highlight w:val="none"/>
                <w:lang w:val="en-US" w:eastAsia="zh-CN"/>
              </w:rPr>
              <w:t>2</w:t>
            </w:r>
            <w:r>
              <w:rPr>
                <w:rFonts w:hint="eastAsia" w:ascii="Times New Roman" w:hAnsi="Times New Roman"/>
                <w:color w:val="auto"/>
                <w:kern w:val="0"/>
                <w:highlight w:val="none"/>
                <w:lang w:val="en-US" w:eastAsia="zh-CN"/>
              </w:rPr>
              <w:t>。</w:t>
            </w:r>
          </w:p>
          <w:p w14:paraId="3271791F">
            <w:pPr>
              <w:pStyle w:val="120"/>
              <w:rPr>
                <w:rFonts w:ascii="Times New Roman" w:hAnsi="Times New Roman"/>
                <w:color w:val="auto"/>
                <w:kern w:val="0"/>
                <w:highlight w:val="none"/>
                <w:lang w:val="en-US" w:eastAsia="zh-CN"/>
              </w:rPr>
            </w:pPr>
            <w:r>
              <w:rPr>
                <w:rFonts w:ascii="Times New Roman" w:hAnsi="Times New Roman"/>
                <w:color w:val="auto"/>
                <w:kern w:val="0"/>
                <w:highlight w:val="none"/>
                <w:lang w:val="en-US" w:eastAsia="zh-CN"/>
              </w:rPr>
              <w:t>（2）风险识别类型</w:t>
            </w:r>
          </w:p>
          <w:p w14:paraId="0BF2FBE3">
            <w:pPr>
              <w:pStyle w:val="120"/>
              <w:rPr>
                <w:rFonts w:hint="default" w:ascii="Times New Roman" w:hAnsi="Times New Roman"/>
                <w:color w:val="auto"/>
                <w:kern w:val="0"/>
                <w:highlight w:val="none"/>
                <w:lang w:val="en-US" w:eastAsia="zh-CN"/>
              </w:rPr>
            </w:pPr>
            <w:r>
              <w:rPr>
                <w:rFonts w:hint="eastAsia" w:ascii="Times New Roman" w:hAnsi="Times New Roman"/>
                <w:color w:val="auto"/>
                <w:kern w:val="0"/>
                <w:highlight w:val="none"/>
                <w:lang w:val="en-US" w:eastAsia="zh-CN"/>
              </w:rPr>
              <w:t>项目主要危险物质及分布情况、可能影响环境途径详见表4.</w:t>
            </w:r>
            <w:r>
              <w:rPr>
                <w:rFonts w:hint="eastAsia"/>
                <w:color w:val="auto"/>
                <w:kern w:val="0"/>
                <w:highlight w:val="none"/>
                <w:lang w:val="en-US" w:eastAsia="zh-CN"/>
              </w:rPr>
              <w:t>7</w:t>
            </w:r>
            <w:r>
              <w:rPr>
                <w:rFonts w:hint="eastAsia" w:ascii="Times New Roman" w:hAnsi="Times New Roman"/>
                <w:color w:val="auto"/>
                <w:kern w:val="0"/>
                <w:highlight w:val="none"/>
                <w:lang w:val="en-US" w:eastAsia="zh-CN"/>
              </w:rPr>
              <w:t>-</w:t>
            </w:r>
            <w:r>
              <w:rPr>
                <w:rFonts w:hint="eastAsia"/>
                <w:color w:val="auto"/>
                <w:kern w:val="0"/>
                <w:highlight w:val="none"/>
                <w:lang w:val="en-US" w:eastAsia="zh-CN"/>
              </w:rPr>
              <w:t>1。</w:t>
            </w:r>
          </w:p>
          <w:p w14:paraId="7FAEEDA2">
            <w:pPr>
              <w:pStyle w:val="44"/>
              <w:keepNext/>
              <w:keepLines/>
              <w:pageBreakBefore w:val="0"/>
              <w:widowControl w:val="0"/>
              <w:numPr>
                <w:ilvl w:val="7"/>
                <w:numId w:val="10"/>
              </w:numPr>
              <w:tabs>
                <w:tab w:val="left" w:pos="0"/>
              </w:tabs>
              <w:kinsoku/>
              <w:wordWrap/>
              <w:overflowPunct/>
              <w:topLinePunct w:val="0"/>
              <w:autoSpaceDE/>
              <w:autoSpaceDN/>
              <w:bidi w:val="0"/>
              <w:adjustRightInd/>
              <w:snapToGrid/>
              <w:spacing w:before="0" w:after="0"/>
              <w:ind w:left="630" w:leftChars="0" w:firstLineChars="0"/>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项目环境风险识别一览表</w:t>
            </w:r>
          </w:p>
          <w:tbl>
            <w:tblPr>
              <w:tblStyle w:val="34"/>
              <w:tblW w:w="0" w:type="auto"/>
              <w:tblInd w:w="-1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544"/>
              <w:gridCol w:w="1215"/>
              <w:gridCol w:w="3960"/>
              <w:gridCol w:w="2211"/>
            </w:tblGrid>
            <w:tr w14:paraId="29E04BC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0" w:hRule="atLeast"/>
              </w:trPr>
              <w:tc>
                <w:tcPr>
                  <w:tcW w:w="1544" w:type="dxa"/>
                  <w:tcBorders>
                    <w:tl2br w:val="nil"/>
                    <w:tr2bl w:val="nil"/>
                  </w:tcBorders>
                  <w:shd w:val="clear" w:color="auto" w:fill="auto"/>
                  <w:vAlign w:val="center"/>
                </w:tcPr>
                <w:p w14:paraId="138B2FB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r>
                    <w:rPr>
                      <w:rFonts w:hint="eastAsia"/>
                      <w:color w:val="auto"/>
                      <w:lang w:val="en-US" w:eastAsia="zh-CN"/>
                    </w:rPr>
                    <w:t>主要风险物质</w:t>
                  </w:r>
                </w:p>
              </w:tc>
              <w:tc>
                <w:tcPr>
                  <w:tcW w:w="1215" w:type="dxa"/>
                  <w:tcBorders>
                    <w:tl2br w:val="nil"/>
                    <w:tr2bl w:val="nil"/>
                  </w:tcBorders>
                  <w:shd w:val="clear" w:color="auto" w:fill="auto"/>
                  <w:vAlign w:val="center"/>
                </w:tcPr>
                <w:p w14:paraId="73CBC2F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r>
                    <w:rPr>
                      <w:rFonts w:hint="eastAsia"/>
                      <w:color w:val="auto"/>
                      <w:lang w:val="en-US" w:eastAsia="zh-CN"/>
                    </w:rPr>
                    <w:t>存在单元</w:t>
                  </w:r>
                </w:p>
              </w:tc>
              <w:tc>
                <w:tcPr>
                  <w:tcW w:w="3960" w:type="dxa"/>
                  <w:tcBorders>
                    <w:tl2br w:val="nil"/>
                    <w:tr2bl w:val="nil"/>
                  </w:tcBorders>
                  <w:shd w:val="clear" w:color="auto" w:fill="auto"/>
                  <w:vAlign w:val="center"/>
                </w:tcPr>
                <w:p w14:paraId="08DE7E9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r>
                    <w:rPr>
                      <w:rFonts w:hint="eastAsia"/>
                      <w:color w:val="auto"/>
                      <w:lang w:val="en-US" w:eastAsia="zh-CN"/>
                    </w:rPr>
                    <w:t>环境风险</w:t>
                  </w:r>
                </w:p>
              </w:tc>
              <w:tc>
                <w:tcPr>
                  <w:tcW w:w="2211" w:type="dxa"/>
                  <w:tcBorders>
                    <w:tl2br w:val="nil"/>
                    <w:tr2bl w:val="nil"/>
                  </w:tcBorders>
                  <w:shd w:val="clear" w:color="auto" w:fill="auto"/>
                  <w:vAlign w:val="center"/>
                </w:tcPr>
                <w:p w14:paraId="574CD64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r>
                    <w:rPr>
                      <w:rFonts w:hint="eastAsia"/>
                      <w:color w:val="auto"/>
                      <w:lang w:val="en-US" w:eastAsia="zh-CN"/>
                    </w:rPr>
                    <w:t>危险物质向环境转移的可能途径</w:t>
                  </w:r>
                </w:p>
              </w:tc>
            </w:tr>
            <w:tr w14:paraId="3C4D8F6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95" w:hRule="atLeast"/>
              </w:trPr>
              <w:tc>
                <w:tcPr>
                  <w:tcW w:w="1544" w:type="dxa"/>
                  <w:tcBorders>
                    <w:tl2br w:val="nil"/>
                    <w:tr2bl w:val="nil"/>
                  </w:tcBorders>
                  <w:shd w:val="clear" w:color="auto" w:fill="auto"/>
                  <w:vAlign w:val="center"/>
                </w:tcPr>
                <w:p w14:paraId="6A9561F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r>
                    <w:rPr>
                      <w:rFonts w:hint="eastAsia"/>
                      <w:color w:val="auto"/>
                      <w:lang w:val="en-US" w:eastAsia="zh-CN"/>
                    </w:rPr>
                    <w:t>33%氯酸钠溶液</w:t>
                  </w:r>
                </w:p>
              </w:tc>
              <w:tc>
                <w:tcPr>
                  <w:tcW w:w="1215" w:type="dxa"/>
                  <w:vMerge w:val="restart"/>
                  <w:tcBorders>
                    <w:tl2br w:val="nil"/>
                    <w:tr2bl w:val="nil"/>
                  </w:tcBorders>
                  <w:shd w:val="clear" w:color="auto" w:fill="auto"/>
                  <w:vAlign w:val="center"/>
                </w:tcPr>
                <w:p w14:paraId="5C4CFAF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r>
                    <w:rPr>
                      <w:rFonts w:hint="eastAsia"/>
                      <w:color w:val="auto"/>
                      <w:lang w:val="en-US" w:eastAsia="zh-CN"/>
                    </w:rPr>
                    <w:t>二氧化氯发生器</w:t>
                  </w:r>
                </w:p>
              </w:tc>
              <w:tc>
                <w:tcPr>
                  <w:tcW w:w="3960" w:type="dxa"/>
                  <w:vMerge w:val="restart"/>
                  <w:tcBorders>
                    <w:tl2br w:val="nil"/>
                    <w:tr2bl w:val="nil"/>
                  </w:tcBorders>
                  <w:shd w:val="clear" w:color="auto" w:fill="auto"/>
                  <w:vAlign w:val="center"/>
                </w:tcPr>
                <w:p w14:paraId="583EE32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r>
                    <w:rPr>
                      <w:rFonts w:hint="eastAsia"/>
                      <w:color w:val="auto"/>
                      <w:lang w:val="en-US" w:eastAsia="zh-CN"/>
                    </w:rPr>
                    <w:t>受高热分解产生有毒的腐蚀性烟气，具有腐蚀性</w:t>
                  </w:r>
                </w:p>
              </w:tc>
              <w:tc>
                <w:tcPr>
                  <w:tcW w:w="2211" w:type="dxa"/>
                  <w:vMerge w:val="restart"/>
                  <w:tcBorders>
                    <w:tl2br w:val="nil"/>
                    <w:tr2bl w:val="nil"/>
                  </w:tcBorders>
                  <w:shd w:val="clear" w:color="auto" w:fill="auto"/>
                  <w:vAlign w:val="center"/>
                </w:tcPr>
                <w:p w14:paraId="0B042BAE">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r>
                    <w:rPr>
                      <w:rFonts w:hint="eastAsia"/>
                      <w:color w:val="auto"/>
                      <w:lang w:val="en-US" w:eastAsia="zh-CN"/>
                    </w:rPr>
                    <w:t>主要可能影响泄漏</w:t>
                  </w:r>
                  <w:r>
                    <w:rPr>
                      <w:rFonts w:hint="eastAsia"/>
                      <w:color w:val="auto"/>
                      <w:lang w:val="en-US" w:eastAsia="zh-CN"/>
                    </w:rPr>
                    <w:br w:type="textWrapping"/>
                  </w:r>
                  <w:r>
                    <w:rPr>
                      <w:rFonts w:hint="eastAsia"/>
                      <w:color w:val="auto"/>
                      <w:lang w:val="en-US" w:eastAsia="zh-CN"/>
                    </w:rPr>
                    <w:t>点附近的工作人员，对外环境基本无影响</w:t>
                  </w:r>
                </w:p>
              </w:tc>
            </w:tr>
            <w:tr w14:paraId="549979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95" w:hRule="atLeast"/>
              </w:trPr>
              <w:tc>
                <w:tcPr>
                  <w:tcW w:w="1544" w:type="dxa"/>
                  <w:tcBorders>
                    <w:tl2br w:val="nil"/>
                    <w:tr2bl w:val="nil"/>
                  </w:tcBorders>
                  <w:shd w:val="clear" w:color="auto" w:fill="auto"/>
                  <w:vAlign w:val="center"/>
                </w:tcPr>
                <w:p w14:paraId="69A4D2B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r>
                    <w:rPr>
                      <w:rFonts w:hint="eastAsia"/>
                      <w:color w:val="auto"/>
                      <w:lang w:val="en-US" w:eastAsia="zh-CN"/>
                    </w:rPr>
                    <w:t>31%盐酸溶液</w:t>
                  </w:r>
                </w:p>
              </w:tc>
              <w:tc>
                <w:tcPr>
                  <w:tcW w:w="1215" w:type="dxa"/>
                  <w:vMerge w:val="continue"/>
                  <w:tcBorders>
                    <w:tl2br w:val="nil"/>
                    <w:tr2bl w:val="nil"/>
                  </w:tcBorders>
                  <w:shd w:val="clear" w:color="auto" w:fill="auto"/>
                  <w:vAlign w:val="center"/>
                </w:tcPr>
                <w:p w14:paraId="3F024DC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p>
              </w:tc>
              <w:tc>
                <w:tcPr>
                  <w:tcW w:w="3960" w:type="dxa"/>
                  <w:vMerge w:val="continue"/>
                  <w:tcBorders>
                    <w:tl2br w:val="nil"/>
                    <w:tr2bl w:val="nil"/>
                  </w:tcBorders>
                  <w:shd w:val="clear" w:color="auto" w:fill="auto"/>
                  <w:vAlign w:val="center"/>
                </w:tcPr>
                <w:p w14:paraId="163A9D2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p>
              </w:tc>
              <w:tc>
                <w:tcPr>
                  <w:tcW w:w="2211" w:type="dxa"/>
                  <w:vMerge w:val="continue"/>
                  <w:tcBorders>
                    <w:tl2br w:val="nil"/>
                    <w:tr2bl w:val="nil"/>
                  </w:tcBorders>
                  <w:shd w:val="clear" w:color="auto" w:fill="auto"/>
                  <w:vAlign w:val="center"/>
                </w:tcPr>
                <w:p w14:paraId="346F272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p>
              </w:tc>
            </w:tr>
            <w:tr w14:paraId="69F27C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95" w:hRule="atLeast"/>
              </w:trPr>
              <w:tc>
                <w:tcPr>
                  <w:tcW w:w="1544" w:type="dxa"/>
                  <w:tcBorders>
                    <w:tl2br w:val="nil"/>
                    <w:tr2bl w:val="nil"/>
                  </w:tcBorders>
                  <w:shd w:val="clear" w:color="auto" w:fill="auto"/>
                  <w:vAlign w:val="center"/>
                </w:tcPr>
                <w:p w14:paraId="0035A82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r>
                    <w:rPr>
                      <w:rFonts w:hint="eastAsia"/>
                      <w:color w:val="auto"/>
                      <w:lang w:val="en-US" w:eastAsia="zh-CN"/>
                    </w:rPr>
                    <w:t>氯气</w:t>
                  </w:r>
                </w:p>
              </w:tc>
              <w:tc>
                <w:tcPr>
                  <w:tcW w:w="1215" w:type="dxa"/>
                  <w:vMerge w:val="continue"/>
                  <w:tcBorders>
                    <w:tl2br w:val="nil"/>
                    <w:tr2bl w:val="nil"/>
                  </w:tcBorders>
                  <w:shd w:val="clear" w:color="auto" w:fill="auto"/>
                  <w:vAlign w:val="center"/>
                </w:tcPr>
                <w:p w14:paraId="654452B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p>
              </w:tc>
              <w:tc>
                <w:tcPr>
                  <w:tcW w:w="3960" w:type="dxa"/>
                  <w:vMerge w:val="continue"/>
                  <w:tcBorders>
                    <w:tl2br w:val="nil"/>
                    <w:tr2bl w:val="nil"/>
                  </w:tcBorders>
                  <w:shd w:val="clear" w:color="auto" w:fill="auto"/>
                  <w:vAlign w:val="center"/>
                </w:tcPr>
                <w:p w14:paraId="3CE3DA5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p>
              </w:tc>
              <w:tc>
                <w:tcPr>
                  <w:tcW w:w="2211" w:type="dxa"/>
                  <w:vMerge w:val="continue"/>
                  <w:tcBorders>
                    <w:tl2br w:val="nil"/>
                    <w:tr2bl w:val="nil"/>
                  </w:tcBorders>
                  <w:shd w:val="clear" w:color="auto" w:fill="auto"/>
                  <w:vAlign w:val="center"/>
                </w:tcPr>
                <w:p w14:paraId="2383FD9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p>
              </w:tc>
            </w:tr>
            <w:tr w14:paraId="260B980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95" w:hRule="atLeast"/>
              </w:trPr>
              <w:tc>
                <w:tcPr>
                  <w:tcW w:w="1544" w:type="dxa"/>
                  <w:tcBorders>
                    <w:tl2br w:val="nil"/>
                    <w:tr2bl w:val="nil"/>
                  </w:tcBorders>
                  <w:shd w:val="clear" w:color="auto" w:fill="auto"/>
                  <w:vAlign w:val="center"/>
                </w:tcPr>
                <w:p w14:paraId="3EAFAEE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r>
                    <w:rPr>
                      <w:rFonts w:hint="eastAsia"/>
                      <w:color w:val="auto"/>
                      <w:lang w:val="en-US" w:eastAsia="zh-CN"/>
                    </w:rPr>
                    <w:t>酒精</w:t>
                  </w:r>
                </w:p>
              </w:tc>
              <w:tc>
                <w:tcPr>
                  <w:tcW w:w="1215" w:type="dxa"/>
                  <w:tcBorders>
                    <w:tl2br w:val="nil"/>
                    <w:tr2bl w:val="nil"/>
                  </w:tcBorders>
                  <w:shd w:val="clear" w:color="auto" w:fill="auto"/>
                  <w:vAlign w:val="center"/>
                </w:tcPr>
                <w:p w14:paraId="28A6DE8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r>
                    <w:rPr>
                      <w:rFonts w:hint="eastAsia"/>
                      <w:color w:val="auto"/>
                      <w:lang w:val="en-US" w:eastAsia="zh-CN"/>
                    </w:rPr>
                    <w:t>医院药品间</w:t>
                  </w:r>
                </w:p>
              </w:tc>
              <w:tc>
                <w:tcPr>
                  <w:tcW w:w="3960" w:type="dxa"/>
                  <w:tcBorders>
                    <w:tl2br w:val="nil"/>
                    <w:tr2bl w:val="nil"/>
                  </w:tcBorders>
                  <w:shd w:val="clear" w:color="auto" w:fill="auto"/>
                  <w:vAlign w:val="center"/>
                </w:tcPr>
                <w:p w14:paraId="1D42E3B1">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r>
                    <w:rPr>
                      <w:rFonts w:hint="eastAsia"/>
                      <w:color w:val="auto"/>
                      <w:lang w:val="en-US" w:eastAsia="zh-CN"/>
                    </w:rPr>
                    <w:t>液体物质，若遇火源、静电将会引起火灾、爆炸</w:t>
                  </w:r>
                </w:p>
              </w:tc>
              <w:tc>
                <w:tcPr>
                  <w:tcW w:w="2211" w:type="dxa"/>
                  <w:vMerge w:val="continue"/>
                  <w:tcBorders>
                    <w:tl2br w:val="nil"/>
                    <w:tr2bl w:val="nil"/>
                  </w:tcBorders>
                  <w:shd w:val="clear" w:color="auto" w:fill="auto"/>
                  <w:vAlign w:val="center"/>
                </w:tcPr>
                <w:p w14:paraId="1929C30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p>
              </w:tc>
            </w:tr>
            <w:tr w14:paraId="716B06E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826" w:hRule="atLeast"/>
              </w:trPr>
              <w:tc>
                <w:tcPr>
                  <w:tcW w:w="1544" w:type="dxa"/>
                  <w:tcBorders>
                    <w:tl2br w:val="nil"/>
                    <w:tr2bl w:val="nil"/>
                  </w:tcBorders>
                  <w:shd w:val="clear" w:color="auto" w:fill="auto"/>
                  <w:vAlign w:val="center"/>
                </w:tcPr>
                <w:p w14:paraId="72D291E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r>
                    <w:rPr>
                      <w:rFonts w:hint="eastAsia"/>
                      <w:color w:val="auto"/>
                      <w:lang w:val="en-US" w:eastAsia="zh-CN"/>
                    </w:rPr>
                    <w:t>医疗废物等危险废物</w:t>
                  </w:r>
                </w:p>
              </w:tc>
              <w:tc>
                <w:tcPr>
                  <w:tcW w:w="1215" w:type="dxa"/>
                  <w:tcBorders>
                    <w:tl2br w:val="nil"/>
                    <w:tr2bl w:val="nil"/>
                  </w:tcBorders>
                  <w:shd w:val="clear" w:color="auto" w:fill="auto"/>
                  <w:vAlign w:val="center"/>
                </w:tcPr>
                <w:p w14:paraId="7F72EEB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r>
                    <w:rPr>
                      <w:rFonts w:hint="eastAsia"/>
                      <w:color w:val="auto"/>
                      <w:lang w:val="en-US" w:eastAsia="zh-CN"/>
                    </w:rPr>
                    <w:t>危废储存库</w:t>
                  </w:r>
                </w:p>
              </w:tc>
              <w:tc>
                <w:tcPr>
                  <w:tcW w:w="3960" w:type="dxa"/>
                  <w:tcBorders>
                    <w:tl2br w:val="nil"/>
                    <w:tr2bl w:val="nil"/>
                  </w:tcBorders>
                  <w:shd w:val="clear" w:color="auto" w:fill="auto"/>
                  <w:vAlign w:val="center"/>
                </w:tcPr>
                <w:p w14:paraId="698C32BA">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r>
                    <w:rPr>
                      <w:rFonts w:hint="eastAsia"/>
                      <w:color w:val="auto"/>
                      <w:lang w:val="en-US" w:eastAsia="zh-CN"/>
                    </w:rPr>
                    <w:t>危险废物贮存和管理不当，发生泄</w:t>
                  </w:r>
                </w:p>
                <w:p w14:paraId="4629CC0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r>
                    <w:rPr>
                      <w:rFonts w:hint="eastAsia"/>
                      <w:color w:val="auto"/>
                      <w:lang w:val="en-US" w:eastAsia="zh-CN"/>
                    </w:rPr>
                    <w:t>漏</w:t>
                  </w:r>
                </w:p>
              </w:tc>
              <w:tc>
                <w:tcPr>
                  <w:tcW w:w="2211" w:type="dxa"/>
                  <w:vMerge w:val="continue"/>
                  <w:tcBorders>
                    <w:tl2br w:val="nil"/>
                    <w:tr2bl w:val="nil"/>
                  </w:tcBorders>
                  <w:shd w:val="clear" w:color="auto" w:fill="auto"/>
                  <w:vAlign w:val="center"/>
                </w:tcPr>
                <w:p w14:paraId="31676096">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p>
              </w:tc>
            </w:tr>
            <w:tr w14:paraId="11415B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1544" w:type="dxa"/>
                  <w:tcBorders>
                    <w:tl2br w:val="nil"/>
                    <w:tr2bl w:val="nil"/>
                  </w:tcBorders>
                  <w:shd w:val="clear" w:color="auto" w:fill="auto"/>
                  <w:vAlign w:val="center"/>
                </w:tcPr>
                <w:p w14:paraId="1486EFF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r>
                    <w:rPr>
                      <w:rFonts w:hint="eastAsia"/>
                      <w:color w:val="auto"/>
                      <w:lang w:val="en-US" w:eastAsia="zh-CN"/>
                    </w:rPr>
                    <w:t>院区综合废水</w:t>
                  </w:r>
                </w:p>
              </w:tc>
              <w:tc>
                <w:tcPr>
                  <w:tcW w:w="1215" w:type="dxa"/>
                  <w:tcBorders>
                    <w:tl2br w:val="nil"/>
                    <w:tr2bl w:val="nil"/>
                  </w:tcBorders>
                  <w:shd w:val="clear" w:color="auto" w:fill="auto"/>
                  <w:vAlign w:val="center"/>
                </w:tcPr>
                <w:p w14:paraId="47A71B6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r>
                    <w:rPr>
                      <w:rFonts w:hint="eastAsia"/>
                      <w:color w:val="auto"/>
                      <w:lang w:val="en-US" w:eastAsia="zh-CN"/>
                    </w:rPr>
                    <w:t>污水处理设施</w:t>
                  </w:r>
                </w:p>
              </w:tc>
              <w:tc>
                <w:tcPr>
                  <w:tcW w:w="3960" w:type="dxa"/>
                  <w:tcBorders>
                    <w:tl2br w:val="nil"/>
                    <w:tr2bl w:val="nil"/>
                  </w:tcBorders>
                  <w:shd w:val="clear" w:color="auto" w:fill="auto"/>
                  <w:vAlign w:val="center"/>
                </w:tcPr>
                <w:p w14:paraId="5AB8A44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r>
                    <w:rPr>
                      <w:rFonts w:hint="eastAsia"/>
                      <w:color w:val="auto"/>
                      <w:lang w:val="en-US" w:eastAsia="zh-CN"/>
                    </w:rPr>
                    <w:t>污水处理站出现停电、设备不能正</w:t>
                  </w:r>
                  <w:r>
                    <w:rPr>
                      <w:rFonts w:hint="eastAsia"/>
                      <w:color w:val="auto"/>
                      <w:lang w:val="en-US" w:eastAsia="zh-CN"/>
                    </w:rPr>
                    <w:br w:type="textWrapping"/>
                  </w:r>
                  <w:r>
                    <w:rPr>
                      <w:rFonts w:hint="eastAsia"/>
                      <w:color w:val="auto"/>
                      <w:lang w:val="en-US" w:eastAsia="zh-CN"/>
                    </w:rPr>
                    <w:t>常运转等状况时，废水不能得到有</w:t>
                  </w:r>
                  <w:r>
                    <w:rPr>
                      <w:rFonts w:hint="eastAsia"/>
                      <w:color w:val="auto"/>
                      <w:lang w:val="en-US" w:eastAsia="zh-CN"/>
                    </w:rPr>
                    <w:br w:type="textWrapping"/>
                  </w:r>
                  <w:r>
                    <w:rPr>
                      <w:rFonts w:hint="eastAsia"/>
                      <w:color w:val="auto"/>
                      <w:lang w:val="en-US" w:eastAsia="zh-CN"/>
                    </w:rPr>
                    <w:t>效处理发生泄漏</w:t>
                  </w:r>
                </w:p>
              </w:tc>
              <w:tc>
                <w:tcPr>
                  <w:tcW w:w="2211" w:type="dxa"/>
                  <w:tcBorders>
                    <w:tl2br w:val="nil"/>
                    <w:tr2bl w:val="nil"/>
                  </w:tcBorders>
                  <w:shd w:val="clear" w:color="auto" w:fill="auto"/>
                  <w:vAlign w:val="center"/>
                </w:tcPr>
                <w:p w14:paraId="185FC40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color w:val="auto"/>
                      <w:lang w:val="en-US" w:eastAsia="zh-CN"/>
                    </w:rPr>
                  </w:pPr>
                  <w:r>
                    <w:rPr>
                      <w:rFonts w:hint="eastAsia"/>
                      <w:color w:val="auto"/>
                      <w:lang w:val="en-US" w:eastAsia="zh-CN"/>
                    </w:rPr>
                    <w:t>对周边地表水产生污染</w:t>
                  </w:r>
                </w:p>
              </w:tc>
            </w:tr>
          </w:tbl>
          <w:p w14:paraId="0CCA7301">
            <w:pPr>
              <w:pStyle w:val="120"/>
              <w:rPr>
                <w:rFonts w:ascii="Times New Roman" w:hAnsi="Times New Roman"/>
                <w:color w:val="auto"/>
                <w:kern w:val="0"/>
                <w:highlight w:val="none"/>
                <w:lang w:val="en-US" w:eastAsia="zh-CN"/>
              </w:rPr>
            </w:pPr>
            <w:r>
              <w:rPr>
                <w:rFonts w:ascii="Times New Roman" w:hAnsi="Times New Roman"/>
                <w:color w:val="auto"/>
                <w:kern w:val="0"/>
                <w:highlight w:val="none"/>
                <w:lang w:val="en-US" w:eastAsia="zh-CN"/>
              </w:rPr>
              <w:t>（3）物质风险识别</w:t>
            </w:r>
          </w:p>
          <w:p w14:paraId="46493D1E">
            <w:pPr>
              <w:pStyle w:val="120"/>
              <w:rPr>
                <w:rFonts w:ascii="Times New Roman" w:hAnsi="Times New Roman"/>
                <w:color w:val="auto"/>
                <w:kern w:val="0"/>
                <w:highlight w:val="none"/>
                <w:lang w:val="en-US" w:eastAsia="zh-CN"/>
              </w:rPr>
            </w:pPr>
            <w:r>
              <w:rPr>
                <w:rFonts w:ascii="Times New Roman" w:hAnsi="Times New Roman"/>
                <w:color w:val="auto"/>
                <w:kern w:val="0"/>
                <w:highlight w:val="none"/>
                <w:lang w:val="en-US" w:eastAsia="zh-CN"/>
              </w:rPr>
              <w:t>根据《危险化学品重大危险源辨识》（GB18218-2018）表2和《建设项目环境风险评价技术导则》</w:t>
            </w:r>
            <w:r>
              <w:rPr>
                <w:rFonts w:hint="eastAsia" w:ascii="Times New Roman" w:hAnsi="Times New Roman"/>
                <w:color w:val="auto"/>
                <w:kern w:val="0"/>
                <w:highlight w:val="none"/>
                <w:lang w:val="en-US" w:eastAsia="zh-CN"/>
              </w:rPr>
              <w:t>（</w:t>
            </w:r>
            <w:r>
              <w:rPr>
                <w:rFonts w:ascii="Times New Roman" w:hAnsi="Times New Roman"/>
                <w:color w:val="auto"/>
                <w:kern w:val="0"/>
                <w:highlight w:val="none"/>
                <w:lang w:val="en-US" w:eastAsia="zh-CN"/>
              </w:rPr>
              <w:t>HJ169—2018</w:t>
            </w:r>
            <w:r>
              <w:rPr>
                <w:rFonts w:hint="eastAsia" w:ascii="Times New Roman" w:hAnsi="Times New Roman"/>
                <w:color w:val="auto"/>
                <w:kern w:val="0"/>
                <w:highlight w:val="none"/>
                <w:lang w:val="en-US" w:eastAsia="zh-CN"/>
              </w:rPr>
              <w:t>）</w:t>
            </w:r>
            <w:r>
              <w:rPr>
                <w:rFonts w:ascii="Times New Roman" w:hAnsi="Times New Roman"/>
                <w:color w:val="auto"/>
                <w:kern w:val="0"/>
                <w:highlight w:val="none"/>
                <w:lang w:val="en-US" w:eastAsia="zh-CN"/>
              </w:rPr>
              <w:t>附录B危险化学品的临界量，项目物质危险性识别结果见表4.</w:t>
            </w:r>
            <w:r>
              <w:rPr>
                <w:rFonts w:hint="eastAsia" w:ascii="Times New Roman" w:hAnsi="Times New Roman"/>
                <w:color w:val="auto"/>
                <w:kern w:val="0"/>
                <w:highlight w:val="none"/>
                <w:lang w:val="en-US" w:eastAsia="zh-CN"/>
              </w:rPr>
              <w:t>7</w:t>
            </w:r>
            <w:r>
              <w:rPr>
                <w:rFonts w:ascii="Times New Roman" w:hAnsi="Times New Roman"/>
                <w:color w:val="auto"/>
                <w:kern w:val="0"/>
                <w:highlight w:val="none"/>
                <w:lang w:val="en-US" w:eastAsia="zh-CN"/>
              </w:rPr>
              <w:t>-</w:t>
            </w:r>
            <w:r>
              <w:rPr>
                <w:rFonts w:hint="eastAsia"/>
                <w:color w:val="auto"/>
                <w:kern w:val="0"/>
                <w:highlight w:val="none"/>
                <w:lang w:val="en-US" w:eastAsia="zh-CN"/>
              </w:rPr>
              <w:t>2</w:t>
            </w:r>
            <w:r>
              <w:rPr>
                <w:rFonts w:ascii="Times New Roman" w:hAnsi="Times New Roman"/>
                <w:color w:val="auto"/>
                <w:kern w:val="0"/>
                <w:highlight w:val="none"/>
                <w:lang w:val="en-US" w:eastAsia="zh-CN"/>
              </w:rPr>
              <w:t>。</w:t>
            </w:r>
          </w:p>
          <w:p w14:paraId="4D8EECA8">
            <w:pPr>
              <w:pStyle w:val="44"/>
              <w:keepNext/>
              <w:keepLines/>
              <w:pageBreakBefore w:val="0"/>
              <w:widowControl w:val="0"/>
              <w:numPr>
                <w:ilvl w:val="7"/>
                <w:numId w:val="10"/>
              </w:numPr>
              <w:tabs>
                <w:tab w:val="left" w:pos="0"/>
              </w:tabs>
              <w:kinsoku/>
              <w:wordWrap/>
              <w:overflowPunct/>
              <w:topLinePunct w:val="0"/>
              <w:autoSpaceDE/>
              <w:autoSpaceDN/>
              <w:bidi w:val="0"/>
              <w:adjustRightInd/>
              <w:snapToGrid/>
              <w:spacing w:before="0" w:after="0"/>
              <w:ind w:left="630" w:leftChars="0" w:firstLineChars="0"/>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危险性判定表</w:t>
            </w:r>
          </w:p>
          <w:tbl>
            <w:tblPr>
              <w:tblStyle w:val="86"/>
              <w:tblW w:w="4996" w:type="pct"/>
              <w:tblInd w:w="2"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639"/>
              <w:gridCol w:w="2275"/>
              <w:gridCol w:w="1748"/>
              <w:gridCol w:w="1748"/>
              <w:gridCol w:w="900"/>
              <w:gridCol w:w="1613"/>
            </w:tblGrid>
            <w:tr w14:paraId="0F702D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358" w:type="pct"/>
                  <w:tcBorders>
                    <w:bottom w:val="single" w:color="000000" w:sz="12" w:space="0"/>
                  </w:tcBorders>
                  <w:textDirection w:val="tbRlV"/>
                  <w:vAlign w:val="center"/>
                </w:tcPr>
                <w:p w14:paraId="4831DEB5">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7"/>
                      <w:sz w:val="21"/>
                      <w:highlight w:val="none"/>
                    </w:rPr>
                    <w:t>序号</w:t>
                  </w:r>
                </w:p>
              </w:tc>
              <w:tc>
                <w:tcPr>
                  <w:tcW w:w="1274" w:type="pct"/>
                  <w:tcBorders>
                    <w:bottom w:val="single" w:color="000000" w:sz="12" w:space="0"/>
                  </w:tcBorders>
                  <w:vAlign w:val="center"/>
                </w:tcPr>
                <w:p w14:paraId="428172A9">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6"/>
                      <w:sz w:val="21"/>
                      <w:highlight w:val="none"/>
                    </w:rPr>
                    <w:t>危险物质名称</w:t>
                  </w:r>
                </w:p>
              </w:tc>
              <w:tc>
                <w:tcPr>
                  <w:tcW w:w="979" w:type="pct"/>
                  <w:tcBorders>
                    <w:bottom w:val="single" w:color="000000" w:sz="12" w:space="0"/>
                  </w:tcBorders>
                  <w:vAlign w:val="center"/>
                </w:tcPr>
                <w:p w14:paraId="69E76D52">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b/>
                      <w:bCs/>
                      <w:color w:val="auto"/>
                      <w:spacing w:val="6"/>
                      <w:sz w:val="21"/>
                      <w:highlight w:val="none"/>
                      <w:lang w:val="en-US" w:eastAsia="zh-CN"/>
                    </w:rPr>
                  </w:pPr>
                  <w:r>
                    <w:rPr>
                      <w:rFonts w:hint="eastAsia" w:ascii="Times New Roman" w:hAnsi="Times New Roman"/>
                      <w:b/>
                      <w:bCs/>
                      <w:color w:val="auto"/>
                      <w:spacing w:val="6"/>
                      <w:sz w:val="21"/>
                      <w:highlight w:val="none"/>
                      <w:lang w:val="en-US" w:eastAsia="zh-CN"/>
                    </w:rPr>
                    <w:t>CAS</w:t>
                  </w:r>
                </w:p>
              </w:tc>
              <w:tc>
                <w:tcPr>
                  <w:tcW w:w="979" w:type="pct"/>
                  <w:tcBorders>
                    <w:bottom w:val="single" w:color="000000" w:sz="12" w:space="0"/>
                  </w:tcBorders>
                  <w:vAlign w:val="center"/>
                </w:tcPr>
                <w:p w14:paraId="0418DF41">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olor w:val="auto"/>
                      <w:sz w:val="21"/>
                      <w:szCs w:val="20"/>
                      <w:highlight w:val="none"/>
                    </w:rPr>
                  </w:pPr>
                  <w:r>
                    <w:rPr>
                      <w:rFonts w:ascii="Times New Roman" w:hAnsi="Times New Roman" w:eastAsia="宋体"/>
                      <w:b/>
                      <w:bCs/>
                      <w:color w:val="auto"/>
                      <w:spacing w:val="6"/>
                      <w:sz w:val="21"/>
                      <w:highlight w:val="none"/>
                    </w:rPr>
                    <w:t>最大存储总量</w:t>
                  </w:r>
                </w:p>
              </w:tc>
              <w:tc>
                <w:tcPr>
                  <w:tcW w:w="504" w:type="pct"/>
                  <w:tcBorders>
                    <w:bottom w:val="single" w:color="000000" w:sz="12" w:space="0"/>
                  </w:tcBorders>
                  <w:vAlign w:val="center"/>
                </w:tcPr>
                <w:p w14:paraId="70AF480D">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olor w:val="auto"/>
                      <w:sz w:val="21"/>
                      <w:highlight w:val="none"/>
                    </w:rPr>
                  </w:pPr>
                  <w:r>
                    <w:rPr>
                      <w:rFonts w:ascii="Times New Roman" w:hAnsi="Times New Roman" w:eastAsia="宋体"/>
                      <w:b/>
                      <w:bCs/>
                      <w:color w:val="auto"/>
                      <w:spacing w:val="1"/>
                      <w:sz w:val="21"/>
                      <w:highlight w:val="none"/>
                    </w:rPr>
                    <w:t>临界量</w:t>
                  </w:r>
                  <w:r>
                    <w:rPr>
                      <w:rFonts w:ascii="Times New Roman" w:hAnsi="Times New Roman" w:eastAsia="宋体" w:cs="Times New Roman"/>
                      <w:b/>
                      <w:bCs/>
                      <w:color w:val="auto"/>
                      <w:sz w:val="21"/>
                      <w:highlight w:val="none"/>
                    </w:rPr>
                    <w:t>Q</w:t>
                  </w:r>
                  <w:r>
                    <w:rPr>
                      <w:rFonts w:ascii="Times New Roman" w:hAnsi="Times New Roman" w:eastAsia="宋体" w:cs="Times New Roman"/>
                      <w:b/>
                      <w:bCs/>
                      <w:color w:val="auto"/>
                      <w:position w:val="-1"/>
                      <w:sz w:val="21"/>
                      <w:szCs w:val="13"/>
                      <w:highlight w:val="none"/>
                    </w:rPr>
                    <w:t>n</w:t>
                  </w:r>
                  <w:r>
                    <w:rPr>
                      <w:rFonts w:ascii="Times New Roman" w:hAnsi="Times New Roman" w:eastAsia="宋体" w:cs="Times New Roman"/>
                      <w:b/>
                      <w:bCs/>
                      <w:color w:val="auto"/>
                      <w:spacing w:val="3"/>
                      <w:sz w:val="21"/>
                      <w:highlight w:val="none"/>
                    </w:rPr>
                    <w:t>/t</w:t>
                  </w:r>
                </w:p>
              </w:tc>
              <w:tc>
                <w:tcPr>
                  <w:tcW w:w="903" w:type="pct"/>
                  <w:tcBorders>
                    <w:bottom w:val="single" w:color="000000" w:sz="12" w:space="0"/>
                  </w:tcBorders>
                  <w:vAlign w:val="center"/>
                </w:tcPr>
                <w:p w14:paraId="049053C0">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6"/>
                      <w:sz w:val="21"/>
                      <w:highlight w:val="none"/>
                    </w:rPr>
                    <w:t>该种危险物质</w:t>
                  </w:r>
                </w:p>
                <w:p w14:paraId="69FCD1E5">
                  <w:pPr>
                    <w:pStyle w:val="115"/>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ascii="Times New Roman" w:hAnsi="Times New Roman" w:eastAsia="宋体" w:cs="Times New Roman"/>
                      <w:b/>
                      <w:bCs/>
                      <w:color w:val="auto"/>
                      <w:spacing w:val="-2"/>
                      <w:sz w:val="21"/>
                      <w:highlight w:val="none"/>
                    </w:rPr>
                    <w:t>Q</w:t>
                  </w:r>
                  <w:r>
                    <w:rPr>
                      <w:rFonts w:ascii="Times New Roman" w:hAnsi="Times New Roman" w:eastAsia="宋体"/>
                      <w:b/>
                      <w:bCs/>
                      <w:color w:val="auto"/>
                      <w:spacing w:val="-2"/>
                      <w:sz w:val="21"/>
                      <w:highlight w:val="none"/>
                    </w:rPr>
                    <w:t>值</w:t>
                  </w:r>
                </w:p>
              </w:tc>
            </w:tr>
            <w:tr w14:paraId="73155C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358" w:type="pct"/>
                  <w:tcBorders>
                    <w:top w:val="single" w:color="000000" w:sz="12" w:space="0"/>
                    <w:tl2br w:val="nil"/>
                    <w:tr2bl w:val="nil"/>
                  </w:tcBorders>
                  <w:vAlign w:val="center"/>
                </w:tcPr>
                <w:p w14:paraId="617133DB">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olor w:val="auto"/>
                      <w:sz w:val="21"/>
                      <w:szCs w:val="20"/>
                      <w:highlight w:val="none"/>
                    </w:rPr>
                  </w:pPr>
                  <w:r>
                    <w:rPr>
                      <w:rFonts w:ascii="Times New Roman" w:hAnsi="Times New Roman" w:eastAsia="宋体" w:cs="Times New Roman"/>
                      <w:color w:val="auto"/>
                      <w:position w:val="1"/>
                      <w:sz w:val="21"/>
                      <w:szCs w:val="20"/>
                      <w:highlight w:val="none"/>
                    </w:rPr>
                    <w:t>1</w:t>
                  </w:r>
                </w:p>
              </w:tc>
              <w:tc>
                <w:tcPr>
                  <w:tcW w:w="1274" w:type="pct"/>
                  <w:tcBorders>
                    <w:top w:val="single" w:color="000000" w:sz="12" w:space="0"/>
                    <w:tl2br w:val="nil"/>
                    <w:tr2bl w:val="nil"/>
                  </w:tcBorders>
                  <w:vAlign w:val="center"/>
                </w:tcPr>
                <w:p w14:paraId="6B1C597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olor w:val="auto"/>
                      <w:sz w:val="21"/>
                      <w:highlight w:val="none"/>
                      <w:lang w:eastAsia="zh-CN"/>
                    </w:rPr>
                  </w:pPr>
                  <w:r>
                    <w:rPr>
                      <w:rFonts w:hint="eastAsia"/>
                      <w:color w:val="auto"/>
                    </w:rPr>
                    <w:t>氯酸钠</w:t>
                  </w:r>
                </w:p>
              </w:tc>
              <w:tc>
                <w:tcPr>
                  <w:tcW w:w="979" w:type="pct"/>
                  <w:tcBorders>
                    <w:top w:val="single" w:color="000000" w:sz="12" w:space="0"/>
                    <w:tl2br w:val="nil"/>
                    <w:tr2bl w:val="nil"/>
                  </w:tcBorders>
                  <w:vAlign w:val="center"/>
                </w:tcPr>
                <w:p w14:paraId="7DBFA64F">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eastAsia="宋体"/>
                      <w:color w:val="auto"/>
                      <w:lang w:val="en-US" w:eastAsia="zh-CN"/>
                    </w:rPr>
                  </w:pPr>
                  <w:r>
                    <w:rPr>
                      <w:rFonts w:hint="eastAsia"/>
                      <w:color w:val="auto"/>
                      <w:lang w:val="en-US" w:eastAsia="zh-CN"/>
                    </w:rPr>
                    <w:t>7775-09-9</w:t>
                  </w:r>
                </w:p>
              </w:tc>
              <w:tc>
                <w:tcPr>
                  <w:tcW w:w="979" w:type="pct"/>
                  <w:tcBorders>
                    <w:top w:val="single" w:color="000000" w:sz="12" w:space="0"/>
                    <w:tl2br w:val="nil"/>
                    <w:tr2bl w:val="nil"/>
                  </w:tcBorders>
                  <w:vAlign w:val="center"/>
                </w:tcPr>
                <w:p w14:paraId="02CECFC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0"/>
                      <w:highlight w:val="none"/>
                      <w:lang w:val="en-US" w:eastAsia="zh-CN"/>
                    </w:rPr>
                  </w:pPr>
                  <w:r>
                    <w:rPr>
                      <w:rFonts w:hint="eastAsia" w:cs="Times New Roman"/>
                      <w:color w:val="auto"/>
                      <w:spacing w:val="2"/>
                      <w:position w:val="1"/>
                      <w:sz w:val="21"/>
                      <w:szCs w:val="20"/>
                      <w:highlight w:val="none"/>
                      <w:lang w:val="en-US" w:eastAsia="zh-CN"/>
                    </w:rPr>
                    <w:t>500L</w:t>
                  </w:r>
                </w:p>
              </w:tc>
              <w:tc>
                <w:tcPr>
                  <w:tcW w:w="504" w:type="pct"/>
                  <w:tcBorders>
                    <w:top w:val="single" w:color="000000" w:sz="12" w:space="0"/>
                    <w:tl2br w:val="nil"/>
                    <w:tr2bl w:val="nil"/>
                  </w:tcBorders>
                  <w:vAlign w:val="center"/>
                </w:tcPr>
                <w:p w14:paraId="70701FB9">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0"/>
                      <w:highlight w:val="none"/>
                      <w:lang w:val="en-US" w:eastAsia="zh-CN"/>
                    </w:rPr>
                  </w:pPr>
                  <w:r>
                    <w:rPr>
                      <w:rFonts w:hint="eastAsia" w:cs="Times New Roman"/>
                      <w:color w:val="auto"/>
                      <w:spacing w:val="4"/>
                      <w:position w:val="1"/>
                      <w:sz w:val="21"/>
                      <w:szCs w:val="20"/>
                      <w:highlight w:val="none"/>
                      <w:lang w:val="en-US" w:eastAsia="zh-CN"/>
                    </w:rPr>
                    <w:t>100</w:t>
                  </w:r>
                </w:p>
              </w:tc>
              <w:tc>
                <w:tcPr>
                  <w:tcW w:w="903" w:type="pct"/>
                  <w:tcBorders>
                    <w:top w:val="single" w:color="000000" w:sz="12" w:space="0"/>
                    <w:tl2br w:val="nil"/>
                    <w:tr2bl w:val="nil"/>
                  </w:tcBorders>
                  <w:vAlign w:val="center"/>
                </w:tcPr>
                <w:p w14:paraId="6AA8DA7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0"/>
                      <w:highlight w:val="none"/>
                      <w:lang w:val="en-US" w:eastAsia="zh-CN"/>
                    </w:rPr>
                  </w:pPr>
                  <w:r>
                    <w:rPr>
                      <w:rFonts w:ascii="Times New Roman" w:hAnsi="Times New Roman" w:eastAsia="宋体" w:cs="Times New Roman"/>
                      <w:color w:val="auto"/>
                      <w:sz w:val="21"/>
                      <w:szCs w:val="20"/>
                      <w:highlight w:val="none"/>
                    </w:rPr>
                    <w:t>0.00</w:t>
                  </w:r>
                  <w:r>
                    <w:rPr>
                      <w:rFonts w:hint="eastAsia" w:cs="Times New Roman"/>
                      <w:color w:val="auto"/>
                      <w:sz w:val="21"/>
                      <w:szCs w:val="20"/>
                      <w:highlight w:val="none"/>
                      <w:lang w:val="en-US" w:eastAsia="zh-CN"/>
                    </w:rPr>
                    <w:t>17</w:t>
                  </w:r>
                </w:p>
              </w:tc>
            </w:tr>
            <w:tr w14:paraId="095CD3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358" w:type="pct"/>
                  <w:tcBorders>
                    <w:tl2br w:val="nil"/>
                    <w:tr2bl w:val="nil"/>
                  </w:tcBorders>
                  <w:vAlign w:val="center"/>
                </w:tcPr>
                <w:p w14:paraId="7E5FD265">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olor w:val="auto"/>
                      <w:sz w:val="21"/>
                      <w:szCs w:val="20"/>
                      <w:highlight w:val="none"/>
                    </w:rPr>
                  </w:pPr>
                  <w:r>
                    <w:rPr>
                      <w:rFonts w:ascii="Times New Roman" w:hAnsi="Times New Roman" w:eastAsia="宋体" w:cs="Times New Roman"/>
                      <w:color w:val="auto"/>
                      <w:position w:val="1"/>
                      <w:sz w:val="21"/>
                      <w:szCs w:val="20"/>
                      <w:highlight w:val="none"/>
                    </w:rPr>
                    <w:t>2</w:t>
                  </w:r>
                </w:p>
              </w:tc>
              <w:tc>
                <w:tcPr>
                  <w:tcW w:w="1274" w:type="pct"/>
                  <w:tcBorders>
                    <w:tl2br w:val="nil"/>
                    <w:tr2bl w:val="nil"/>
                  </w:tcBorders>
                  <w:vAlign w:val="center"/>
                </w:tcPr>
                <w:p w14:paraId="4A481663">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olor w:val="auto"/>
                      <w:sz w:val="21"/>
                      <w:highlight w:val="none"/>
                    </w:rPr>
                  </w:pPr>
                  <w:r>
                    <w:rPr>
                      <w:rFonts w:hint="eastAsia"/>
                      <w:color w:val="auto"/>
                    </w:rPr>
                    <w:t>盐酸</w:t>
                  </w:r>
                  <w:r>
                    <w:rPr>
                      <w:rFonts w:hint="eastAsia"/>
                      <w:color w:val="auto"/>
                      <w:lang w:eastAsia="zh-CN"/>
                    </w:rPr>
                    <w:t>（</w:t>
                  </w:r>
                  <w:r>
                    <w:rPr>
                      <w:rFonts w:hint="eastAsia"/>
                      <w:color w:val="auto"/>
                    </w:rPr>
                    <w:t>≥37%</w:t>
                  </w:r>
                  <w:r>
                    <w:rPr>
                      <w:rFonts w:hint="eastAsia"/>
                      <w:color w:val="auto"/>
                      <w:lang w:eastAsia="zh-CN"/>
                    </w:rPr>
                    <w:t>）</w:t>
                  </w:r>
                </w:p>
              </w:tc>
              <w:tc>
                <w:tcPr>
                  <w:tcW w:w="979" w:type="pct"/>
                  <w:tcBorders>
                    <w:tl2br w:val="nil"/>
                    <w:tr2bl w:val="nil"/>
                  </w:tcBorders>
                  <w:vAlign w:val="center"/>
                </w:tcPr>
                <w:p w14:paraId="46D17CA2">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eastAsia="宋体"/>
                      <w:color w:val="auto"/>
                      <w:lang w:val="en-US" w:eastAsia="zh-CN"/>
                    </w:rPr>
                  </w:pPr>
                  <w:r>
                    <w:rPr>
                      <w:rFonts w:hint="eastAsia"/>
                      <w:color w:val="auto"/>
                      <w:lang w:val="en-US" w:eastAsia="zh-CN"/>
                    </w:rPr>
                    <w:t>7647-01-0</w:t>
                  </w:r>
                </w:p>
              </w:tc>
              <w:tc>
                <w:tcPr>
                  <w:tcW w:w="979" w:type="pct"/>
                  <w:tcBorders>
                    <w:tl2br w:val="nil"/>
                    <w:tr2bl w:val="nil"/>
                  </w:tcBorders>
                  <w:vAlign w:val="center"/>
                </w:tcPr>
                <w:p w14:paraId="6A24891C">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0"/>
                      <w:highlight w:val="none"/>
                      <w:lang w:val="en-US" w:eastAsia="zh-CN"/>
                    </w:rPr>
                  </w:pPr>
                  <w:r>
                    <w:rPr>
                      <w:rFonts w:hint="eastAsia" w:cs="Times New Roman"/>
                      <w:color w:val="auto"/>
                      <w:sz w:val="21"/>
                      <w:szCs w:val="20"/>
                      <w:highlight w:val="none"/>
                      <w:lang w:val="en-US" w:eastAsia="zh-CN"/>
                    </w:rPr>
                    <w:t>500L</w:t>
                  </w:r>
                </w:p>
              </w:tc>
              <w:tc>
                <w:tcPr>
                  <w:tcW w:w="504" w:type="pct"/>
                  <w:tcBorders>
                    <w:tl2br w:val="nil"/>
                    <w:tr2bl w:val="nil"/>
                  </w:tcBorders>
                  <w:vAlign w:val="center"/>
                </w:tcPr>
                <w:p w14:paraId="2AEA41B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0"/>
                      <w:highlight w:val="none"/>
                      <w:lang w:val="en-US" w:eastAsia="zh-CN"/>
                    </w:rPr>
                  </w:pPr>
                  <w:r>
                    <w:rPr>
                      <w:rFonts w:hint="eastAsia" w:cs="Times New Roman"/>
                      <w:color w:val="auto"/>
                      <w:spacing w:val="-8"/>
                      <w:position w:val="1"/>
                      <w:sz w:val="21"/>
                      <w:szCs w:val="20"/>
                      <w:highlight w:val="none"/>
                      <w:lang w:val="en-US" w:eastAsia="zh-CN"/>
                    </w:rPr>
                    <w:t>2.5</w:t>
                  </w:r>
                </w:p>
              </w:tc>
              <w:tc>
                <w:tcPr>
                  <w:tcW w:w="903" w:type="pct"/>
                  <w:tcBorders>
                    <w:tl2br w:val="nil"/>
                    <w:tr2bl w:val="nil"/>
                  </w:tcBorders>
                  <w:vAlign w:val="center"/>
                </w:tcPr>
                <w:p w14:paraId="2EC0B68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color w:val="auto"/>
                      <w:sz w:val="21"/>
                      <w:szCs w:val="20"/>
                      <w:highlight w:val="none"/>
                      <w:lang w:val="en-US" w:eastAsia="zh-CN"/>
                    </w:rPr>
                  </w:pPr>
                  <w:r>
                    <w:rPr>
                      <w:rFonts w:ascii="Times New Roman" w:hAnsi="Times New Roman" w:eastAsia="宋体" w:cs="Times New Roman"/>
                      <w:color w:val="auto"/>
                      <w:spacing w:val="3"/>
                      <w:position w:val="1"/>
                      <w:sz w:val="21"/>
                      <w:szCs w:val="20"/>
                      <w:highlight w:val="none"/>
                    </w:rPr>
                    <w:t>0.</w:t>
                  </w:r>
                  <w:r>
                    <w:rPr>
                      <w:rFonts w:hint="eastAsia" w:cs="Times New Roman"/>
                      <w:color w:val="auto"/>
                      <w:spacing w:val="3"/>
                      <w:position w:val="1"/>
                      <w:sz w:val="21"/>
                      <w:szCs w:val="20"/>
                      <w:highlight w:val="none"/>
                      <w:lang w:val="en-US" w:eastAsia="zh-CN"/>
                    </w:rPr>
                    <w:t>1676</w:t>
                  </w:r>
                </w:p>
              </w:tc>
            </w:tr>
            <w:tr w14:paraId="523488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358" w:type="pct"/>
                  <w:tcBorders>
                    <w:tl2br w:val="nil"/>
                    <w:tr2bl w:val="nil"/>
                  </w:tcBorders>
                  <w:vAlign w:val="center"/>
                </w:tcPr>
                <w:p w14:paraId="4425597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color w:val="auto"/>
                      <w:sz w:val="21"/>
                      <w:szCs w:val="20"/>
                      <w:highlight w:val="none"/>
                      <w:lang w:eastAsia="zh-CN"/>
                    </w:rPr>
                  </w:pPr>
                  <w:r>
                    <w:rPr>
                      <w:rFonts w:hint="eastAsia" w:cs="Times New Roman"/>
                      <w:color w:val="auto"/>
                      <w:position w:val="1"/>
                      <w:sz w:val="21"/>
                      <w:szCs w:val="20"/>
                      <w:highlight w:val="none"/>
                      <w:lang w:val="en-US" w:eastAsia="zh-CN"/>
                    </w:rPr>
                    <w:t>3</w:t>
                  </w:r>
                </w:p>
              </w:tc>
              <w:tc>
                <w:tcPr>
                  <w:tcW w:w="1274" w:type="pct"/>
                  <w:tcBorders>
                    <w:tl2br w:val="nil"/>
                    <w:tr2bl w:val="nil"/>
                  </w:tcBorders>
                  <w:vAlign w:val="center"/>
                </w:tcPr>
                <w:p w14:paraId="3BF71E70">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olor w:val="auto"/>
                      <w:sz w:val="21"/>
                      <w:highlight w:val="none"/>
                      <w:lang w:val="en-US" w:eastAsia="zh-CN"/>
                    </w:rPr>
                  </w:pPr>
                  <w:r>
                    <w:rPr>
                      <w:rFonts w:hint="eastAsia"/>
                      <w:color w:val="auto"/>
                      <w:lang w:val="en-US" w:eastAsia="zh-CN"/>
                    </w:rPr>
                    <w:t>氯</w:t>
                  </w:r>
                  <w:r>
                    <w:rPr>
                      <w:rFonts w:hint="eastAsia"/>
                      <w:color w:val="auto"/>
                    </w:rPr>
                    <w:t>气</w:t>
                  </w:r>
                </w:p>
              </w:tc>
              <w:tc>
                <w:tcPr>
                  <w:tcW w:w="979" w:type="pct"/>
                  <w:tcBorders>
                    <w:tl2br w:val="nil"/>
                    <w:tr2bl w:val="nil"/>
                  </w:tcBorders>
                  <w:vAlign w:val="center"/>
                </w:tcPr>
                <w:p w14:paraId="4701296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color w:val="auto"/>
                      <w:lang w:val="en-US" w:eastAsia="zh-CN"/>
                    </w:rPr>
                  </w:pPr>
                  <w:r>
                    <w:rPr>
                      <w:rFonts w:hint="eastAsia"/>
                      <w:color w:val="auto"/>
                      <w:lang w:val="en-US" w:eastAsia="zh-CN"/>
                    </w:rPr>
                    <w:t>7782-50-5</w:t>
                  </w:r>
                </w:p>
              </w:tc>
              <w:tc>
                <w:tcPr>
                  <w:tcW w:w="979" w:type="pct"/>
                  <w:tcBorders>
                    <w:tl2br w:val="nil"/>
                    <w:tr2bl w:val="nil"/>
                  </w:tcBorders>
                  <w:vAlign w:val="center"/>
                </w:tcPr>
                <w:p w14:paraId="144E780D">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cs="Times New Roman"/>
                      <w:color w:val="auto"/>
                      <w:sz w:val="21"/>
                      <w:szCs w:val="20"/>
                      <w:highlight w:val="none"/>
                      <w:lang w:val="en-US" w:eastAsia="zh-CN"/>
                    </w:rPr>
                  </w:pPr>
                  <w:r>
                    <w:rPr>
                      <w:rFonts w:hint="eastAsia" w:cs="Times New Roman"/>
                      <w:color w:val="auto"/>
                      <w:sz w:val="21"/>
                      <w:szCs w:val="20"/>
                      <w:highlight w:val="none"/>
                      <w:lang w:val="en-US" w:eastAsia="zh-CN"/>
                    </w:rPr>
                    <w:t>100g/h-500g/h</w:t>
                  </w:r>
                </w:p>
              </w:tc>
              <w:tc>
                <w:tcPr>
                  <w:tcW w:w="504" w:type="pct"/>
                  <w:tcBorders>
                    <w:tl2br w:val="nil"/>
                    <w:tr2bl w:val="nil"/>
                  </w:tcBorders>
                  <w:vAlign w:val="center"/>
                </w:tcPr>
                <w:p w14:paraId="37D20494">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eastAsia" w:ascii="Times New Roman" w:hAnsi="Times New Roman" w:eastAsia="宋体" w:cs="Times New Roman"/>
                      <w:color w:val="auto"/>
                      <w:sz w:val="21"/>
                      <w:szCs w:val="20"/>
                      <w:highlight w:val="none"/>
                      <w:lang w:eastAsia="zh-CN"/>
                    </w:rPr>
                  </w:pPr>
                  <w:r>
                    <w:rPr>
                      <w:rFonts w:hint="eastAsia" w:cs="Times New Roman"/>
                      <w:color w:val="auto"/>
                      <w:spacing w:val="-8"/>
                      <w:position w:val="1"/>
                      <w:sz w:val="21"/>
                      <w:szCs w:val="20"/>
                      <w:highlight w:val="none"/>
                      <w:lang w:val="en-US" w:eastAsia="zh-CN"/>
                    </w:rPr>
                    <w:t>1</w:t>
                  </w:r>
                </w:p>
              </w:tc>
              <w:tc>
                <w:tcPr>
                  <w:tcW w:w="903" w:type="pct"/>
                  <w:tcBorders>
                    <w:tl2br w:val="nil"/>
                    <w:tr2bl w:val="nil"/>
                  </w:tcBorders>
                  <w:vAlign w:val="center"/>
                </w:tcPr>
                <w:p w14:paraId="150FB827">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ascii="Times New Roman" w:hAnsi="Times New Roman" w:eastAsia="宋体" w:cs="Times New Roman"/>
                      <w:color w:val="auto"/>
                      <w:sz w:val="21"/>
                      <w:szCs w:val="20"/>
                      <w:highlight w:val="none"/>
                    </w:rPr>
                  </w:pPr>
                  <w:r>
                    <w:rPr>
                      <w:rFonts w:hint="eastAsia" w:ascii="Times New Roman" w:hAnsi="Times New Roman" w:eastAsia="宋体" w:cs="Times New Roman"/>
                      <w:color w:val="auto"/>
                      <w:sz w:val="21"/>
                      <w:szCs w:val="20"/>
                      <w:highlight w:val="none"/>
                    </w:rPr>
                    <w:t>0.00</w:t>
                  </w:r>
                  <w:r>
                    <w:rPr>
                      <w:rFonts w:hint="eastAsia" w:cs="Times New Roman"/>
                      <w:color w:val="auto"/>
                      <w:sz w:val="21"/>
                      <w:szCs w:val="20"/>
                      <w:highlight w:val="none"/>
                      <w:lang w:val="en-US" w:eastAsia="zh-CN"/>
                    </w:rPr>
                    <w:t>08</w:t>
                  </w:r>
                  <w:r>
                    <w:rPr>
                      <w:rFonts w:hint="eastAsia" w:ascii="Times New Roman" w:hAnsi="Times New Roman" w:eastAsia="宋体" w:cs="Times New Roman"/>
                      <w:color w:val="auto"/>
                      <w:sz w:val="21"/>
                      <w:szCs w:val="20"/>
                      <w:highlight w:val="none"/>
                    </w:rPr>
                    <w:t>‬</w:t>
                  </w:r>
                </w:p>
              </w:tc>
            </w:tr>
          </w:tbl>
          <w:p w14:paraId="5C93964A">
            <w:pPr>
              <w:pStyle w:val="120"/>
              <w:rPr>
                <w:rFonts w:ascii="Times New Roman" w:hAnsi="Times New Roman"/>
                <w:color w:val="auto"/>
                <w:highlight w:val="none"/>
                <w:lang w:val="en-US" w:eastAsia="zh-CN"/>
              </w:rPr>
            </w:pPr>
            <w:r>
              <w:rPr>
                <w:rFonts w:ascii="Times New Roman" w:hAnsi="Times New Roman"/>
                <w:color w:val="auto"/>
                <w:kern w:val="0"/>
                <w:highlight w:val="none"/>
                <w:lang w:val="en-US" w:eastAsia="zh-CN"/>
              </w:rPr>
              <w:t>根据上表</w:t>
            </w:r>
            <w:r>
              <w:rPr>
                <w:rFonts w:hint="eastAsia" w:ascii="Times New Roman" w:hAnsi="Times New Roman"/>
                <w:color w:val="auto"/>
                <w:kern w:val="0"/>
                <w:highlight w:val="none"/>
                <w:lang w:val="en-US" w:eastAsia="zh-CN"/>
              </w:rPr>
              <w:t>计算</w:t>
            </w:r>
            <w:r>
              <w:rPr>
                <w:rFonts w:ascii="Times New Roman" w:hAnsi="Times New Roman"/>
                <w:color w:val="auto"/>
                <w:kern w:val="0"/>
                <w:highlight w:val="none"/>
                <w:lang w:val="en-US" w:eastAsia="zh-CN"/>
              </w:rPr>
              <w:t>Q=</w:t>
            </w:r>
            <w:r>
              <w:rPr>
                <w:rFonts w:hint="eastAsia" w:ascii="Times New Roman" w:hAnsi="Times New Roman"/>
                <w:color w:val="auto"/>
                <w:kern w:val="0"/>
                <w:highlight w:val="none"/>
                <w:lang w:val="en-US" w:eastAsia="zh-CN"/>
              </w:rPr>
              <w:t>0.1701‬‬</w:t>
            </w:r>
            <w:r>
              <w:rPr>
                <w:rFonts w:ascii="Times New Roman" w:hAnsi="Times New Roman"/>
                <w:color w:val="auto"/>
                <w:kern w:val="0"/>
                <w:highlight w:val="none"/>
                <w:lang w:val="en-US" w:eastAsia="zh-CN"/>
              </w:rPr>
              <w:t>&lt;1</w:t>
            </w:r>
            <w:r>
              <w:rPr>
                <w:rFonts w:hint="eastAsia" w:ascii="Times New Roman" w:hAnsi="Times New Roman"/>
                <w:color w:val="auto"/>
                <w:kern w:val="0"/>
                <w:highlight w:val="none"/>
                <w:lang w:val="en-US" w:eastAsia="zh-CN"/>
              </w:rPr>
              <w:t>。因此</w:t>
            </w:r>
            <w:r>
              <w:rPr>
                <w:rFonts w:ascii="Times New Roman" w:hAnsi="Times New Roman"/>
                <w:color w:val="auto"/>
                <w:kern w:val="0"/>
                <w:highlight w:val="none"/>
                <w:lang w:val="en-US" w:eastAsia="zh-CN"/>
              </w:rPr>
              <w:t>，项目环境风险潜势为I。</w:t>
            </w:r>
            <w:r>
              <w:rPr>
                <w:rFonts w:hint="eastAsia" w:ascii="Times New Roman" w:hAnsi="Times New Roman"/>
                <w:color w:val="auto"/>
                <w:kern w:val="0"/>
                <w:highlight w:val="none"/>
                <w:lang w:val="en-US" w:eastAsia="zh-CN"/>
              </w:rPr>
              <w:t>根据《建设项目环境风险评价技术导则》（HJ169-2018）中关于环境风险评价工作等级划分表的判据，确定项目风险评价等级为简单分析。</w:t>
            </w:r>
          </w:p>
          <w:p w14:paraId="4493B2D4">
            <w:pPr>
              <w:pStyle w:val="4"/>
              <w:numPr>
                <w:ilvl w:val="2"/>
                <w:numId w:val="1"/>
              </w:numPr>
              <w:bidi w:val="0"/>
              <w:ind w:left="720" w:leftChars="0" w:hanging="720"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环境风险影响分析及风险防范措施要求</w:t>
            </w:r>
          </w:p>
          <w:p w14:paraId="4831398C">
            <w:pPr>
              <w:pStyle w:val="5"/>
              <w:keepNext/>
              <w:keepLines/>
              <w:pageBreakBefore w:val="0"/>
              <w:widowControl w:val="0"/>
              <w:numPr>
                <w:ilvl w:val="3"/>
                <w:numId w:val="13"/>
              </w:numPr>
              <w:tabs>
                <w:tab w:val="left" w:pos="0"/>
              </w:tabs>
              <w:kinsoku/>
              <w:wordWrap/>
              <w:overflowPunct/>
              <w:topLinePunct w:val="0"/>
              <w:autoSpaceDE/>
              <w:autoSpaceDN/>
              <w:bidi w:val="0"/>
              <w:adjustRightInd/>
              <w:snapToGrid/>
              <w:spacing w:before="157" w:beforeLines="50"/>
              <w:ind w:left="862" w:leftChars="0" w:hanging="862" w:firstLineChars="0"/>
              <w:textAlignment w:val="auto"/>
              <w:rPr>
                <w:rFonts w:hint="eastAsia"/>
                <w:color w:val="auto"/>
                <w:lang w:val="en-US" w:eastAsia="zh-CN"/>
              </w:rPr>
            </w:pPr>
            <w:r>
              <w:rPr>
                <w:rFonts w:hint="eastAsia" w:ascii="Times New Roman" w:hAnsi="Times New Roman" w:eastAsia="宋体" w:cs="Times New Roman"/>
                <w:color w:val="auto"/>
                <w:highlight w:val="none"/>
                <w:lang w:val="en-US" w:eastAsia="zh-CN"/>
              </w:rPr>
              <w:t>环境风险影响分析</w:t>
            </w:r>
          </w:p>
          <w:p w14:paraId="3CAE709B">
            <w:pPr>
              <w:pStyle w:val="120"/>
              <w:rPr>
                <w:rFonts w:hint="eastAsia"/>
                <w:color w:val="auto"/>
                <w:highlight w:val="none"/>
                <w:lang w:val="en-US" w:eastAsia="zh-CN"/>
              </w:rPr>
            </w:pPr>
            <w:r>
              <w:rPr>
                <w:rFonts w:hint="eastAsia"/>
                <w:color w:val="auto"/>
                <w:highlight w:val="none"/>
                <w:lang w:val="en-US" w:eastAsia="zh-CN"/>
              </w:rPr>
              <w:t>（1）废水事故排放风险分析与评价</w:t>
            </w:r>
          </w:p>
          <w:p w14:paraId="2248B537">
            <w:pPr>
              <w:pStyle w:val="120"/>
              <w:rPr>
                <w:rFonts w:hint="eastAsia"/>
                <w:color w:val="auto"/>
                <w:highlight w:val="none"/>
                <w:lang w:val="en-US" w:eastAsia="zh-CN"/>
              </w:rPr>
            </w:pPr>
            <w:r>
              <w:rPr>
                <w:rFonts w:hint="eastAsia"/>
                <w:color w:val="auto"/>
                <w:highlight w:val="none"/>
                <w:lang w:val="en-US" w:eastAsia="zh-CN"/>
              </w:rPr>
              <w:t>本工程污水为医疗废水、生活污水，废水经院内污水处理设施处理后，通过市政管网纳入罗源县城区污水处理厂进一步处理。</w:t>
            </w:r>
          </w:p>
          <w:p w14:paraId="5D3DF9A0">
            <w:pPr>
              <w:pStyle w:val="120"/>
              <w:rPr>
                <w:rFonts w:hint="eastAsia"/>
                <w:color w:val="auto"/>
                <w:highlight w:val="none"/>
                <w:lang w:val="en-US" w:eastAsia="zh-CN"/>
              </w:rPr>
            </w:pPr>
            <w:r>
              <w:rPr>
                <w:rFonts w:hint="eastAsia"/>
                <w:color w:val="auto"/>
                <w:highlight w:val="none"/>
                <w:lang w:val="en-US" w:eastAsia="zh-CN"/>
              </w:rPr>
              <w:t>1.医疗废水处理过程中的事故因素</w:t>
            </w:r>
          </w:p>
          <w:p w14:paraId="23495440">
            <w:pPr>
              <w:pStyle w:val="120"/>
              <w:rPr>
                <w:rFonts w:hint="eastAsia"/>
                <w:color w:val="auto"/>
                <w:highlight w:val="none"/>
                <w:lang w:val="en-US" w:eastAsia="zh-CN"/>
              </w:rPr>
            </w:pPr>
            <w:r>
              <w:rPr>
                <w:rFonts w:hint="eastAsia"/>
                <w:color w:val="auto"/>
                <w:highlight w:val="none"/>
                <w:lang w:val="en-US" w:eastAsia="zh-CN"/>
              </w:rPr>
              <w:t>废水处理过程中的事故因素包括两方面：一是管理不当、操作不当或处理设施失灵，废水处理设施故障，导致废水不能达标排放，影响城镇污水处理厂稳定达标运行。二是污水管道发生破裂泄漏，废水跑冒滴漏，可能影响周边土壤、地下水。</w:t>
            </w:r>
          </w:p>
          <w:p w14:paraId="0EB900CC">
            <w:pPr>
              <w:pStyle w:val="120"/>
              <w:rPr>
                <w:rFonts w:hint="eastAsia"/>
                <w:color w:val="auto"/>
                <w:highlight w:val="none"/>
                <w:lang w:val="en-US" w:eastAsia="zh-CN"/>
              </w:rPr>
            </w:pPr>
            <w:r>
              <w:rPr>
                <w:rFonts w:hint="eastAsia"/>
                <w:color w:val="auto"/>
                <w:highlight w:val="none"/>
                <w:lang w:val="en-US" w:eastAsia="zh-CN"/>
              </w:rPr>
              <w:t>2.医疗废水事故排放引起的风险影响</w:t>
            </w:r>
          </w:p>
          <w:p w14:paraId="010E2D07">
            <w:pPr>
              <w:pStyle w:val="120"/>
              <w:rPr>
                <w:rFonts w:hint="eastAsia"/>
                <w:color w:val="auto"/>
                <w:highlight w:val="none"/>
                <w:lang w:val="en-US" w:eastAsia="zh-CN"/>
              </w:rPr>
            </w:pPr>
            <w:r>
              <w:rPr>
                <w:rFonts w:hint="eastAsia"/>
                <w:color w:val="auto"/>
                <w:highlight w:val="none"/>
                <w:lang w:val="en-US" w:eastAsia="zh-CN"/>
              </w:rPr>
              <w:t>项目的医疗废水未经处理直接进入市政管网，将会对罗源县城区污水处理厂产生一定的冲击。建设单位需严格按规范进行设计、施工、安装和调试，污水处理池管理操作人员必须由经过培训合格或者具有同类岗位经验的人员担任，避免非专业人员进行操控，以免造成操作失当而导致设备损坏或其他事故的发生。</w:t>
            </w:r>
          </w:p>
          <w:p w14:paraId="52247789">
            <w:pPr>
              <w:pStyle w:val="120"/>
              <w:rPr>
                <w:rFonts w:hint="eastAsia"/>
                <w:color w:val="auto"/>
                <w:highlight w:val="none"/>
                <w:lang w:val="en-US" w:eastAsia="zh-CN"/>
              </w:rPr>
            </w:pPr>
            <w:r>
              <w:rPr>
                <w:rFonts w:hint="eastAsia"/>
                <w:color w:val="auto"/>
                <w:highlight w:val="none"/>
                <w:lang w:val="en-US" w:eastAsia="zh-CN"/>
              </w:rPr>
              <w:t>污水管道发生破裂泄露对土壤和地下水产生影响：医疗废水中不可避免存在各种细菌、病毒和寄生虫卵，当医院污水消毒达不到要求时，便可使病原性细菌通过水体造成传播疾病的危险。医疗废水中的病原细菌、病毒若通过土壤进入地下水，对地下水环境的影响较大。</w:t>
            </w:r>
          </w:p>
          <w:p w14:paraId="3EE4D59D">
            <w:pPr>
              <w:pStyle w:val="120"/>
              <w:rPr>
                <w:rFonts w:hint="eastAsia"/>
                <w:color w:val="auto"/>
                <w:highlight w:val="none"/>
                <w:lang w:val="en-US" w:eastAsia="zh-CN"/>
              </w:rPr>
            </w:pPr>
            <w:r>
              <w:rPr>
                <w:rFonts w:hint="eastAsia"/>
                <w:color w:val="auto"/>
                <w:highlight w:val="none"/>
                <w:lang w:val="en-US" w:eastAsia="zh-CN"/>
              </w:rPr>
              <w:t>（2）医疗废物、危险废物收集、贮存、运送过程中的环境风险分析</w:t>
            </w:r>
          </w:p>
          <w:p w14:paraId="7E57EA6C">
            <w:pPr>
              <w:pStyle w:val="120"/>
              <w:rPr>
                <w:rFonts w:hint="eastAsia"/>
                <w:color w:val="auto"/>
                <w:highlight w:val="none"/>
                <w:lang w:val="en-US" w:eastAsia="zh-CN"/>
              </w:rPr>
            </w:pPr>
            <w:r>
              <w:rPr>
                <w:rFonts w:hint="eastAsia"/>
                <w:color w:val="auto"/>
                <w:highlight w:val="none"/>
                <w:lang w:val="en-US" w:eastAsia="zh-CN"/>
              </w:rPr>
              <w:t>医疗废物中可能存在传染性病菌、病毒、化学污染物等有害物质，由于医疗废物具有空间污染、急性传染和潜伏性污染等特征，其病毒、病菌的危害性是普通生活垃圾的几十、几百甚至上千倍，且基本没有回收再利用的价值。在国外，医疗废物被视为“顶级危险”和“致命杀手”。有关资料证实，医疗废物引起的交叉感染占社会交叉感染率的20%。在我国，也早已将其列为头号危险废物，且我国明文规定，医疗废物必须采用“焚烧法”处理，以确保杀菌和避免环境污染。医疗废物残留及衍生的大量病菌是十分有害有毒的物质，如果不经分类收集等有效处理的话，很容易引起各种疾病的传播和蔓延。</w:t>
            </w:r>
          </w:p>
          <w:p w14:paraId="5CFD97B3">
            <w:pPr>
              <w:pStyle w:val="120"/>
              <w:rPr>
                <w:rFonts w:hint="eastAsia"/>
                <w:color w:val="auto"/>
                <w:highlight w:val="none"/>
                <w:lang w:val="en-US" w:eastAsia="zh-CN"/>
              </w:rPr>
            </w:pPr>
            <w:r>
              <w:rPr>
                <w:rFonts w:hint="eastAsia"/>
                <w:color w:val="auto"/>
                <w:highlight w:val="none"/>
                <w:lang w:val="en-US" w:eastAsia="zh-CN"/>
              </w:rPr>
              <w:t>（3）二氧化氯使用存在的风险</w:t>
            </w:r>
          </w:p>
          <w:p w14:paraId="2B0BE25E">
            <w:pPr>
              <w:pStyle w:val="120"/>
              <w:rPr>
                <w:rFonts w:hint="eastAsia"/>
                <w:color w:val="auto"/>
                <w:highlight w:val="none"/>
                <w:lang w:val="en-US" w:eastAsia="zh-CN"/>
              </w:rPr>
            </w:pPr>
            <w:r>
              <w:rPr>
                <w:rFonts w:hint="eastAsia"/>
                <w:color w:val="auto"/>
                <w:highlight w:val="none"/>
                <w:lang w:val="en-US" w:eastAsia="zh-CN"/>
              </w:rPr>
              <w:t>二氧化氯理化性质：二氧化氯具有强氧化性，空气中的体积浓度超过10%便有爆炸性，但其水溶液却是十分安全的。它能与许多化学物质发生爆炸性反应，对受热、震动、撞击、摩擦相当敏感，极易分解发生爆炸；二氧化氯有与氯气相似的刺激性气味，具有强烈刺激性，接触后主要引起眼和呼吸道刺激，吸入高浓度可发生肺水肿，能致死，对呼吸道产生严重损伤，高浓度的本品气体，可能对皮肤有刺激性。皮肤接触或摄入本品的高浓度溶液，可能引起强烈刺激和腐蚀，长期接触可导致慢性支气管炎。</w:t>
            </w:r>
          </w:p>
          <w:p w14:paraId="2CB80D52">
            <w:pPr>
              <w:pStyle w:val="120"/>
              <w:rPr>
                <w:rFonts w:hint="eastAsia"/>
                <w:color w:val="auto"/>
                <w:highlight w:val="none"/>
                <w:lang w:val="en-US" w:eastAsia="zh-CN"/>
              </w:rPr>
            </w:pPr>
            <w:r>
              <w:rPr>
                <w:rFonts w:hint="eastAsia"/>
                <w:color w:val="auto"/>
                <w:highlight w:val="none"/>
                <w:lang w:val="en-US" w:eastAsia="zh-CN"/>
              </w:rPr>
              <w:t>根据二氧化氯以上理化性质，可判定本项目在其使用过程中主要风险来自二氧化氯的制备过程、二氧化氯气体输送过程及发生器发生故障时。</w:t>
            </w:r>
          </w:p>
          <w:p w14:paraId="1800FE79">
            <w:pPr>
              <w:pStyle w:val="120"/>
              <w:rPr>
                <w:rFonts w:hint="eastAsia"/>
                <w:color w:val="auto"/>
                <w:highlight w:val="none"/>
                <w:lang w:val="en-US" w:eastAsia="zh-CN"/>
              </w:rPr>
            </w:pPr>
            <w:r>
              <w:rPr>
                <w:rFonts w:hint="eastAsia"/>
                <w:color w:val="auto"/>
                <w:highlight w:val="none"/>
                <w:lang w:val="en-US" w:eastAsia="zh-CN"/>
              </w:rPr>
              <w:t>1.二氧化氯制备风险</w:t>
            </w:r>
          </w:p>
          <w:p w14:paraId="6F7E23F4">
            <w:pPr>
              <w:pStyle w:val="120"/>
              <w:rPr>
                <w:rFonts w:hint="eastAsia"/>
                <w:color w:val="auto"/>
                <w:highlight w:val="none"/>
                <w:lang w:val="en-US" w:eastAsia="zh-CN"/>
              </w:rPr>
            </w:pPr>
            <w:r>
              <w:rPr>
                <w:rFonts w:hint="eastAsia"/>
                <w:color w:val="auto"/>
                <w:highlight w:val="none"/>
                <w:lang w:val="en-US" w:eastAsia="zh-CN"/>
              </w:rPr>
              <w:t>本项目采用氯酸钠与浓盐酸反应法制备二氧化氯，反应方程式为：2NaCIO</w:t>
            </w:r>
            <w:r>
              <w:rPr>
                <w:rFonts w:hint="eastAsia"/>
                <w:color w:val="auto"/>
                <w:highlight w:val="none"/>
                <w:vertAlign w:val="subscript"/>
                <w:lang w:val="en-US" w:eastAsia="zh-CN"/>
              </w:rPr>
              <w:t>3</w:t>
            </w:r>
            <w:r>
              <w:rPr>
                <w:rFonts w:hint="eastAsia"/>
                <w:color w:val="auto"/>
                <w:highlight w:val="none"/>
                <w:lang w:val="en-US" w:eastAsia="zh-CN"/>
              </w:rPr>
              <w:t>+4HCI(浓)=2NaCI+CL</w:t>
            </w:r>
            <w:r>
              <w:rPr>
                <w:rFonts w:hint="eastAsia"/>
                <w:color w:val="auto"/>
                <w:highlight w:val="none"/>
                <w:vertAlign w:val="subscript"/>
                <w:lang w:val="en-US" w:eastAsia="zh-CN"/>
              </w:rPr>
              <w:t>2</w:t>
            </w:r>
            <w:r>
              <w:rPr>
                <w:rFonts w:hint="default" w:ascii="Arial" w:hAnsi="Arial" w:cs="Arial"/>
                <w:color w:val="auto"/>
                <w:highlight w:val="none"/>
                <w:vertAlign w:val="baseline"/>
                <w:lang w:val="en-US" w:eastAsia="zh-CN"/>
              </w:rPr>
              <w:t>↑</w:t>
            </w:r>
            <w:r>
              <w:rPr>
                <w:rFonts w:hint="eastAsia"/>
                <w:color w:val="auto"/>
                <w:highlight w:val="none"/>
                <w:lang w:val="en-US" w:eastAsia="zh-CN"/>
              </w:rPr>
              <w:t>+2CIO</w:t>
            </w:r>
            <w:r>
              <w:rPr>
                <w:rFonts w:hint="eastAsia"/>
                <w:color w:val="auto"/>
                <w:highlight w:val="none"/>
                <w:vertAlign w:val="subscript"/>
                <w:lang w:val="en-US" w:eastAsia="zh-CN"/>
              </w:rPr>
              <w:t>2</w:t>
            </w:r>
            <w:r>
              <w:rPr>
                <w:rFonts w:hint="default" w:ascii="Arial" w:hAnsi="Arial" w:cs="Arial"/>
                <w:color w:val="auto"/>
                <w:highlight w:val="none"/>
                <w:lang w:val="en-US" w:eastAsia="zh-CN"/>
              </w:rPr>
              <w:t>↑</w:t>
            </w:r>
            <w:r>
              <w:rPr>
                <w:rFonts w:hint="eastAsia"/>
                <w:color w:val="auto"/>
                <w:highlight w:val="none"/>
                <w:lang w:val="en-US" w:eastAsia="zh-CN"/>
              </w:rPr>
              <w:t>+2H</w:t>
            </w:r>
            <w:r>
              <w:rPr>
                <w:rFonts w:hint="eastAsia"/>
                <w:color w:val="auto"/>
                <w:highlight w:val="none"/>
                <w:vertAlign w:val="subscript"/>
                <w:lang w:val="en-US" w:eastAsia="zh-CN"/>
              </w:rPr>
              <w:t>2</w:t>
            </w:r>
            <w:r>
              <w:rPr>
                <w:rFonts w:hint="eastAsia"/>
                <w:color w:val="auto"/>
                <w:highlight w:val="none"/>
                <w:lang w:val="en-US" w:eastAsia="zh-CN"/>
              </w:rPr>
              <w:t>O。产物为氯气及二氧化氯气体混合物，若温度过高或发生震动，容易分解发生爆炸，对发生器周围人身安全及环境卫生造成危害。</w:t>
            </w:r>
          </w:p>
          <w:p w14:paraId="0A2327A9">
            <w:pPr>
              <w:pStyle w:val="120"/>
              <w:rPr>
                <w:rFonts w:hint="eastAsia"/>
                <w:color w:val="auto"/>
                <w:highlight w:val="none"/>
                <w:lang w:val="en-US" w:eastAsia="zh-CN"/>
              </w:rPr>
            </w:pPr>
            <w:r>
              <w:rPr>
                <w:rFonts w:hint="eastAsia"/>
                <w:color w:val="auto"/>
                <w:highlight w:val="none"/>
                <w:lang w:val="en-US" w:eastAsia="zh-CN"/>
              </w:rPr>
              <w:t>2.二氧化氯输送过程风险</w:t>
            </w:r>
          </w:p>
          <w:p w14:paraId="37E78EF0">
            <w:pPr>
              <w:pStyle w:val="120"/>
              <w:rPr>
                <w:rFonts w:hint="eastAsia"/>
                <w:color w:val="auto"/>
                <w:highlight w:val="none"/>
                <w:lang w:val="en-US" w:eastAsia="zh-CN"/>
              </w:rPr>
            </w:pPr>
            <w:r>
              <w:rPr>
                <w:rFonts w:hint="eastAsia"/>
                <w:color w:val="auto"/>
                <w:highlight w:val="none"/>
                <w:lang w:val="en-US" w:eastAsia="zh-CN"/>
              </w:rPr>
              <w:t>二氧化氯及氯气混合气体在管道输送过程时，在阀门管线泄漏、泵设备故障、操作失误、仪表、电器失灵等情况下发生泄漏，二者均为有毒气体，危及污水处理设施附近工作人员及附近就诊病人的健康安全。其中尤以阀门损坏泄露最为严重，泄露量最大，危害最严重。</w:t>
            </w:r>
          </w:p>
          <w:p w14:paraId="33FA88F5">
            <w:pPr>
              <w:pStyle w:val="120"/>
              <w:rPr>
                <w:rFonts w:hint="eastAsia"/>
                <w:color w:val="auto"/>
                <w:highlight w:val="none"/>
                <w:lang w:val="en-US" w:eastAsia="zh-CN"/>
              </w:rPr>
            </w:pPr>
            <w:r>
              <w:rPr>
                <w:rFonts w:hint="eastAsia"/>
                <w:color w:val="auto"/>
                <w:highlight w:val="none"/>
                <w:lang w:val="en-US" w:eastAsia="zh-CN"/>
              </w:rPr>
              <w:t>3.二氧化氯发生器故障风险</w:t>
            </w:r>
          </w:p>
          <w:p w14:paraId="5B8254D7">
            <w:pPr>
              <w:pStyle w:val="120"/>
              <w:rPr>
                <w:rFonts w:hint="eastAsia"/>
                <w:color w:val="auto"/>
                <w:highlight w:val="none"/>
                <w:lang w:val="en-US" w:eastAsia="zh-CN"/>
              </w:rPr>
            </w:pPr>
            <w:r>
              <w:rPr>
                <w:rFonts w:hint="eastAsia"/>
                <w:color w:val="auto"/>
                <w:highlight w:val="none"/>
                <w:lang w:val="en-US" w:eastAsia="zh-CN"/>
              </w:rPr>
              <w:t>当二氧化氯发生器使用过程发生故障，如泄漏、堵塞等情况时，由于发生器中所盛二氧化氯与氯气混合气体具有毒性、易爆性。一旦故障发生，高浓度有毒混合气体进入环境空气，对人员及环境将造成严重影响。</w:t>
            </w:r>
          </w:p>
          <w:p w14:paraId="3793286C">
            <w:pPr>
              <w:pStyle w:val="120"/>
              <w:rPr>
                <w:rFonts w:hint="eastAsia"/>
                <w:color w:val="auto"/>
                <w:highlight w:val="none"/>
                <w:lang w:val="en-US" w:eastAsia="zh-CN"/>
              </w:rPr>
            </w:pPr>
            <w:r>
              <w:rPr>
                <w:rFonts w:hint="eastAsia"/>
                <w:color w:val="auto"/>
                <w:highlight w:val="none"/>
                <w:lang w:val="en-US" w:eastAsia="zh-CN"/>
              </w:rPr>
              <w:t>（1）二氧化氯发生器风险防范措施</w:t>
            </w:r>
          </w:p>
          <w:p w14:paraId="39A08C1B">
            <w:pPr>
              <w:pStyle w:val="120"/>
              <w:rPr>
                <w:rFonts w:hint="eastAsia"/>
                <w:color w:val="auto"/>
                <w:highlight w:val="none"/>
                <w:lang w:val="en-US" w:eastAsia="zh-CN"/>
              </w:rPr>
            </w:pPr>
            <w:r>
              <w:rPr>
                <w:rFonts w:hint="eastAsia"/>
                <w:color w:val="auto"/>
                <w:highlight w:val="none"/>
                <w:lang w:val="en-US" w:eastAsia="zh-CN"/>
              </w:rPr>
              <w:t>1.设计上采取的环境风险事故防范措施</w:t>
            </w:r>
          </w:p>
          <w:p w14:paraId="6732F6EE">
            <w:pPr>
              <w:pStyle w:val="120"/>
              <w:rPr>
                <w:rFonts w:hint="eastAsia"/>
                <w:color w:val="auto"/>
                <w:highlight w:val="none"/>
                <w:lang w:val="en-US" w:eastAsia="zh-CN"/>
              </w:rPr>
            </w:pPr>
            <w:r>
              <w:rPr>
                <w:rFonts w:hint="eastAsia"/>
                <w:color w:val="auto"/>
                <w:highlight w:val="none"/>
                <w:lang w:val="en-US" w:eastAsia="zh-CN"/>
              </w:rPr>
              <w:t>A.建议将两种药品分开设置，原料罐应采取密封和防腐防渗设计，防止挥发或泄漏，应严格控制水中二氧化氯浓度或建议采用臭氧或紫外线消毒，以降低环境风险。严格划分污水处理设施生产危险区域，根据二氧化氯制备特点，在保证安全、卫生的原则下进行平面布置，并考虑风向因素、安全防护距离。根据发生器间的爆炸和火灾危险等级，选用相应的防爆电气设备。</w:t>
            </w:r>
          </w:p>
          <w:p w14:paraId="69086CC2">
            <w:pPr>
              <w:pStyle w:val="120"/>
              <w:rPr>
                <w:rFonts w:hint="eastAsia"/>
                <w:color w:val="auto"/>
                <w:highlight w:val="none"/>
                <w:lang w:val="en-US" w:eastAsia="zh-CN"/>
              </w:rPr>
            </w:pPr>
            <w:r>
              <w:rPr>
                <w:rFonts w:hint="eastAsia"/>
                <w:color w:val="auto"/>
                <w:highlight w:val="none"/>
                <w:lang w:val="en-US" w:eastAsia="zh-CN"/>
              </w:rPr>
              <w:t>B.建筑物和构筑物按不同的防火等级和生产特点进行设计，二氧化氯制备发生器间采用封闭式建筑，并设置机械引风设施，加强通风排气，以防有害气体聚集。</w:t>
            </w:r>
          </w:p>
          <w:p w14:paraId="2644D0ED">
            <w:pPr>
              <w:pStyle w:val="120"/>
              <w:rPr>
                <w:rFonts w:hint="eastAsia"/>
                <w:color w:val="auto"/>
                <w:highlight w:val="none"/>
                <w:lang w:val="en-US" w:eastAsia="zh-CN"/>
              </w:rPr>
            </w:pPr>
            <w:r>
              <w:rPr>
                <w:rFonts w:hint="eastAsia"/>
                <w:color w:val="auto"/>
                <w:highlight w:val="none"/>
                <w:lang w:val="en-US" w:eastAsia="zh-CN"/>
              </w:rPr>
              <w:t>C.根据二氧化氯的性质，对其所使用的设备、管道等设置相应的防火、防爆、防毒、监测、报警等安全设施。</w:t>
            </w:r>
          </w:p>
          <w:p w14:paraId="193A296C">
            <w:pPr>
              <w:pStyle w:val="120"/>
              <w:rPr>
                <w:rFonts w:hint="eastAsia"/>
                <w:color w:val="auto"/>
                <w:highlight w:val="none"/>
                <w:lang w:val="en-US" w:eastAsia="zh-CN"/>
              </w:rPr>
            </w:pPr>
            <w:r>
              <w:rPr>
                <w:rFonts w:hint="eastAsia"/>
                <w:color w:val="auto"/>
                <w:highlight w:val="none"/>
                <w:lang w:val="en-US" w:eastAsia="zh-CN"/>
              </w:rPr>
              <w:t>D.二氧化氯制备发生器间在设计时，应按地震烈度VI度考虑，并充分考虑地震发生的安全措施。</w:t>
            </w:r>
          </w:p>
          <w:p w14:paraId="61E8D598">
            <w:pPr>
              <w:pStyle w:val="120"/>
              <w:rPr>
                <w:rFonts w:hint="eastAsia"/>
                <w:color w:val="auto"/>
                <w:highlight w:val="none"/>
                <w:lang w:val="en-US" w:eastAsia="zh-CN"/>
              </w:rPr>
            </w:pPr>
            <w:r>
              <w:rPr>
                <w:rFonts w:hint="eastAsia"/>
                <w:color w:val="auto"/>
                <w:highlight w:val="none"/>
                <w:lang w:val="en-US" w:eastAsia="zh-CN"/>
              </w:rPr>
              <w:t>E.在消毒池设置二氧化氯自动监测报警系统，当浓度超过设计的预警浓度时，控制室的警报系统自动报警，以便操作人员能及时查找原因，采取补救措施，防止发生事故。</w:t>
            </w:r>
          </w:p>
          <w:p w14:paraId="3B81513F">
            <w:pPr>
              <w:pStyle w:val="120"/>
              <w:rPr>
                <w:rFonts w:hint="eastAsia"/>
                <w:color w:val="auto"/>
                <w:highlight w:val="none"/>
                <w:lang w:val="en-US" w:eastAsia="zh-CN"/>
              </w:rPr>
            </w:pPr>
            <w:r>
              <w:rPr>
                <w:rFonts w:hint="eastAsia"/>
                <w:color w:val="auto"/>
                <w:highlight w:val="none"/>
                <w:lang w:val="en-US" w:eastAsia="zh-CN"/>
              </w:rPr>
              <w:t>2运行和管理方面的风险事故防范措施</w:t>
            </w:r>
          </w:p>
          <w:p w14:paraId="1E9DC406">
            <w:pPr>
              <w:pStyle w:val="120"/>
              <w:rPr>
                <w:rFonts w:hint="eastAsia"/>
                <w:color w:val="auto"/>
                <w:highlight w:val="none"/>
                <w:lang w:val="en-US" w:eastAsia="zh-CN"/>
              </w:rPr>
            </w:pPr>
            <w:r>
              <w:rPr>
                <w:rFonts w:hint="eastAsia"/>
                <w:color w:val="auto"/>
                <w:highlight w:val="none"/>
                <w:lang w:val="en-US" w:eastAsia="zh-CN"/>
              </w:rPr>
              <w:t>A.二氧化氯制备间配备有防毒口罩、面具、眼镜、防护服、防护靴及防护手套等个人防护用具，在有可能接触的场所就近设置水龙头、安全淋浴和洗眼器，以便灼烧时能及时自救。</w:t>
            </w:r>
          </w:p>
          <w:p w14:paraId="2A2D4537">
            <w:pPr>
              <w:pStyle w:val="120"/>
              <w:rPr>
                <w:rFonts w:hint="eastAsia"/>
                <w:color w:val="auto"/>
                <w:highlight w:val="none"/>
                <w:lang w:val="en-US" w:eastAsia="zh-CN"/>
              </w:rPr>
            </w:pPr>
            <w:r>
              <w:rPr>
                <w:rFonts w:hint="eastAsia"/>
                <w:color w:val="auto"/>
                <w:highlight w:val="none"/>
                <w:lang w:val="en-US" w:eastAsia="zh-CN"/>
              </w:rPr>
              <w:t>B.严格执行二氧化氯制备设备的维护保养，定期对制备设备、输送管道、仪表、阀门、安全装置等进行检查和校验。</w:t>
            </w:r>
          </w:p>
          <w:p w14:paraId="0FB1B850">
            <w:pPr>
              <w:pStyle w:val="120"/>
              <w:rPr>
                <w:rFonts w:hint="eastAsia"/>
                <w:color w:val="auto"/>
                <w:highlight w:val="none"/>
                <w:lang w:val="en-US" w:eastAsia="zh-CN"/>
              </w:rPr>
            </w:pPr>
            <w:r>
              <w:rPr>
                <w:rFonts w:hint="eastAsia"/>
                <w:color w:val="auto"/>
                <w:highlight w:val="none"/>
                <w:lang w:val="en-US" w:eastAsia="zh-CN"/>
              </w:rPr>
              <w:t>C.二氧化氯投放采用先进的自动化系统，有效控制生产过程，当发生事故时能及时反馈信息、及时停车，减少因事故造成的消毒气体泄漏。</w:t>
            </w:r>
          </w:p>
          <w:p w14:paraId="52310798">
            <w:pPr>
              <w:pStyle w:val="120"/>
              <w:rPr>
                <w:rFonts w:hint="eastAsia"/>
                <w:color w:val="auto"/>
                <w:highlight w:val="none"/>
                <w:lang w:val="en-US" w:eastAsia="zh-CN"/>
              </w:rPr>
            </w:pPr>
            <w:r>
              <w:rPr>
                <w:rFonts w:hint="eastAsia"/>
                <w:color w:val="auto"/>
                <w:highlight w:val="none"/>
                <w:lang w:val="en-US" w:eastAsia="zh-CN"/>
              </w:rPr>
              <w:t>D.严格执行操作规程，坚守岗位，密切注视消毒投药的工艺参数变化，发现异常应及时报告，并采取行之有效的措施。</w:t>
            </w:r>
          </w:p>
          <w:p w14:paraId="2F737625">
            <w:pPr>
              <w:pStyle w:val="120"/>
              <w:rPr>
                <w:rFonts w:hint="eastAsia"/>
                <w:color w:val="auto"/>
                <w:highlight w:val="none"/>
                <w:lang w:val="en-US" w:eastAsia="zh-CN"/>
              </w:rPr>
            </w:pPr>
            <w:r>
              <w:rPr>
                <w:rFonts w:hint="eastAsia"/>
                <w:color w:val="auto"/>
                <w:highlight w:val="none"/>
                <w:lang w:val="en-US" w:eastAsia="zh-CN"/>
              </w:rPr>
              <w:t>E.操作中加强巡回检查，对出现的泄露，及时发现立即清除，暂时不能清除的要采取有效的应急措施，以免扩大或发生灾难性的事故。</w:t>
            </w:r>
          </w:p>
          <w:p w14:paraId="705AD927">
            <w:pPr>
              <w:pStyle w:val="5"/>
              <w:keepNext/>
              <w:keepLines/>
              <w:pageBreakBefore w:val="0"/>
              <w:widowControl w:val="0"/>
              <w:numPr>
                <w:ilvl w:val="3"/>
                <w:numId w:val="13"/>
              </w:numPr>
              <w:tabs>
                <w:tab w:val="left" w:pos="0"/>
              </w:tabs>
              <w:kinsoku/>
              <w:wordWrap/>
              <w:overflowPunct/>
              <w:topLinePunct w:val="0"/>
              <w:autoSpaceDE/>
              <w:autoSpaceDN/>
              <w:bidi w:val="0"/>
              <w:adjustRightInd/>
              <w:snapToGrid/>
              <w:spacing w:before="157" w:beforeLines="50"/>
              <w:ind w:left="862" w:leftChars="0" w:hanging="862" w:firstLineChars="0"/>
              <w:textAlignment w:val="auto"/>
              <w:rPr>
                <w:rFonts w:hint="eastAsia"/>
                <w:color w:val="auto"/>
                <w:lang w:val="en-US" w:eastAsia="zh-CN"/>
              </w:rPr>
            </w:pPr>
            <w:r>
              <w:rPr>
                <w:rFonts w:hint="eastAsia" w:ascii="Times New Roman" w:hAnsi="Times New Roman" w:eastAsia="宋体" w:cs="Times New Roman"/>
                <w:color w:val="auto"/>
                <w:highlight w:val="none"/>
                <w:lang w:val="en-US" w:eastAsia="zh-CN"/>
              </w:rPr>
              <w:t>环境风险防范措施及应急要求</w:t>
            </w:r>
          </w:p>
          <w:p w14:paraId="19DCA4D7">
            <w:pPr>
              <w:pStyle w:val="120"/>
              <w:rPr>
                <w:rFonts w:hint="eastAsia"/>
                <w:color w:val="auto"/>
                <w:highlight w:val="none"/>
                <w:lang w:val="en-US" w:eastAsia="zh-CN"/>
              </w:rPr>
            </w:pPr>
            <w:r>
              <w:rPr>
                <w:rFonts w:hint="eastAsia"/>
                <w:color w:val="auto"/>
                <w:highlight w:val="none"/>
                <w:lang w:val="en-US" w:eastAsia="zh-CN"/>
              </w:rPr>
              <w:t>（1）废水处理系统风险防范措施</w:t>
            </w:r>
          </w:p>
          <w:p w14:paraId="35FE53ED">
            <w:pPr>
              <w:pStyle w:val="120"/>
              <w:rPr>
                <w:rFonts w:hint="eastAsia"/>
                <w:color w:val="auto"/>
                <w:highlight w:val="none"/>
                <w:lang w:val="en-US" w:eastAsia="zh-CN"/>
              </w:rPr>
            </w:pPr>
            <w:r>
              <w:rPr>
                <w:rFonts w:hint="eastAsia"/>
                <w:color w:val="auto"/>
                <w:highlight w:val="none"/>
                <w:lang w:val="en-US" w:eastAsia="zh-CN"/>
              </w:rPr>
              <w:t>1加强污水处理设施的运行管理，制定规范的操作规程，并严格执行。操作人员应及时调整运行参数，使设备处于最佳工况，以确保处理效果最佳。一旦出现事故性排放应及时停止生产操作，待修复后再进行生产。</w:t>
            </w:r>
          </w:p>
          <w:p w14:paraId="0D811C6E">
            <w:pPr>
              <w:pStyle w:val="120"/>
              <w:rPr>
                <w:rFonts w:hint="eastAsia"/>
                <w:color w:val="auto"/>
                <w:highlight w:val="none"/>
                <w:lang w:val="en-US" w:eastAsia="zh-CN"/>
              </w:rPr>
            </w:pPr>
            <w:r>
              <w:rPr>
                <w:rFonts w:hint="eastAsia"/>
                <w:color w:val="auto"/>
                <w:highlight w:val="none"/>
                <w:lang w:val="en-US" w:eastAsia="zh-CN"/>
              </w:rPr>
              <w:t>2加强对污水处理设施、污水收集系统的定期检修、维护保养，及时处理隐患，确保废水处理系统、收集系统正常运行。</w:t>
            </w:r>
          </w:p>
          <w:p w14:paraId="55B3C46A">
            <w:pPr>
              <w:pStyle w:val="120"/>
              <w:rPr>
                <w:rFonts w:hint="eastAsia"/>
                <w:color w:val="auto"/>
                <w:highlight w:val="none"/>
                <w:lang w:val="en-US" w:eastAsia="zh-CN"/>
              </w:rPr>
            </w:pPr>
            <w:r>
              <w:rPr>
                <w:rFonts w:hint="eastAsia"/>
                <w:color w:val="auto"/>
                <w:highlight w:val="none"/>
                <w:lang w:val="en-US" w:eastAsia="zh-CN"/>
              </w:rPr>
              <w:t>3废水处理设施使用的机械电器、仪表，必须选择质量优良、故障率低、便于维修的产品。关键设备一备一用，易损配件应有备用，在出现故障时应尽快更换。</w:t>
            </w:r>
          </w:p>
          <w:p w14:paraId="780FE6CB">
            <w:pPr>
              <w:pStyle w:val="120"/>
              <w:rPr>
                <w:rFonts w:hint="eastAsia"/>
                <w:color w:val="auto"/>
                <w:highlight w:val="none"/>
                <w:lang w:val="en-US" w:eastAsia="zh-CN"/>
              </w:rPr>
            </w:pPr>
            <w:r>
              <w:rPr>
                <w:rFonts w:hint="eastAsia"/>
                <w:color w:val="auto"/>
                <w:highlight w:val="none"/>
                <w:lang w:val="en-US" w:eastAsia="zh-CN"/>
              </w:rPr>
              <w:t>（2）医疗废物的防范措施</w:t>
            </w:r>
          </w:p>
          <w:p w14:paraId="22753E2D">
            <w:pPr>
              <w:pStyle w:val="120"/>
              <w:rPr>
                <w:rFonts w:hint="eastAsia"/>
                <w:color w:val="auto"/>
                <w:highlight w:val="none"/>
                <w:lang w:val="en-US" w:eastAsia="zh-CN"/>
              </w:rPr>
            </w:pPr>
            <w:r>
              <w:rPr>
                <w:rFonts w:hint="eastAsia"/>
                <w:color w:val="auto"/>
                <w:highlight w:val="none"/>
                <w:lang w:val="en-US" w:eastAsia="zh-CN"/>
              </w:rPr>
              <w:t>项目营运期间医疗废物必须经科学分类收集、贮存。鉴于医疗废物的极大危害性，该项目在收集、贮存、运送医疗废物的过程中存在一定的风险。为保证项目产生的医疗废物得到有效处置，使其风险减少到最低程度，而不会对周围环境造成不良影响，应具体采取如下措施进行防范：</w:t>
            </w:r>
          </w:p>
          <w:p w14:paraId="683B5DFD">
            <w:pPr>
              <w:pStyle w:val="120"/>
              <w:rPr>
                <w:rFonts w:hint="eastAsia"/>
                <w:color w:val="auto"/>
                <w:highlight w:val="none"/>
                <w:lang w:val="en-US" w:eastAsia="zh-CN"/>
              </w:rPr>
            </w:pPr>
            <w:r>
              <w:rPr>
                <w:rFonts w:hint="eastAsia"/>
                <w:color w:val="auto"/>
                <w:highlight w:val="none"/>
                <w:lang w:val="en-US" w:eastAsia="zh-CN"/>
              </w:rPr>
              <w:t>A：收集过程</w:t>
            </w:r>
          </w:p>
          <w:p w14:paraId="453D6442">
            <w:pPr>
              <w:pStyle w:val="120"/>
              <w:rPr>
                <w:rFonts w:hint="eastAsia"/>
                <w:color w:val="auto"/>
                <w:highlight w:val="none"/>
                <w:lang w:val="en-US" w:eastAsia="zh-CN"/>
              </w:rPr>
            </w:pPr>
            <w:r>
              <w:rPr>
                <w:rFonts w:hint="eastAsia"/>
                <w:color w:val="auto"/>
                <w:highlight w:val="none"/>
                <w:lang w:val="en-US" w:eastAsia="zh-CN"/>
              </w:rPr>
              <w:t>1及时收集本项目产生的医疗废物，并按照类别分置于防渗漏、防锐器穿透的专用包装物或者密闭的容器内。</w:t>
            </w:r>
          </w:p>
          <w:p w14:paraId="716B5EBE">
            <w:pPr>
              <w:pStyle w:val="120"/>
              <w:rPr>
                <w:rFonts w:hint="eastAsia"/>
                <w:color w:val="auto"/>
                <w:highlight w:val="none"/>
                <w:lang w:val="en-US" w:eastAsia="zh-CN"/>
              </w:rPr>
            </w:pPr>
            <w:r>
              <w:rPr>
                <w:rFonts w:hint="eastAsia"/>
                <w:color w:val="auto"/>
                <w:highlight w:val="none"/>
                <w:lang w:val="en-US" w:eastAsia="zh-CN"/>
              </w:rPr>
              <w:t>2医疗废物专用包装物、容器，应当有明显的警示标识和警示说明。医疗废物专用包装物、容器的标准和警示标识的规定，按国务院卫生行政主管部门和环境保护行政主管部门等规定执行。</w:t>
            </w:r>
          </w:p>
          <w:p w14:paraId="0524EE81">
            <w:pPr>
              <w:pStyle w:val="120"/>
              <w:rPr>
                <w:rFonts w:hint="eastAsia"/>
                <w:color w:val="auto"/>
                <w:highlight w:val="none"/>
                <w:lang w:val="en-US" w:eastAsia="zh-CN"/>
              </w:rPr>
            </w:pPr>
            <w:r>
              <w:rPr>
                <w:rFonts w:hint="eastAsia"/>
                <w:color w:val="auto"/>
                <w:highlight w:val="none"/>
                <w:lang w:val="en-US" w:eastAsia="zh-CN"/>
              </w:rPr>
              <w:t>B：存放过程</w:t>
            </w:r>
          </w:p>
          <w:p w14:paraId="2B8BC6FC">
            <w:pPr>
              <w:pStyle w:val="120"/>
              <w:rPr>
                <w:rFonts w:hint="eastAsia"/>
                <w:color w:val="auto"/>
                <w:highlight w:val="none"/>
                <w:lang w:val="en-US" w:eastAsia="zh-CN"/>
              </w:rPr>
            </w:pPr>
            <w:r>
              <w:rPr>
                <w:rFonts w:hint="eastAsia"/>
                <w:color w:val="auto"/>
                <w:highlight w:val="none"/>
                <w:lang w:val="en-US" w:eastAsia="zh-CN"/>
              </w:rPr>
              <w:t>1应当建立医疗废物的贮存设施、设备，不得露天存放医疗废物：医院产生的临床废物，必须当日消毒，消毒后装入容器。常温下贮存期不得超过2天，低于5摄氏度以下冷藏的，不得超过7天。</w:t>
            </w:r>
          </w:p>
          <w:p w14:paraId="24ED0136">
            <w:pPr>
              <w:pStyle w:val="120"/>
              <w:rPr>
                <w:rFonts w:hint="eastAsia"/>
                <w:color w:val="auto"/>
                <w:highlight w:val="none"/>
                <w:lang w:val="en-US" w:eastAsia="zh-CN"/>
              </w:rPr>
            </w:pPr>
            <w:r>
              <w:rPr>
                <w:rFonts w:hint="eastAsia"/>
                <w:color w:val="auto"/>
                <w:highlight w:val="none"/>
                <w:lang w:val="en-US" w:eastAsia="zh-CN"/>
              </w:rPr>
              <w:t>2医疗废物的暂时贮存设施、设备，应当远离医疗区、食品加工区和人员活动区且同生活垃圾存放场所分开，并设置明显的警示标识和防渗漏、防鼠、防蚊蝇、防蟑螂、防盗以及预防儿童接触等安全措施。</w:t>
            </w:r>
          </w:p>
          <w:p w14:paraId="4B7091E4">
            <w:pPr>
              <w:pStyle w:val="120"/>
              <w:rPr>
                <w:rFonts w:hint="eastAsia"/>
                <w:color w:val="auto"/>
                <w:highlight w:val="none"/>
                <w:lang w:val="en-US" w:eastAsia="zh-CN"/>
              </w:rPr>
            </w:pPr>
            <w:r>
              <w:rPr>
                <w:rFonts w:hint="eastAsia"/>
                <w:color w:val="auto"/>
                <w:highlight w:val="none"/>
                <w:lang w:val="en-US" w:eastAsia="zh-CN"/>
              </w:rPr>
              <w:t>3医疗废物的暂时贮存设施、设备应当定期消毒和清洁。</w:t>
            </w:r>
          </w:p>
          <w:p w14:paraId="0453F569">
            <w:pPr>
              <w:pStyle w:val="120"/>
              <w:rPr>
                <w:rFonts w:hint="eastAsia"/>
                <w:color w:val="auto"/>
                <w:highlight w:val="none"/>
                <w:lang w:val="en-US" w:eastAsia="zh-CN"/>
              </w:rPr>
            </w:pPr>
            <w:r>
              <w:rPr>
                <w:rFonts w:hint="eastAsia"/>
                <w:color w:val="auto"/>
                <w:highlight w:val="none"/>
                <w:lang w:val="en-US" w:eastAsia="zh-CN"/>
              </w:rPr>
              <w:t>C：运输过程</w:t>
            </w:r>
          </w:p>
          <w:p w14:paraId="50B33433">
            <w:pPr>
              <w:pStyle w:val="120"/>
              <w:rPr>
                <w:rFonts w:hint="eastAsia"/>
                <w:color w:val="auto"/>
                <w:highlight w:val="none"/>
                <w:lang w:val="en-US" w:eastAsia="zh-CN"/>
              </w:rPr>
            </w:pPr>
            <w:r>
              <w:rPr>
                <w:rFonts w:hint="eastAsia"/>
                <w:color w:val="auto"/>
                <w:highlight w:val="none"/>
                <w:lang w:val="en-US" w:eastAsia="zh-CN"/>
              </w:rPr>
              <w:t>1危废处置单位应当使用防渗漏、防遗撒的专用运送工具，按照本单位确定的内部医疗废物运送时间、路线，将医疗废物收集、运送至暂时贮存地点。2运送工具使用后应当在医疗卫生机构内指定的地点及时消毒和清洁。3应当根据就近集中处置的原则，及时将医疗废物交由医疗废物集中处置单位处</w:t>
            </w:r>
          </w:p>
          <w:p w14:paraId="34282056">
            <w:pPr>
              <w:pStyle w:val="120"/>
              <w:rPr>
                <w:rFonts w:hint="eastAsia"/>
                <w:color w:val="auto"/>
                <w:highlight w:val="none"/>
                <w:lang w:val="en-US" w:eastAsia="zh-CN"/>
              </w:rPr>
            </w:pPr>
            <w:r>
              <w:rPr>
                <w:rFonts w:hint="eastAsia"/>
                <w:color w:val="auto"/>
                <w:highlight w:val="none"/>
                <w:lang w:val="en-US" w:eastAsia="zh-CN"/>
              </w:rPr>
              <w:t>4禁止在运送过程中丢弃医疗废物；禁止在非贮存地点倾倒、堆放医疗废物或者将医疗废物混入其他废物和生活垃圾。</w:t>
            </w:r>
          </w:p>
          <w:p w14:paraId="4FE2CB3A">
            <w:pPr>
              <w:pStyle w:val="120"/>
              <w:rPr>
                <w:rFonts w:hint="eastAsia"/>
                <w:color w:val="auto"/>
                <w:highlight w:val="none"/>
                <w:lang w:val="en-US" w:eastAsia="zh-CN"/>
              </w:rPr>
            </w:pPr>
            <w:r>
              <w:rPr>
                <w:rFonts w:hint="eastAsia"/>
                <w:color w:val="auto"/>
                <w:highlight w:val="none"/>
                <w:lang w:val="en-US" w:eastAsia="zh-CN"/>
              </w:rPr>
              <w:t>5有陆路通道的，禁止通过水路运输医疗废物；没有陆路通道必须经水路运输医疗废物的，应当经设区的市级以上人民政府环境保护行政主管部门批准，并采取严格的环境保护措施后，方可通过水路运输。</w:t>
            </w:r>
          </w:p>
          <w:p w14:paraId="11B203F7">
            <w:pPr>
              <w:pStyle w:val="120"/>
              <w:rPr>
                <w:rFonts w:hint="eastAsia"/>
                <w:color w:val="auto"/>
                <w:highlight w:val="none"/>
                <w:lang w:val="en-US" w:eastAsia="zh-CN"/>
              </w:rPr>
            </w:pPr>
            <w:r>
              <w:rPr>
                <w:rFonts w:hint="eastAsia"/>
                <w:color w:val="auto"/>
                <w:highlight w:val="none"/>
                <w:lang w:val="en-US" w:eastAsia="zh-CN"/>
              </w:rPr>
              <w:t>6禁止在饮用水源保护区的水体上运输医疗废物。</w:t>
            </w:r>
          </w:p>
          <w:p w14:paraId="5F0B2183">
            <w:pPr>
              <w:pStyle w:val="120"/>
              <w:rPr>
                <w:rFonts w:hint="eastAsia"/>
                <w:color w:val="auto"/>
                <w:highlight w:val="none"/>
                <w:lang w:val="en-US" w:eastAsia="zh-CN"/>
              </w:rPr>
            </w:pPr>
            <w:r>
              <w:rPr>
                <w:rFonts w:hint="eastAsia"/>
                <w:color w:val="auto"/>
                <w:highlight w:val="none"/>
                <w:lang w:val="en-US" w:eastAsia="zh-CN"/>
              </w:rPr>
              <w:t>（3）应急预案</w:t>
            </w:r>
          </w:p>
          <w:p w14:paraId="0918A836">
            <w:pPr>
              <w:pStyle w:val="120"/>
              <w:rPr>
                <w:rFonts w:hint="eastAsia"/>
                <w:color w:val="auto"/>
                <w:highlight w:val="none"/>
                <w:lang w:val="en-US" w:eastAsia="zh-CN"/>
              </w:rPr>
            </w:pPr>
            <w:r>
              <w:rPr>
                <w:rFonts w:hint="eastAsia"/>
                <w:color w:val="auto"/>
                <w:highlight w:val="none"/>
                <w:lang w:val="en-US" w:eastAsia="zh-CN"/>
              </w:rPr>
              <w:t>为有效防范突发环境事件的发生，及时、合理处置可能发生的各类重大特大环境污染事故，保障人民群众身心健康及正常生产、生活活动，项目应按照《企业事业单位突发环境事件应急预案备案管理办法（试行）》（环发〔2015〕4号），根据存在的风险源项，编制突发环境事件应急预案并上报生态环境部门备案。</w:t>
            </w:r>
          </w:p>
          <w:p w14:paraId="2DC3A1C2">
            <w:pPr>
              <w:pStyle w:val="120"/>
              <w:rPr>
                <w:rFonts w:hint="eastAsia"/>
                <w:color w:val="auto"/>
                <w:highlight w:val="none"/>
                <w:lang w:val="en-US" w:eastAsia="zh-CN"/>
              </w:rPr>
            </w:pPr>
            <w:r>
              <w:rPr>
                <w:rFonts w:hint="eastAsia"/>
                <w:color w:val="auto"/>
                <w:highlight w:val="none"/>
                <w:lang w:val="en-US" w:eastAsia="zh-CN"/>
              </w:rPr>
              <w:t>（4）事故应急池</w:t>
            </w:r>
          </w:p>
          <w:p w14:paraId="6EB56E13">
            <w:pPr>
              <w:pStyle w:val="120"/>
              <w:rPr>
                <w:rFonts w:hint="eastAsia"/>
                <w:color w:val="auto"/>
                <w:highlight w:val="none"/>
                <w:lang w:val="en-US" w:eastAsia="zh-CN"/>
              </w:rPr>
            </w:pPr>
            <w:r>
              <w:rPr>
                <w:rFonts w:hint="eastAsia"/>
                <w:color w:val="auto"/>
                <w:highlight w:val="none"/>
                <w:lang w:val="en-US" w:eastAsia="zh-CN"/>
              </w:rPr>
              <w:t>根据《医院污水处理工程技术规范》（HJ2029-2013）：“12.4.1、医院污水处理工程应设应急事故池，以贮存处理系统事故或其他突发事件时医院污水。传染病医院污水处理工程应急事故池容积不小于日排放量的100%，非传染病医院污水处理工程应急事故池容积不小于日排放量的30%。”，本项目不属于传染病专科医院，但属于设置传染病科室的综合医院，因此建议事故应急池的容积按不小于日排放量的100%进行核定，本项目废水排放量为116.306‬m</w:t>
            </w:r>
            <w:r>
              <w:rPr>
                <w:rFonts w:hint="eastAsia"/>
                <w:color w:val="auto"/>
                <w:highlight w:val="none"/>
                <w:vertAlign w:val="superscript"/>
                <w:lang w:val="en-US" w:eastAsia="zh-CN"/>
              </w:rPr>
              <w:t>3</w:t>
            </w:r>
            <w:r>
              <w:rPr>
                <w:rFonts w:hint="eastAsia"/>
                <w:color w:val="auto"/>
                <w:highlight w:val="none"/>
                <w:lang w:val="en-US" w:eastAsia="zh-CN"/>
              </w:rPr>
              <w:t>/d，因此，项目应新建容积至少为116.306m</w:t>
            </w:r>
            <w:r>
              <w:rPr>
                <w:rFonts w:hint="eastAsia"/>
                <w:color w:val="auto"/>
                <w:highlight w:val="none"/>
                <w:vertAlign w:val="superscript"/>
                <w:lang w:val="en-US" w:eastAsia="zh-CN"/>
              </w:rPr>
              <w:t>3</w:t>
            </w:r>
            <w:r>
              <w:rPr>
                <w:rFonts w:hint="eastAsia"/>
                <w:color w:val="auto"/>
                <w:highlight w:val="none"/>
                <w:lang w:val="en-US" w:eastAsia="zh-CN"/>
              </w:rPr>
              <w:t>/d的应急事故池，以应对事故状态废水处理要求。</w:t>
            </w:r>
          </w:p>
          <w:p w14:paraId="7D4BF2D7">
            <w:pPr>
              <w:pStyle w:val="120"/>
              <w:rPr>
                <w:rFonts w:hint="eastAsia"/>
                <w:color w:val="auto"/>
                <w:highlight w:val="none"/>
                <w:lang w:val="en-US" w:eastAsia="zh-CN"/>
              </w:rPr>
            </w:pPr>
            <w:r>
              <w:rPr>
                <w:rFonts w:hint="eastAsia"/>
                <w:color w:val="auto"/>
                <w:highlight w:val="none"/>
                <w:lang w:val="en-US" w:eastAsia="zh-CN"/>
              </w:rPr>
              <w:t>当污水处理设施出现故障时，应立即检修，产生的所有废水可以先排入污水处理站的事故应急临时贮存，污水处理站总排口与市政管网之间要安装截止阀，当污水处理站运行不正常时，应启用污水总排口截止阀，确保废水控制在医院内，不进入市政污水管网，不会排放到周边水体。</w:t>
            </w:r>
          </w:p>
          <w:p w14:paraId="4B2CECD2">
            <w:pPr>
              <w:pStyle w:val="120"/>
              <w:rPr>
                <w:rFonts w:hint="eastAsia"/>
                <w:color w:val="auto"/>
                <w:highlight w:val="none"/>
                <w:lang w:val="en-US" w:eastAsia="zh-CN"/>
              </w:rPr>
            </w:pPr>
            <w:r>
              <w:rPr>
                <w:rFonts w:hint="eastAsia"/>
                <w:color w:val="auto"/>
                <w:highlight w:val="none"/>
                <w:lang w:val="en-US" w:eastAsia="zh-CN"/>
              </w:rPr>
              <w:t>本项目建设完成后，医院应根据本项目的污染物特点，关注本项目可能产生的环境风险，完善风险源及风险防范措施，编制应急预案。</w:t>
            </w:r>
          </w:p>
          <w:p w14:paraId="3CBF3CE9">
            <w:pPr>
              <w:pStyle w:val="4"/>
              <w:numPr>
                <w:ilvl w:val="2"/>
                <w:numId w:val="1"/>
              </w:numPr>
              <w:bidi w:val="0"/>
              <w:ind w:left="720" w:leftChars="0" w:hanging="72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环境风险</w:t>
            </w:r>
            <w:r>
              <w:rPr>
                <w:rFonts w:hint="eastAsia" w:cs="Times New Roman"/>
                <w:color w:val="auto"/>
                <w:highlight w:val="none"/>
                <w:lang w:val="en-US" w:eastAsia="zh-CN"/>
              </w:rPr>
              <w:t>应急预案</w:t>
            </w:r>
          </w:p>
          <w:p w14:paraId="615DFF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项目环境风险的突发性事故应急救援预案详见表</w:t>
            </w:r>
            <w:r>
              <w:rPr>
                <w:rFonts w:hint="eastAsia" w:cs="Times New Roman"/>
                <w:color w:val="auto"/>
                <w:kern w:val="2"/>
                <w:sz w:val="24"/>
                <w:szCs w:val="24"/>
                <w:highlight w:val="none"/>
                <w:lang w:val="en-US" w:eastAsia="zh-CN" w:bidi="ar-SA"/>
              </w:rPr>
              <w:t>4.7-3</w:t>
            </w:r>
          </w:p>
          <w:p w14:paraId="6AA0A269">
            <w:pPr>
              <w:pStyle w:val="44"/>
              <w:keepNext/>
              <w:keepLines/>
              <w:pageBreakBefore w:val="0"/>
              <w:widowControl w:val="0"/>
              <w:numPr>
                <w:ilvl w:val="7"/>
                <w:numId w:val="10"/>
              </w:numPr>
              <w:tabs>
                <w:tab w:val="left" w:pos="0"/>
              </w:tabs>
              <w:kinsoku/>
              <w:wordWrap/>
              <w:overflowPunct/>
              <w:topLinePunct w:val="0"/>
              <w:autoSpaceDE/>
              <w:autoSpaceDN/>
              <w:bidi w:val="0"/>
              <w:adjustRightInd/>
              <w:snapToGrid/>
              <w:spacing w:before="0" w:after="0"/>
              <w:ind w:left="630" w:leftChars="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 突发事件应急预案主要内容及要点</w:t>
            </w:r>
          </w:p>
          <w:tbl>
            <w:tblPr>
              <w:tblStyle w:val="3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0"/>
              <w:gridCol w:w="2053"/>
              <w:gridCol w:w="6003"/>
            </w:tblGrid>
            <w:tr w14:paraId="35668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87" w:type="pct"/>
                  <w:tcBorders>
                    <w:top w:val="single" w:color="000000" w:sz="12" w:space="0"/>
                    <w:left w:val="single" w:color="000000" w:sz="4" w:space="0"/>
                    <w:bottom w:val="single" w:color="000000" w:sz="12" w:space="0"/>
                    <w:right w:val="single" w:color="000000" w:sz="4" w:space="0"/>
                  </w:tcBorders>
                  <w:shd w:val="clear" w:color="auto" w:fill="auto"/>
                  <w:vAlign w:val="center"/>
                </w:tcPr>
                <w:p w14:paraId="0806FD17">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序号</w:t>
                  </w:r>
                </w:p>
              </w:tc>
              <w:tc>
                <w:tcPr>
                  <w:tcW w:w="1150" w:type="pct"/>
                  <w:tcBorders>
                    <w:top w:val="single" w:color="000000" w:sz="12" w:space="0"/>
                    <w:left w:val="single" w:color="000000" w:sz="4" w:space="0"/>
                    <w:bottom w:val="single" w:color="000000" w:sz="12" w:space="0"/>
                    <w:right w:val="single" w:color="000000" w:sz="4" w:space="0"/>
                  </w:tcBorders>
                  <w:shd w:val="clear" w:color="auto" w:fill="auto"/>
                  <w:vAlign w:val="center"/>
                </w:tcPr>
                <w:p w14:paraId="1765CA01">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项目</w:t>
                  </w:r>
                </w:p>
              </w:tc>
              <w:tc>
                <w:tcPr>
                  <w:tcW w:w="3362" w:type="pct"/>
                  <w:tcBorders>
                    <w:top w:val="single" w:color="000000" w:sz="12" w:space="0"/>
                    <w:left w:val="single" w:color="000000" w:sz="4" w:space="0"/>
                    <w:bottom w:val="single" w:color="000000" w:sz="12" w:space="0"/>
                    <w:right w:val="nil"/>
                  </w:tcBorders>
                  <w:shd w:val="clear" w:color="auto" w:fill="auto"/>
                  <w:vAlign w:val="center"/>
                </w:tcPr>
                <w:p w14:paraId="0E5654F2">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内容及要求</w:t>
                  </w:r>
                </w:p>
              </w:tc>
            </w:tr>
            <w:tr w14:paraId="17E86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87" w:type="pct"/>
                  <w:tcBorders>
                    <w:top w:val="single" w:color="000000" w:sz="12" w:space="0"/>
                    <w:left w:val="nil"/>
                    <w:bottom w:val="single" w:color="000000" w:sz="4" w:space="0"/>
                    <w:right w:val="single" w:color="000000" w:sz="4" w:space="0"/>
                  </w:tcBorders>
                  <w:shd w:val="clear" w:color="auto" w:fill="auto"/>
                  <w:vAlign w:val="center"/>
                </w:tcPr>
                <w:p w14:paraId="1A23DD88">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1</w:t>
                  </w:r>
                </w:p>
              </w:tc>
              <w:tc>
                <w:tcPr>
                  <w:tcW w:w="1150" w:type="pct"/>
                  <w:tcBorders>
                    <w:top w:val="single" w:color="000000" w:sz="12" w:space="0"/>
                    <w:left w:val="single" w:color="000000" w:sz="4" w:space="0"/>
                    <w:bottom w:val="single" w:color="000000" w:sz="4" w:space="0"/>
                    <w:right w:val="single" w:color="000000" w:sz="4" w:space="0"/>
                  </w:tcBorders>
                  <w:shd w:val="clear" w:color="auto" w:fill="auto"/>
                  <w:vAlign w:val="center"/>
                </w:tcPr>
                <w:p w14:paraId="5F2453C2">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总则</w:t>
                  </w:r>
                </w:p>
              </w:tc>
              <w:tc>
                <w:tcPr>
                  <w:tcW w:w="3362" w:type="pct"/>
                  <w:tcBorders>
                    <w:top w:val="single" w:color="000000" w:sz="12" w:space="0"/>
                    <w:left w:val="single" w:color="000000" w:sz="4" w:space="0"/>
                    <w:bottom w:val="single" w:color="000000" w:sz="4" w:space="0"/>
                    <w:right w:val="nil"/>
                  </w:tcBorders>
                  <w:shd w:val="clear" w:color="auto" w:fill="auto"/>
                  <w:vAlign w:val="center"/>
                </w:tcPr>
                <w:p w14:paraId="3F8673C8">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编制目的、编制依据、事件分级、适用范围、工作原则和应</w:t>
                  </w:r>
                  <w:r>
                    <w:rPr>
                      <w:rFonts w:ascii="Times New Roman" w:hAnsi="Times New Roman" w:eastAsia="宋体"/>
                      <w:color w:val="auto"/>
                      <w:spacing w:val="7"/>
                      <w:sz w:val="21"/>
                      <w:highlight w:val="none"/>
                      <w:lang w:val="en-US" w:eastAsia="zh-CN"/>
                    </w:rPr>
                    <w:br w:type="textWrapping"/>
                  </w:r>
                  <w:r>
                    <w:rPr>
                      <w:rFonts w:ascii="Times New Roman" w:hAnsi="Times New Roman" w:eastAsia="宋体"/>
                      <w:color w:val="auto"/>
                      <w:spacing w:val="7"/>
                      <w:sz w:val="21"/>
                      <w:highlight w:val="none"/>
                      <w:lang w:val="en-US" w:eastAsia="zh-CN"/>
                    </w:rPr>
                    <w:t>急预案关系说明等</w:t>
                  </w:r>
                </w:p>
              </w:tc>
            </w:tr>
            <w:tr w14:paraId="615D6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87" w:type="pct"/>
                  <w:tcBorders>
                    <w:top w:val="single" w:color="000000" w:sz="4" w:space="0"/>
                    <w:left w:val="nil"/>
                    <w:bottom w:val="single" w:color="000000" w:sz="4" w:space="0"/>
                    <w:right w:val="single" w:color="000000" w:sz="4" w:space="0"/>
                  </w:tcBorders>
                  <w:shd w:val="clear" w:color="auto" w:fill="auto"/>
                  <w:vAlign w:val="center"/>
                </w:tcPr>
                <w:p w14:paraId="2A4C2BAC">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2</w:t>
                  </w:r>
                </w:p>
              </w:tc>
              <w:tc>
                <w:tcPr>
                  <w:tcW w:w="11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6C0CA">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应急组织指挥体系</w:t>
                  </w:r>
                </w:p>
              </w:tc>
              <w:tc>
                <w:tcPr>
                  <w:tcW w:w="3362" w:type="pct"/>
                  <w:tcBorders>
                    <w:top w:val="single" w:color="000000" w:sz="4" w:space="0"/>
                    <w:left w:val="single" w:color="000000" w:sz="4" w:space="0"/>
                    <w:bottom w:val="single" w:color="000000" w:sz="4" w:space="0"/>
                    <w:right w:val="nil"/>
                  </w:tcBorders>
                  <w:shd w:val="clear" w:color="auto" w:fill="auto"/>
                  <w:vAlign w:val="center"/>
                </w:tcPr>
                <w:p w14:paraId="470F1300">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内部应急组织机构与职责外部指挥与协调</w:t>
                  </w:r>
                </w:p>
              </w:tc>
            </w:tr>
            <w:tr w14:paraId="36D82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487" w:type="pct"/>
                  <w:tcBorders>
                    <w:top w:val="single" w:color="000000" w:sz="4" w:space="0"/>
                    <w:left w:val="nil"/>
                    <w:bottom w:val="single" w:color="000000" w:sz="4" w:space="0"/>
                    <w:right w:val="single" w:color="000000" w:sz="4" w:space="0"/>
                  </w:tcBorders>
                  <w:shd w:val="clear" w:color="auto" w:fill="auto"/>
                  <w:vAlign w:val="center"/>
                </w:tcPr>
                <w:p w14:paraId="1AB96194">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3</w:t>
                  </w:r>
                </w:p>
              </w:tc>
              <w:tc>
                <w:tcPr>
                  <w:tcW w:w="11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DD2DD">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预防与预警</w:t>
                  </w:r>
                </w:p>
              </w:tc>
              <w:tc>
                <w:tcPr>
                  <w:tcW w:w="3362" w:type="pct"/>
                  <w:tcBorders>
                    <w:top w:val="single" w:color="000000" w:sz="4" w:space="0"/>
                    <w:left w:val="single" w:color="000000" w:sz="4" w:space="0"/>
                    <w:bottom w:val="single" w:color="000000" w:sz="4" w:space="0"/>
                    <w:right w:val="nil"/>
                  </w:tcBorders>
                  <w:shd w:val="clear" w:color="auto" w:fill="auto"/>
                  <w:vAlign w:val="center"/>
                </w:tcPr>
                <w:p w14:paraId="5AFB2F25">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企业应加强对各种可能发生的突发环境事件的风险目标监</w:t>
                  </w:r>
                  <w:r>
                    <w:rPr>
                      <w:rFonts w:ascii="Times New Roman" w:hAnsi="Times New Roman" w:eastAsia="宋体"/>
                      <w:color w:val="auto"/>
                      <w:spacing w:val="7"/>
                      <w:sz w:val="21"/>
                      <w:highlight w:val="none"/>
                      <w:lang w:val="en-US" w:eastAsia="zh-CN"/>
                    </w:rPr>
                    <w:br w:type="textWrapping"/>
                  </w:r>
                  <w:r>
                    <w:rPr>
                      <w:rFonts w:ascii="Times New Roman" w:hAnsi="Times New Roman" w:eastAsia="宋体"/>
                      <w:color w:val="auto"/>
                      <w:spacing w:val="7"/>
                      <w:sz w:val="21"/>
                      <w:highlight w:val="none"/>
                      <w:lang w:val="en-US" w:eastAsia="zh-CN"/>
                    </w:rPr>
                    <w:t>控，建立突发事件预警机制，做到“早发现、早报告、早处置”</w:t>
                  </w:r>
                  <w:r>
                    <w:rPr>
                      <w:rFonts w:hint="eastAsia" w:ascii="Times New Roman" w:hAnsi="Times New Roman"/>
                      <w:color w:val="auto"/>
                      <w:spacing w:val="7"/>
                      <w:sz w:val="21"/>
                      <w:highlight w:val="none"/>
                      <w:lang w:val="en-US" w:eastAsia="zh-CN"/>
                    </w:rPr>
                    <w:t>，</w:t>
                  </w:r>
                  <w:r>
                    <w:rPr>
                      <w:rFonts w:ascii="Times New Roman" w:hAnsi="Times New Roman" w:eastAsia="宋体"/>
                      <w:color w:val="auto"/>
                      <w:spacing w:val="7"/>
                      <w:sz w:val="21"/>
                      <w:highlight w:val="none"/>
                      <w:lang w:val="en-US" w:eastAsia="zh-CN"/>
                    </w:rPr>
                    <w:t>包括预防与预警</w:t>
                  </w:r>
                </w:p>
              </w:tc>
            </w:tr>
            <w:tr w14:paraId="50F3E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487" w:type="pct"/>
                  <w:tcBorders>
                    <w:top w:val="single" w:color="000000" w:sz="4" w:space="0"/>
                    <w:left w:val="nil"/>
                    <w:bottom w:val="single" w:color="000000" w:sz="4" w:space="0"/>
                    <w:right w:val="single" w:color="000000" w:sz="4" w:space="0"/>
                  </w:tcBorders>
                  <w:shd w:val="clear" w:color="auto" w:fill="auto"/>
                  <w:vAlign w:val="center"/>
                </w:tcPr>
                <w:p w14:paraId="06FBCECD">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4</w:t>
                  </w:r>
                </w:p>
              </w:tc>
              <w:tc>
                <w:tcPr>
                  <w:tcW w:w="11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7CBCB">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应急处置</w:t>
                  </w:r>
                </w:p>
              </w:tc>
              <w:tc>
                <w:tcPr>
                  <w:tcW w:w="3362" w:type="pct"/>
                  <w:tcBorders>
                    <w:top w:val="single" w:color="000000" w:sz="4" w:space="0"/>
                    <w:left w:val="single" w:color="000000" w:sz="4" w:space="0"/>
                    <w:bottom w:val="single" w:color="000000" w:sz="4" w:space="0"/>
                    <w:right w:val="nil"/>
                  </w:tcBorders>
                  <w:shd w:val="clear" w:color="auto" w:fill="auto"/>
                  <w:vAlign w:val="center"/>
                </w:tcPr>
                <w:p w14:paraId="0CFC54BB">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先期处置、响应分级应急响应程序、应急处置、受伤人员现</w:t>
                  </w:r>
                  <w:r>
                    <w:rPr>
                      <w:rFonts w:ascii="Times New Roman" w:hAnsi="Times New Roman" w:eastAsia="宋体"/>
                      <w:color w:val="auto"/>
                      <w:spacing w:val="7"/>
                      <w:sz w:val="21"/>
                      <w:highlight w:val="none"/>
                      <w:lang w:val="en-US" w:eastAsia="zh-CN"/>
                    </w:rPr>
                    <w:br w:type="textWrapping"/>
                  </w:r>
                  <w:r>
                    <w:rPr>
                      <w:rFonts w:ascii="Times New Roman" w:hAnsi="Times New Roman" w:eastAsia="宋体"/>
                      <w:color w:val="auto"/>
                      <w:spacing w:val="7"/>
                      <w:sz w:val="21"/>
                      <w:highlight w:val="none"/>
                      <w:lang w:val="en-US" w:eastAsia="zh-CN"/>
                    </w:rPr>
                    <w:t>场救护、救治与医院救治、配合有关部门应急响应</w:t>
                  </w:r>
                </w:p>
              </w:tc>
            </w:tr>
            <w:tr w14:paraId="456F6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87" w:type="pct"/>
                  <w:tcBorders>
                    <w:top w:val="single" w:color="000000" w:sz="4" w:space="0"/>
                    <w:left w:val="nil"/>
                    <w:bottom w:val="single" w:color="000000" w:sz="4" w:space="0"/>
                    <w:right w:val="single" w:color="000000" w:sz="4" w:space="0"/>
                  </w:tcBorders>
                  <w:shd w:val="clear" w:color="auto" w:fill="auto"/>
                  <w:vAlign w:val="center"/>
                </w:tcPr>
                <w:p w14:paraId="0CB42804">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5</w:t>
                  </w:r>
                </w:p>
              </w:tc>
              <w:tc>
                <w:tcPr>
                  <w:tcW w:w="11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4253B">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应急终止</w:t>
                  </w:r>
                </w:p>
              </w:tc>
              <w:tc>
                <w:tcPr>
                  <w:tcW w:w="3362" w:type="pct"/>
                  <w:tcBorders>
                    <w:top w:val="single" w:color="000000" w:sz="4" w:space="0"/>
                    <w:left w:val="single" w:color="000000" w:sz="4" w:space="0"/>
                    <w:bottom w:val="single" w:color="000000" w:sz="4" w:space="0"/>
                    <w:right w:val="nil"/>
                  </w:tcBorders>
                  <w:shd w:val="clear" w:color="auto" w:fill="auto"/>
                  <w:vAlign w:val="center"/>
                </w:tcPr>
                <w:p w14:paraId="402F9896">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明确应急终止的条件、程序</w:t>
                  </w:r>
                </w:p>
              </w:tc>
            </w:tr>
            <w:tr w14:paraId="452EB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7" w:type="pct"/>
                  <w:tcBorders>
                    <w:top w:val="single" w:color="000000" w:sz="4" w:space="0"/>
                    <w:left w:val="nil"/>
                    <w:bottom w:val="single" w:color="000000" w:sz="4" w:space="0"/>
                    <w:right w:val="single" w:color="000000" w:sz="4" w:space="0"/>
                  </w:tcBorders>
                  <w:shd w:val="clear" w:color="auto" w:fill="auto"/>
                  <w:vAlign w:val="center"/>
                </w:tcPr>
                <w:p w14:paraId="60E19DB7">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6</w:t>
                  </w:r>
                </w:p>
              </w:tc>
              <w:tc>
                <w:tcPr>
                  <w:tcW w:w="11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031CE">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后期处置</w:t>
                  </w:r>
                </w:p>
              </w:tc>
              <w:tc>
                <w:tcPr>
                  <w:tcW w:w="3362" w:type="pct"/>
                  <w:tcBorders>
                    <w:top w:val="single" w:color="000000" w:sz="4" w:space="0"/>
                    <w:left w:val="single" w:color="000000" w:sz="4" w:space="0"/>
                    <w:bottom w:val="single" w:color="000000" w:sz="4" w:space="0"/>
                    <w:right w:val="nil"/>
                  </w:tcBorders>
                  <w:shd w:val="clear" w:color="auto" w:fill="auto"/>
                  <w:vAlign w:val="center"/>
                </w:tcPr>
                <w:p w14:paraId="66B5A26D">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善后处置评估与总结</w:t>
                  </w:r>
                </w:p>
              </w:tc>
            </w:tr>
            <w:tr w14:paraId="46BAF5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87" w:type="pct"/>
                  <w:tcBorders>
                    <w:top w:val="single" w:color="000000" w:sz="4" w:space="0"/>
                    <w:left w:val="nil"/>
                    <w:bottom w:val="single" w:color="000000" w:sz="4" w:space="0"/>
                    <w:right w:val="single" w:color="000000" w:sz="4" w:space="0"/>
                  </w:tcBorders>
                  <w:shd w:val="clear" w:color="auto" w:fill="auto"/>
                  <w:vAlign w:val="center"/>
                </w:tcPr>
                <w:p w14:paraId="3A6A9DFE">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7</w:t>
                  </w:r>
                </w:p>
              </w:tc>
              <w:tc>
                <w:tcPr>
                  <w:tcW w:w="11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D1339">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应急保障</w:t>
                  </w:r>
                </w:p>
              </w:tc>
              <w:tc>
                <w:tcPr>
                  <w:tcW w:w="3362" w:type="pct"/>
                  <w:tcBorders>
                    <w:top w:val="single" w:color="000000" w:sz="4" w:space="0"/>
                    <w:left w:val="single" w:color="000000" w:sz="4" w:space="0"/>
                    <w:bottom w:val="single" w:color="000000" w:sz="4" w:space="0"/>
                    <w:right w:val="nil"/>
                  </w:tcBorders>
                  <w:shd w:val="clear" w:color="auto" w:fill="auto"/>
                  <w:vAlign w:val="center"/>
                </w:tcPr>
                <w:p w14:paraId="383D1430">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根据本单位应急工作需求而确定的相关保障措施如资金保</w:t>
                  </w:r>
                  <w:r>
                    <w:rPr>
                      <w:rFonts w:ascii="Times New Roman" w:hAnsi="Times New Roman" w:eastAsia="宋体"/>
                      <w:color w:val="auto"/>
                      <w:spacing w:val="7"/>
                      <w:sz w:val="21"/>
                      <w:highlight w:val="none"/>
                      <w:lang w:val="en-US" w:eastAsia="zh-CN"/>
                    </w:rPr>
                    <w:br w:type="textWrapping"/>
                  </w:r>
                  <w:r>
                    <w:rPr>
                      <w:rFonts w:ascii="Times New Roman" w:hAnsi="Times New Roman" w:eastAsia="宋体"/>
                      <w:color w:val="auto"/>
                      <w:spacing w:val="7"/>
                      <w:sz w:val="21"/>
                      <w:highlight w:val="none"/>
                      <w:lang w:val="en-US" w:eastAsia="zh-CN"/>
                    </w:rPr>
                    <w:t>障、物资保障、医疗卫生保障</w:t>
                  </w:r>
                </w:p>
              </w:tc>
            </w:tr>
            <w:tr w14:paraId="52667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87" w:type="pct"/>
                  <w:tcBorders>
                    <w:top w:val="single" w:color="000000" w:sz="4" w:space="0"/>
                    <w:left w:val="nil"/>
                    <w:bottom w:val="single" w:color="000000" w:sz="4" w:space="0"/>
                    <w:right w:val="single" w:color="000000" w:sz="4" w:space="0"/>
                  </w:tcBorders>
                  <w:shd w:val="clear" w:color="auto" w:fill="auto"/>
                  <w:vAlign w:val="center"/>
                </w:tcPr>
                <w:p w14:paraId="3D24CB2E">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8</w:t>
                  </w:r>
                </w:p>
              </w:tc>
              <w:tc>
                <w:tcPr>
                  <w:tcW w:w="11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4A78B">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监督管理</w:t>
                  </w:r>
                </w:p>
              </w:tc>
              <w:tc>
                <w:tcPr>
                  <w:tcW w:w="3362" w:type="pct"/>
                  <w:tcBorders>
                    <w:top w:val="single" w:color="000000" w:sz="4" w:space="0"/>
                    <w:left w:val="single" w:color="000000" w:sz="4" w:space="0"/>
                    <w:bottom w:val="single" w:color="000000" w:sz="4" w:space="0"/>
                    <w:right w:val="nil"/>
                  </w:tcBorders>
                  <w:shd w:val="clear" w:color="auto" w:fill="auto"/>
                  <w:vAlign w:val="center"/>
                </w:tcPr>
                <w:p w14:paraId="3648E0EA">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应急预案演练、宣教培训、责任与奖惩</w:t>
                  </w:r>
                </w:p>
              </w:tc>
            </w:tr>
            <w:tr w14:paraId="5AF2A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87" w:type="pct"/>
                  <w:tcBorders>
                    <w:top w:val="single" w:color="000000" w:sz="4" w:space="0"/>
                    <w:left w:val="nil"/>
                    <w:bottom w:val="single" w:color="000000" w:sz="4" w:space="0"/>
                    <w:right w:val="single" w:color="000000" w:sz="4" w:space="0"/>
                  </w:tcBorders>
                  <w:shd w:val="clear" w:color="auto" w:fill="auto"/>
                  <w:vAlign w:val="center"/>
                </w:tcPr>
                <w:p w14:paraId="38B9427F">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9</w:t>
                  </w:r>
                </w:p>
              </w:tc>
              <w:tc>
                <w:tcPr>
                  <w:tcW w:w="11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6A45C">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附则</w:t>
                  </w:r>
                </w:p>
              </w:tc>
              <w:tc>
                <w:tcPr>
                  <w:tcW w:w="3362" w:type="pct"/>
                  <w:tcBorders>
                    <w:top w:val="single" w:color="000000" w:sz="4" w:space="0"/>
                    <w:left w:val="single" w:color="000000" w:sz="4" w:space="0"/>
                    <w:bottom w:val="single" w:color="000000" w:sz="4" w:space="0"/>
                    <w:right w:val="nil"/>
                  </w:tcBorders>
                  <w:shd w:val="clear" w:color="auto" w:fill="auto"/>
                  <w:vAlign w:val="center"/>
                </w:tcPr>
                <w:p w14:paraId="713A6933">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名词术语、预案解释、修订情况、实施日期</w:t>
                  </w:r>
                </w:p>
              </w:tc>
            </w:tr>
            <w:tr w14:paraId="71918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487" w:type="pct"/>
                  <w:tcBorders>
                    <w:top w:val="single" w:color="000000" w:sz="4" w:space="0"/>
                    <w:left w:val="nil"/>
                    <w:bottom w:val="single" w:color="000000" w:sz="12" w:space="0"/>
                    <w:right w:val="single" w:color="000000" w:sz="4" w:space="0"/>
                  </w:tcBorders>
                  <w:shd w:val="clear" w:color="auto" w:fill="auto"/>
                  <w:vAlign w:val="center"/>
                </w:tcPr>
                <w:p w14:paraId="6A7FA03D">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10</w:t>
                  </w:r>
                </w:p>
              </w:tc>
              <w:tc>
                <w:tcPr>
                  <w:tcW w:w="1150" w:type="pct"/>
                  <w:tcBorders>
                    <w:top w:val="single" w:color="000000" w:sz="4" w:space="0"/>
                    <w:left w:val="single" w:color="000000" w:sz="4" w:space="0"/>
                    <w:bottom w:val="single" w:color="000000" w:sz="12" w:space="0"/>
                    <w:right w:val="single" w:color="000000" w:sz="4" w:space="0"/>
                  </w:tcBorders>
                  <w:shd w:val="clear" w:color="auto" w:fill="auto"/>
                  <w:vAlign w:val="center"/>
                </w:tcPr>
                <w:p w14:paraId="2430B17B">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附件</w:t>
                  </w:r>
                </w:p>
              </w:tc>
              <w:tc>
                <w:tcPr>
                  <w:tcW w:w="3362" w:type="pct"/>
                  <w:tcBorders>
                    <w:top w:val="single" w:color="000000" w:sz="4" w:space="0"/>
                    <w:left w:val="single" w:color="000000" w:sz="4" w:space="0"/>
                    <w:bottom w:val="single" w:color="000000" w:sz="12" w:space="0"/>
                    <w:right w:val="nil"/>
                  </w:tcBorders>
                  <w:shd w:val="clear" w:color="auto" w:fill="auto"/>
                  <w:vAlign w:val="center"/>
                </w:tcPr>
                <w:p w14:paraId="3772C3D9">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pacing w:val="7"/>
                      <w:sz w:val="21"/>
                      <w:highlight w:val="none"/>
                    </w:rPr>
                  </w:pPr>
                  <w:r>
                    <w:rPr>
                      <w:rFonts w:ascii="Times New Roman" w:hAnsi="Times New Roman" w:eastAsia="宋体"/>
                      <w:color w:val="auto"/>
                      <w:spacing w:val="7"/>
                      <w:sz w:val="21"/>
                      <w:highlight w:val="none"/>
                      <w:lang w:val="en-US" w:eastAsia="zh-CN"/>
                    </w:rPr>
                    <w:t>与应急事故有关的多种附件材料的准备和形成</w:t>
                  </w:r>
                </w:p>
              </w:tc>
            </w:tr>
          </w:tbl>
          <w:p w14:paraId="5CB3FEB3">
            <w:pPr>
              <w:pStyle w:val="4"/>
              <w:numPr>
                <w:ilvl w:val="2"/>
                <w:numId w:val="1"/>
              </w:numPr>
              <w:bidi w:val="0"/>
              <w:ind w:left="720" w:leftChars="0" w:hanging="72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环境风险</w:t>
            </w:r>
            <w:r>
              <w:rPr>
                <w:rFonts w:hint="eastAsia" w:cs="Times New Roman"/>
                <w:color w:val="auto"/>
                <w:highlight w:val="none"/>
                <w:lang w:val="en-US" w:eastAsia="zh-CN"/>
              </w:rPr>
              <w:t>分析结论</w:t>
            </w:r>
          </w:p>
          <w:p w14:paraId="6B513D06">
            <w:pPr>
              <w:spacing w:line="360" w:lineRule="auto"/>
              <w:ind w:firstLine="480"/>
              <w:rPr>
                <w:rFonts w:hint="default" w:ascii="Times New Roman" w:hAnsi="Times New Roman"/>
                <w:color w:val="auto"/>
                <w:sz w:val="24"/>
                <w:szCs w:val="24"/>
                <w:highlight w:val="none"/>
                <w:shd w:val="clear" w:color="auto" w:fill="auto"/>
                <w:lang w:val="en-US" w:eastAsia="zh-CN"/>
              </w:rPr>
            </w:pPr>
            <w:r>
              <w:rPr>
                <w:rFonts w:hint="default" w:ascii="Times New Roman" w:hAnsi="Times New Roman"/>
                <w:color w:val="auto"/>
                <w:sz w:val="24"/>
                <w:szCs w:val="24"/>
                <w:highlight w:val="none"/>
                <w:shd w:val="clear" w:color="auto" w:fill="auto"/>
                <w:lang w:val="en-US" w:eastAsia="zh-CN"/>
              </w:rPr>
              <w:t>项目危险品储存量较少，不构成重大危险源。在配套相应的</w:t>
            </w:r>
            <w:r>
              <w:rPr>
                <w:rFonts w:hint="eastAsia"/>
                <w:color w:val="auto"/>
                <w:sz w:val="24"/>
                <w:szCs w:val="24"/>
                <w:highlight w:val="none"/>
                <w:shd w:val="clear" w:color="auto" w:fill="auto"/>
                <w:lang w:val="en-US" w:eastAsia="zh-CN"/>
              </w:rPr>
              <w:t>应急物资</w:t>
            </w:r>
            <w:r>
              <w:rPr>
                <w:rFonts w:hint="default" w:ascii="Times New Roman" w:hAnsi="Times New Roman"/>
                <w:color w:val="auto"/>
                <w:sz w:val="24"/>
                <w:szCs w:val="24"/>
                <w:highlight w:val="none"/>
                <w:shd w:val="clear" w:color="auto" w:fill="auto"/>
                <w:lang w:val="en-US" w:eastAsia="zh-CN"/>
              </w:rPr>
              <w:t>及加强防火管理、完善事故应急预案的基础上，事故发生概率很低，经过采取妥善的风险防范措施，项目环境风险在可接受的范围内。</w:t>
            </w:r>
          </w:p>
          <w:p w14:paraId="5BC97C3A">
            <w:pPr>
              <w:pStyle w:val="3"/>
              <w:numPr>
                <w:ilvl w:val="1"/>
                <w:numId w:val="1"/>
              </w:numPr>
              <w:bidi w:val="0"/>
              <w:ind w:left="0" w:leftChars="0" w:firstLine="0" w:firstLine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排污</w:t>
            </w:r>
            <w:r>
              <w:rPr>
                <w:rFonts w:hint="eastAsia" w:ascii="Times New Roman" w:hAnsi="Times New Roman" w:eastAsia="宋体" w:cs="Times New Roman"/>
                <w:color w:val="auto"/>
                <w:highlight w:val="none"/>
                <w:lang w:val="en-US" w:eastAsia="zh-CN"/>
              </w:rPr>
              <w:t>许可申报及排污</w:t>
            </w:r>
            <w:r>
              <w:rPr>
                <w:rFonts w:hint="default" w:ascii="Times New Roman" w:hAnsi="Times New Roman" w:eastAsia="宋体" w:cs="Times New Roman"/>
                <w:color w:val="auto"/>
                <w:highlight w:val="none"/>
                <w:lang w:val="en-US" w:eastAsia="zh-CN"/>
              </w:rPr>
              <w:t>口规范化管理</w:t>
            </w:r>
          </w:p>
          <w:p w14:paraId="5EAC1FF5">
            <w:pPr>
              <w:pStyle w:val="4"/>
              <w:numPr>
                <w:ilvl w:val="2"/>
                <w:numId w:val="1"/>
              </w:numPr>
              <w:bidi w:val="0"/>
              <w:ind w:left="720" w:leftChars="0" w:hanging="720" w:firstLineChars="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申报要求</w:t>
            </w:r>
          </w:p>
          <w:p w14:paraId="49D8EFF3">
            <w:pPr>
              <w:spacing w:line="360" w:lineRule="auto"/>
              <w:ind w:firstLine="480"/>
              <w:rPr>
                <w:rFonts w:hint="default" w:ascii="Times New Roman" w:hAnsi="Times New Roman" w:eastAsia="宋体" w:cs="Times New Roman"/>
                <w:color w:val="auto"/>
                <w:sz w:val="24"/>
                <w:szCs w:val="24"/>
                <w:highlight w:val="none"/>
              </w:rPr>
            </w:pPr>
            <w:r>
              <w:rPr>
                <w:rFonts w:hint="eastAsia" w:ascii="Times New Roman" w:hAnsi="Times New Roman"/>
                <w:color w:val="auto"/>
                <w:sz w:val="24"/>
                <w:szCs w:val="24"/>
                <w:highlight w:val="none"/>
                <w:shd w:val="clear" w:color="auto" w:fill="auto"/>
              </w:rPr>
              <w:t>《排污许可管理办法》生态环境部部令第32号</w:t>
            </w:r>
            <w:r>
              <w:rPr>
                <w:rFonts w:hint="eastAsia"/>
                <w:color w:val="auto"/>
                <w:sz w:val="24"/>
                <w:szCs w:val="24"/>
                <w:highlight w:val="none"/>
                <w:shd w:val="clear" w:color="auto" w:fill="auto"/>
                <w:lang w:eastAsia="zh-CN"/>
              </w:rPr>
              <w:t>，</w:t>
            </w:r>
            <w:r>
              <w:rPr>
                <w:rFonts w:hint="eastAsia" w:ascii="Times New Roman" w:hAnsi="Times New Roman"/>
                <w:color w:val="auto"/>
                <w:sz w:val="24"/>
                <w:szCs w:val="24"/>
                <w:highlight w:val="none"/>
                <w:shd w:val="clear" w:color="auto" w:fill="auto"/>
              </w:rPr>
              <w:t>2023年</w:t>
            </w:r>
            <w:r>
              <w:rPr>
                <w:rFonts w:hint="eastAsia"/>
                <w:color w:val="auto"/>
                <w:sz w:val="24"/>
                <w:szCs w:val="24"/>
                <w:highlight w:val="none"/>
                <w:shd w:val="clear" w:color="auto" w:fill="auto"/>
                <w:lang w:eastAsia="zh-CN"/>
              </w:rPr>
              <w:t>4月1日</w:t>
            </w:r>
            <w:r>
              <w:rPr>
                <w:rFonts w:hint="eastAsia" w:ascii="Times New Roman" w:hAnsi="Times New Roman"/>
                <w:color w:val="auto"/>
                <w:sz w:val="24"/>
                <w:szCs w:val="24"/>
                <w:highlight w:val="none"/>
                <w:shd w:val="clear" w:color="auto" w:fill="auto"/>
              </w:rPr>
              <w:t>公布，2024年7月1日起施行。企业应当按照规定的时限申请并取得排污许可证</w:t>
            </w:r>
            <w:r>
              <w:rPr>
                <w:rFonts w:hint="default" w:ascii="Times New Roman" w:hAnsi="Times New Roman" w:eastAsia="宋体" w:cs="Times New Roman"/>
                <w:color w:val="auto"/>
                <w:sz w:val="24"/>
                <w:szCs w:val="24"/>
                <w:highlight w:val="none"/>
              </w:rPr>
              <w:t>。申请材料应当包括：</w:t>
            </w:r>
          </w:p>
          <w:p w14:paraId="7BD23368">
            <w:pPr>
              <w:spacing w:line="360" w:lineRule="auto"/>
              <w:ind w:firstLine="480"/>
              <w:rPr>
                <w:rFonts w:hint="default" w:ascii="Times New Roman" w:hAnsi="Times New Roman" w:eastAsia="宋体" w:cs="Times New Roman"/>
                <w:color w:val="auto"/>
                <w:sz w:val="24"/>
                <w:szCs w:val="24"/>
                <w:highlight w:val="none"/>
              </w:rPr>
            </w:pP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1</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排污许可证申请表，主要内容包括：排污单位基本信息，主要</w:t>
            </w:r>
            <w:r>
              <w:rPr>
                <w:rFonts w:hint="eastAsia" w:cs="Times New Roman"/>
                <w:color w:val="auto"/>
                <w:sz w:val="24"/>
                <w:szCs w:val="24"/>
                <w:highlight w:val="none"/>
                <w:lang w:eastAsia="zh-CN"/>
              </w:rPr>
              <w:t>医疗设施</w:t>
            </w:r>
            <w:r>
              <w:rPr>
                <w:rFonts w:hint="default" w:ascii="Times New Roman" w:hAnsi="Times New Roman" w:eastAsia="宋体" w:cs="Times New Roman"/>
                <w:color w:val="auto"/>
                <w:sz w:val="24"/>
                <w:szCs w:val="24"/>
                <w:highlight w:val="none"/>
              </w:rPr>
              <w:t>、主要产品及产能、主要原辅材料，废气、废水等产排污环节和污染防治设施，申请的排放口位置和数量、排放方式、排放去向，按照排放口和</w:t>
            </w:r>
            <w:r>
              <w:rPr>
                <w:rFonts w:hint="eastAsia" w:cs="Times New Roman"/>
                <w:color w:val="auto"/>
                <w:sz w:val="24"/>
                <w:szCs w:val="24"/>
                <w:highlight w:val="none"/>
                <w:lang w:eastAsia="zh-CN"/>
              </w:rPr>
              <w:t>医疗设施</w:t>
            </w:r>
            <w:r>
              <w:rPr>
                <w:rFonts w:hint="default" w:ascii="Times New Roman" w:hAnsi="Times New Roman" w:eastAsia="宋体" w:cs="Times New Roman"/>
                <w:color w:val="auto"/>
                <w:sz w:val="24"/>
                <w:szCs w:val="24"/>
                <w:highlight w:val="none"/>
              </w:rPr>
              <w:t>或者车间申请的排放污染物种类、排放浓度和排放量，执行的排放标准；</w:t>
            </w:r>
          </w:p>
          <w:p w14:paraId="24B8A3C4">
            <w:pPr>
              <w:spacing w:line="360" w:lineRule="auto"/>
              <w:ind w:firstLine="480"/>
              <w:rPr>
                <w:rFonts w:hint="default" w:ascii="Times New Roman" w:hAnsi="Times New Roman" w:eastAsia="宋体" w:cs="Times New Roman"/>
                <w:color w:val="auto"/>
                <w:sz w:val="24"/>
                <w:szCs w:val="24"/>
                <w:highlight w:val="none"/>
              </w:rPr>
            </w:pP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2</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自行监测方案，自行监测方案应当包括以下内容：监测点位及示意图、监测指标、监测频次；使用的监测分析方法、采样方法</w:t>
            </w:r>
          </w:p>
          <w:p w14:paraId="4B085C54">
            <w:pPr>
              <w:spacing w:line="360" w:lineRule="auto"/>
              <w:ind w:firstLine="480"/>
              <w:rPr>
                <w:rFonts w:hint="default" w:ascii="Times New Roman" w:hAnsi="Times New Roman" w:eastAsia="宋体" w:cs="Times New Roman"/>
                <w:color w:val="auto"/>
                <w:sz w:val="24"/>
                <w:szCs w:val="24"/>
                <w:highlight w:val="none"/>
              </w:rPr>
            </w:pP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3</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由排污单位法定代表人或者主要负责人签字或者盖章的承诺书；</w:t>
            </w:r>
          </w:p>
          <w:p w14:paraId="25B0882F">
            <w:pPr>
              <w:spacing w:line="360" w:lineRule="auto"/>
              <w:ind w:firstLine="480"/>
              <w:rPr>
                <w:rFonts w:hint="default" w:ascii="Times New Roman" w:hAnsi="Times New Roman" w:eastAsia="宋体" w:cs="Times New Roman"/>
                <w:color w:val="auto"/>
                <w:sz w:val="24"/>
                <w:szCs w:val="24"/>
                <w:highlight w:val="none"/>
              </w:rPr>
            </w:pP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4</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排污单位有关排污口规范化的情况说明；</w:t>
            </w:r>
          </w:p>
          <w:p w14:paraId="2D2BFF9C">
            <w:pPr>
              <w:spacing w:line="360" w:lineRule="auto"/>
              <w:ind w:firstLine="480"/>
              <w:rPr>
                <w:rFonts w:hint="default" w:ascii="Times New Roman" w:hAnsi="Times New Roman" w:eastAsia="宋体" w:cs="Times New Roman"/>
                <w:color w:val="auto"/>
                <w:sz w:val="24"/>
                <w:szCs w:val="24"/>
                <w:highlight w:val="none"/>
              </w:rPr>
            </w:pP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5</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建设项目环境影响评价文件审批文号，或者按照有关国家规定经地方人民政府依法处理、整顿规范并符合要求的相关证明材料；</w:t>
            </w:r>
          </w:p>
          <w:p w14:paraId="0E22C295">
            <w:pPr>
              <w:spacing w:line="360" w:lineRule="auto"/>
              <w:ind w:firstLine="480"/>
              <w:rPr>
                <w:rFonts w:hint="default" w:ascii="Times New Roman" w:hAnsi="Times New Roman" w:eastAsia="宋体" w:cs="Times New Roman"/>
                <w:color w:val="auto"/>
                <w:sz w:val="24"/>
                <w:szCs w:val="24"/>
                <w:highlight w:val="none"/>
              </w:rPr>
            </w:pP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6</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排污许可证申请前信息公开情况说明表；</w:t>
            </w:r>
          </w:p>
          <w:p w14:paraId="55746077">
            <w:pPr>
              <w:spacing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在填报排污许可证</w:t>
            </w:r>
            <w:r>
              <w:rPr>
                <w:rFonts w:hint="eastAsia" w:ascii="Times New Roman" w:hAnsi="Times New Roman" w:cs="Times New Roman"/>
                <w:color w:val="auto"/>
                <w:sz w:val="24"/>
                <w:szCs w:val="24"/>
                <w:highlight w:val="none"/>
                <w:lang w:val="en-US" w:eastAsia="zh-CN"/>
              </w:rPr>
              <w:t>变更</w:t>
            </w:r>
            <w:r>
              <w:rPr>
                <w:rFonts w:hint="default" w:ascii="Times New Roman" w:hAnsi="Times New Roman" w:eastAsia="宋体" w:cs="Times New Roman"/>
                <w:color w:val="auto"/>
                <w:sz w:val="24"/>
                <w:szCs w:val="24"/>
                <w:highlight w:val="none"/>
              </w:rPr>
              <w:t>申请时，应承诺排污许可证申请材料是完整、真实和合法的；承诺按照排污许可证的规定排放污染物，落实排污许可证规定的环境管理要求，并由法定代表人或者主要负责人签字或者盖章。</w:t>
            </w:r>
          </w:p>
          <w:p w14:paraId="78DF4D75">
            <w:pPr>
              <w:pStyle w:val="4"/>
              <w:numPr>
                <w:ilvl w:val="2"/>
                <w:numId w:val="1"/>
              </w:numPr>
              <w:bidi w:val="0"/>
              <w:ind w:left="720" w:leftChars="0" w:hanging="720" w:firstLineChars="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排污许可管理要求</w:t>
            </w:r>
          </w:p>
          <w:p w14:paraId="1A3F7A0C">
            <w:pPr>
              <w:spacing w:line="360" w:lineRule="auto"/>
              <w:ind w:firstLine="48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根据《固定污染源排污许可分类管理名录</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2019年版</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生态环境部第11号</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可知，本项目实行排污许可</w:t>
            </w:r>
            <w:r>
              <w:rPr>
                <w:rFonts w:hint="eastAsia" w:cs="Times New Roman"/>
                <w:color w:val="auto"/>
                <w:sz w:val="24"/>
                <w:szCs w:val="24"/>
                <w:highlight w:val="none"/>
                <w:lang w:val="en-US" w:eastAsia="zh-CN"/>
              </w:rPr>
              <w:t>简化</w:t>
            </w:r>
            <w:r>
              <w:rPr>
                <w:rFonts w:hint="default" w:ascii="Times New Roman" w:hAnsi="Times New Roman" w:eastAsia="宋体" w:cs="Times New Roman"/>
                <w:color w:val="auto"/>
                <w:sz w:val="24"/>
                <w:szCs w:val="24"/>
                <w:highlight w:val="none"/>
              </w:rPr>
              <w:t>管理</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详见</w:t>
            </w:r>
            <w:r>
              <w:rPr>
                <w:rFonts w:hint="default" w:ascii="Times New Roman" w:hAnsi="Times New Roman" w:eastAsia="宋体" w:cs="Times New Roman"/>
                <w:color w:val="auto"/>
                <w:sz w:val="24"/>
                <w:szCs w:val="24"/>
                <w:highlight w:val="none"/>
                <w:lang w:eastAsia="zh-CN"/>
              </w:rPr>
              <w:t>表</w:t>
            </w:r>
            <w:r>
              <w:rPr>
                <w:rFonts w:hint="eastAsia" w:ascii="Times New Roman" w:hAnsi="Times New Roman" w:eastAsia="宋体" w:cs="Times New Roman"/>
                <w:color w:val="auto"/>
                <w:sz w:val="24"/>
                <w:szCs w:val="24"/>
                <w:highlight w:val="none"/>
                <w:lang w:val="en-US" w:eastAsia="zh-CN"/>
              </w:rPr>
              <w:t>4.8</w:t>
            </w:r>
            <w:r>
              <w:rPr>
                <w:rFonts w:hint="default" w:ascii="Times New Roman" w:hAnsi="Times New Roman" w:eastAsia="宋体" w:cs="Times New Roman"/>
                <w:color w:val="auto"/>
                <w:sz w:val="24"/>
                <w:szCs w:val="24"/>
                <w:highlight w:val="none"/>
                <w:lang w:val="en-US" w:eastAsia="zh-CN"/>
              </w:rPr>
              <w:t>-1</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因此，建设单位应在启动</w:t>
            </w:r>
            <w:r>
              <w:rPr>
                <w:rFonts w:hint="eastAsia" w:cs="Times New Roman"/>
                <w:color w:val="auto"/>
                <w:sz w:val="24"/>
                <w:szCs w:val="24"/>
                <w:highlight w:val="none"/>
                <w:lang w:val="en-US" w:eastAsia="zh-CN"/>
              </w:rPr>
              <w:t>医疗设施</w:t>
            </w:r>
            <w:r>
              <w:rPr>
                <w:rFonts w:hint="default" w:ascii="Times New Roman" w:hAnsi="Times New Roman" w:eastAsia="宋体" w:cs="Times New Roman"/>
                <w:color w:val="auto"/>
                <w:sz w:val="24"/>
                <w:szCs w:val="24"/>
                <w:highlight w:val="none"/>
                <w:lang w:val="en-US" w:eastAsia="zh-CN"/>
              </w:rPr>
              <w:t>或者发生实际排污之前在全国排污许可证管理信息平台进行排污许可</w:t>
            </w:r>
            <w:r>
              <w:rPr>
                <w:rFonts w:hint="eastAsia" w:cs="Times New Roman"/>
                <w:color w:val="auto"/>
                <w:sz w:val="24"/>
                <w:szCs w:val="24"/>
                <w:highlight w:val="none"/>
                <w:lang w:val="en-US" w:eastAsia="zh-CN"/>
              </w:rPr>
              <w:t>简化管理</w:t>
            </w:r>
            <w:r>
              <w:rPr>
                <w:rFonts w:hint="default" w:ascii="Times New Roman" w:hAnsi="Times New Roman" w:eastAsia="宋体" w:cs="Times New Roman"/>
                <w:color w:val="auto"/>
                <w:sz w:val="24"/>
                <w:szCs w:val="24"/>
                <w:highlight w:val="none"/>
                <w:lang w:val="en-US" w:eastAsia="zh-CN"/>
              </w:rPr>
              <w:t>申报。</w:t>
            </w:r>
          </w:p>
          <w:p w14:paraId="0DE8DDB2">
            <w:pPr>
              <w:pStyle w:val="44"/>
              <w:keepNext/>
              <w:keepLines/>
              <w:pageBreakBefore w:val="0"/>
              <w:widowControl w:val="0"/>
              <w:numPr>
                <w:ilvl w:val="7"/>
                <w:numId w:val="10"/>
              </w:numPr>
              <w:tabs>
                <w:tab w:val="left" w:pos="0"/>
              </w:tabs>
              <w:kinsoku/>
              <w:wordWrap/>
              <w:overflowPunct/>
              <w:topLinePunct w:val="0"/>
              <w:autoSpaceDE/>
              <w:autoSpaceDN/>
              <w:bidi w:val="0"/>
              <w:adjustRightInd/>
              <w:snapToGrid/>
              <w:spacing w:before="0" w:after="0"/>
              <w:ind w:left="630" w:leftChars="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 固定污染源排污许可分类管理名录</w:t>
            </w:r>
            <w:r>
              <w:rPr>
                <w:rFonts w:hint="eastAsia" w:cs="Times New Roman"/>
                <w:color w:val="auto"/>
                <w:highlight w:val="none"/>
                <w:lang w:val="en-US" w:eastAsia="zh-CN"/>
              </w:rPr>
              <w:t>（</w:t>
            </w:r>
            <w:r>
              <w:rPr>
                <w:rFonts w:hint="default" w:ascii="Times New Roman" w:hAnsi="Times New Roman" w:eastAsia="宋体" w:cs="Times New Roman"/>
                <w:color w:val="auto"/>
                <w:highlight w:val="none"/>
                <w:lang w:val="en-US" w:eastAsia="zh-CN"/>
              </w:rPr>
              <w:t>摘录</w:t>
            </w:r>
            <w:r>
              <w:rPr>
                <w:rFonts w:hint="eastAsia" w:cs="Times New Roman"/>
                <w:color w:val="auto"/>
                <w:highlight w:val="none"/>
                <w:lang w:val="en-US" w:eastAsia="zh-CN"/>
              </w:rPr>
              <w:t>）</w:t>
            </w:r>
          </w:p>
          <w:tbl>
            <w:tblPr>
              <w:tblStyle w:val="86"/>
              <w:tblW w:w="4997" w:type="pct"/>
              <w:tblInd w:w="2"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526"/>
              <w:gridCol w:w="2176"/>
              <w:gridCol w:w="1032"/>
              <w:gridCol w:w="4257"/>
              <w:gridCol w:w="934"/>
            </w:tblGrid>
            <w:tr w14:paraId="2C7FE1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295" w:type="pct"/>
                  <w:tcBorders>
                    <w:bottom w:val="single" w:color="000000" w:sz="12" w:space="0"/>
                  </w:tcBorders>
                  <w:vAlign w:val="center"/>
                </w:tcPr>
                <w:p w14:paraId="62294EE7">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4"/>
                      <w:sz w:val="21"/>
                      <w:highlight w:val="none"/>
                    </w:rPr>
                    <w:t>序号</w:t>
                  </w:r>
                </w:p>
              </w:tc>
              <w:tc>
                <w:tcPr>
                  <w:tcW w:w="1219" w:type="pct"/>
                  <w:tcBorders>
                    <w:bottom w:val="single" w:color="000000" w:sz="12" w:space="0"/>
                  </w:tcBorders>
                  <w:vAlign w:val="center"/>
                </w:tcPr>
                <w:p w14:paraId="4D64B30D">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5"/>
                      <w:sz w:val="21"/>
                      <w:highlight w:val="none"/>
                    </w:rPr>
                    <w:t>行业类别</w:t>
                  </w:r>
                </w:p>
              </w:tc>
              <w:tc>
                <w:tcPr>
                  <w:tcW w:w="578" w:type="pct"/>
                  <w:tcBorders>
                    <w:bottom w:val="single" w:color="000000" w:sz="12" w:space="0"/>
                  </w:tcBorders>
                  <w:vAlign w:val="center"/>
                </w:tcPr>
                <w:p w14:paraId="62E6AB6B">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6"/>
                      <w:sz w:val="21"/>
                      <w:highlight w:val="none"/>
                    </w:rPr>
                    <w:t>重点管理</w:t>
                  </w:r>
                </w:p>
              </w:tc>
              <w:tc>
                <w:tcPr>
                  <w:tcW w:w="2385" w:type="pct"/>
                  <w:tcBorders>
                    <w:bottom w:val="single" w:color="000000" w:sz="12" w:space="0"/>
                  </w:tcBorders>
                  <w:shd w:val="clear" w:color="auto" w:fill="D7D7D7" w:themeFill="background1" w:themeFillShade="D8"/>
                  <w:vAlign w:val="center"/>
                </w:tcPr>
                <w:p w14:paraId="43930AA7">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5"/>
                      <w:sz w:val="21"/>
                      <w:highlight w:val="none"/>
                    </w:rPr>
                    <w:t>简化管理</w:t>
                  </w:r>
                </w:p>
              </w:tc>
              <w:tc>
                <w:tcPr>
                  <w:tcW w:w="521" w:type="pct"/>
                  <w:tcBorders>
                    <w:bottom w:val="single" w:color="000000" w:sz="12" w:space="0"/>
                  </w:tcBorders>
                  <w:shd w:val="clear" w:color="auto" w:fill="auto"/>
                  <w:vAlign w:val="center"/>
                </w:tcPr>
                <w:p w14:paraId="5CC0EE44">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z w:val="21"/>
                      <w:highlight w:val="none"/>
                    </w:rPr>
                  </w:pPr>
                  <w:r>
                    <w:rPr>
                      <w:rFonts w:ascii="Times New Roman" w:hAnsi="Times New Roman" w:eastAsia="宋体"/>
                      <w:b/>
                      <w:bCs/>
                      <w:color w:val="auto"/>
                      <w:spacing w:val="5"/>
                      <w:sz w:val="21"/>
                      <w:highlight w:val="none"/>
                    </w:rPr>
                    <w:t>登记管理</w:t>
                  </w:r>
                </w:p>
              </w:tc>
            </w:tr>
            <w:tr w14:paraId="2B64FB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5000" w:type="pct"/>
                  <w:gridSpan w:val="5"/>
                  <w:tcBorders>
                    <w:top w:val="single" w:color="000000" w:sz="12" w:space="0"/>
                    <w:tl2br w:val="nil"/>
                    <w:tr2bl w:val="nil"/>
                  </w:tcBorders>
                  <w:shd w:val="clear" w:color="auto" w:fill="D7D7D7" w:themeFill="background1" w:themeFillShade="D8"/>
                  <w:vAlign w:val="center"/>
                </w:tcPr>
                <w:p w14:paraId="444DFCC4">
                  <w:pPr>
                    <w:pStyle w:val="115"/>
                    <w:keepNext w:val="0"/>
                    <w:keepLines w:val="0"/>
                    <w:pageBreakBefore w:val="0"/>
                    <w:widowControl w:val="0"/>
                    <w:kinsoku/>
                    <w:wordWrap/>
                    <w:overflowPunct/>
                    <w:topLinePunct w:val="0"/>
                    <w:autoSpaceDE/>
                    <w:autoSpaceDN/>
                    <w:bidi w:val="0"/>
                    <w:adjustRightInd/>
                    <w:snapToGrid/>
                    <w:spacing w:line="240" w:lineRule="auto"/>
                    <w:ind w:left="0"/>
                    <w:jc w:val="left"/>
                    <w:textAlignment w:val="auto"/>
                    <w:rPr>
                      <w:rFonts w:hint="default" w:ascii="Times New Roman" w:hAnsi="Times New Roman" w:eastAsia="宋体" w:cs="Times New Roman"/>
                      <w:color w:val="auto"/>
                      <w:sz w:val="21"/>
                      <w:highlight w:val="none"/>
                      <w:lang w:val="en-US" w:eastAsia="zh-CN"/>
                    </w:rPr>
                  </w:pPr>
                  <w:r>
                    <w:rPr>
                      <w:rFonts w:hint="eastAsia" w:ascii="Times New Roman" w:hAnsi="Times New Roman"/>
                      <w:color w:val="auto"/>
                      <w:spacing w:val="8"/>
                      <w:position w:val="1"/>
                      <w:sz w:val="21"/>
                      <w:highlight w:val="none"/>
                      <w:lang w:val="en-US" w:eastAsia="zh-CN"/>
                    </w:rPr>
                    <w:t>四十九</w:t>
                  </w:r>
                  <w:r>
                    <w:rPr>
                      <w:rFonts w:ascii="Times New Roman" w:hAnsi="Times New Roman" w:eastAsia="宋体"/>
                      <w:color w:val="auto"/>
                      <w:spacing w:val="8"/>
                      <w:position w:val="1"/>
                      <w:sz w:val="21"/>
                      <w:highlight w:val="none"/>
                    </w:rPr>
                    <w:t>、</w:t>
                  </w:r>
                  <w:r>
                    <w:rPr>
                      <w:rFonts w:hint="eastAsia" w:ascii="Times New Roman" w:hAnsi="Times New Roman"/>
                      <w:color w:val="auto"/>
                      <w:spacing w:val="8"/>
                      <w:position w:val="1"/>
                      <w:sz w:val="21"/>
                      <w:highlight w:val="none"/>
                      <w:lang w:val="en-US" w:eastAsia="zh-CN"/>
                    </w:rPr>
                    <w:t>卫生84</w:t>
                  </w:r>
                </w:p>
              </w:tc>
            </w:tr>
            <w:tr w14:paraId="02DEF8A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86" w:hRule="atLeast"/>
              </w:trPr>
              <w:tc>
                <w:tcPr>
                  <w:tcW w:w="295" w:type="pct"/>
                  <w:tcBorders>
                    <w:tl2br w:val="nil"/>
                    <w:tr2bl w:val="nil"/>
                  </w:tcBorders>
                  <w:vAlign w:val="center"/>
                </w:tcPr>
                <w:p w14:paraId="20560EF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0"/>
                      <w:highlight w:val="none"/>
                      <w:lang w:val="en-US" w:eastAsia="zh-CN"/>
                    </w:rPr>
                  </w:pPr>
                  <w:r>
                    <w:rPr>
                      <w:rFonts w:hint="eastAsia" w:cs="Times New Roman"/>
                      <w:color w:val="auto"/>
                      <w:spacing w:val="-2"/>
                      <w:position w:val="2"/>
                      <w:sz w:val="21"/>
                      <w:szCs w:val="20"/>
                      <w:highlight w:val="none"/>
                      <w:lang w:val="en-US" w:eastAsia="zh-CN"/>
                    </w:rPr>
                    <w:t>107</w:t>
                  </w:r>
                </w:p>
              </w:tc>
              <w:tc>
                <w:tcPr>
                  <w:tcW w:w="1219" w:type="pct"/>
                  <w:tcBorders>
                    <w:tl2br w:val="nil"/>
                    <w:tr2bl w:val="nil"/>
                  </w:tcBorders>
                  <w:vAlign w:val="center"/>
                </w:tcPr>
                <w:p w14:paraId="440DF68F">
                  <w:pPr>
                    <w:pStyle w:val="115"/>
                    <w:keepNext w:val="0"/>
                    <w:keepLines w:val="0"/>
                    <w:pageBreakBefore w:val="0"/>
                    <w:widowControl w:val="0"/>
                    <w:kinsoku/>
                    <w:wordWrap/>
                    <w:overflowPunct/>
                    <w:topLinePunct w:val="0"/>
                    <w:autoSpaceDE/>
                    <w:autoSpaceDN/>
                    <w:bidi w:val="0"/>
                    <w:adjustRightInd/>
                    <w:snapToGrid/>
                    <w:spacing w:line="240" w:lineRule="auto"/>
                    <w:ind w:left="210" w:leftChars="100" w:right="210" w:rightChars="100"/>
                    <w:jc w:val="both"/>
                    <w:textAlignment w:val="auto"/>
                    <w:rPr>
                      <w:rFonts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医院841，专业公共卫生服务843</w:t>
                  </w:r>
                </w:p>
              </w:tc>
              <w:tc>
                <w:tcPr>
                  <w:tcW w:w="578" w:type="pct"/>
                  <w:tcBorders>
                    <w:tl2br w:val="nil"/>
                    <w:tr2bl w:val="nil"/>
                  </w:tcBorders>
                  <w:vAlign w:val="center"/>
                </w:tcPr>
                <w:p w14:paraId="0F0E89AE">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床位500张及以上的（不含专科医院8415中的精神病、康复和运动康复医院以及疗养院8416）</w:t>
                  </w:r>
                </w:p>
              </w:tc>
              <w:tc>
                <w:tcPr>
                  <w:tcW w:w="2385" w:type="pct"/>
                  <w:tcBorders>
                    <w:tl2br w:val="nil"/>
                    <w:tr2bl w:val="nil"/>
                  </w:tcBorders>
                  <w:shd w:val="clear" w:color="auto" w:fill="D7D7D7" w:themeFill="background1" w:themeFillShade="D8"/>
                  <w:vAlign w:val="center"/>
                </w:tcPr>
                <w:p w14:paraId="76132E7C">
                  <w:pPr>
                    <w:pStyle w:val="115"/>
                    <w:keepNext w:val="0"/>
                    <w:keepLines w:val="0"/>
                    <w:pageBreakBefore w:val="0"/>
                    <w:widowControl w:val="0"/>
                    <w:kinsoku/>
                    <w:wordWrap/>
                    <w:overflowPunct/>
                    <w:topLinePunct w:val="0"/>
                    <w:autoSpaceDE/>
                    <w:autoSpaceDN/>
                    <w:bidi w:val="0"/>
                    <w:adjustRightInd/>
                    <w:snapToGrid/>
                    <w:spacing w:line="240" w:lineRule="auto"/>
                    <w:ind w:left="210" w:leftChars="100" w:right="210" w:rightChars="100"/>
                    <w:jc w:val="center"/>
                    <w:textAlignment w:val="auto"/>
                    <w:rPr>
                      <w:rFonts w:ascii="Times New Roman" w:hAnsi="Times New Roman" w:eastAsia="宋体" w:cs="Times New Roman"/>
                      <w:color w:val="auto"/>
                      <w:sz w:val="21"/>
                      <w:highlight w:val="none"/>
                    </w:rPr>
                  </w:pPr>
                  <w:r>
                    <w:rPr>
                      <w:rFonts w:hint="eastAsia" w:ascii="Times New Roman" w:hAnsi="Times New Roman" w:eastAsia="宋体" w:cs="Times New Roman"/>
                      <w:color w:val="auto"/>
                      <w:sz w:val="21"/>
                      <w:highlight w:val="none"/>
                    </w:rPr>
                    <w:t>床位100张及以上的专科医院8415（精神病、康复和运动康复医院）以及疗养院8416，床位100张及以上500张以下的综合医院8411、中医医院8412、中西医结合医院8413、民族医院8414、专科医院8415（不含精神病、康复和运动康复医院）</w:t>
                  </w:r>
                </w:p>
              </w:tc>
              <w:tc>
                <w:tcPr>
                  <w:tcW w:w="521" w:type="pct"/>
                  <w:tcBorders>
                    <w:tl2br w:val="nil"/>
                    <w:tr2bl w:val="nil"/>
                  </w:tcBorders>
                  <w:shd w:val="clear" w:color="auto" w:fill="auto"/>
                  <w:vAlign w:val="center"/>
                </w:tcPr>
                <w:p w14:paraId="656CBE20">
                  <w:pPr>
                    <w:pStyle w:val="11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Times New Roman" w:hAnsi="Times New Roman" w:eastAsia="宋体"/>
                      <w:color w:val="auto"/>
                      <w:sz w:val="21"/>
                      <w:highlight w:val="none"/>
                    </w:rPr>
                  </w:pPr>
                  <w:r>
                    <w:rPr>
                      <w:rFonts w:hint="eastAsia" w:ascii="Times New Roman" w:hAnsi="Times New Roman" w:eastAsia="宋体"/>
                      <w:color w:val="auto"/>
                      <w:sz w:val="21"/>
                      <w:highlight w:val="none"/>
                    </w:rPr>
                    <w:t>疾病预防控制中心8431，床位100张以下的综合医院8411、中医医院8412、中西医结合医院8413、民族医院8414、专科医院8415、疗养院8416</w:t>
                  </w:r>
                </w:p>
              </w:tc>
            </w:tr>
          </w:tbl>
          <w:p w14:paraId="6525C174">
            <w:pPr>
              <w:pStyle w:val="3"/>
              <w:numPr>
                <w:ilvl w:val="1"/>
                <w:numId w:val="1"/>
              </w:numPr>
              <w:bidi w:val="0"/>
              <w:ind w:left="0" w:leftChars="0" w:firstLine="0" w:firstLineChars="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排污口规范化管理</w:t>
            </w:r>
          </w:p>
          <w:p w14:paraId="2479F7BC">
            <w:pPr>
              <w:spacing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排污口规范化是实施污染物总量控制管理的基础工作，也是总量控制不可缺少的一项内容，排污口规范化对于污染源管理，现场监督检查，促进厂家企业强化环保管理，促进污染治理，实现科学化、定量化都有极大的现实意义。</w:t>
            </w:r>
          </w:p>
          <w:p w14:paraId="514B1531">
            <w:pPr>
              <w:spacing w:line="360" w:lineRule="auto"/>
              <w:ind w:firstLine="480"/>
              <w:rPr>
                <w:rFonts w:hint="default" w:ascii="Times New Roman" w:hAnsi="Times New Roman" w:eastAsia="宋体" w:cs="Times New Roman"/>
                <w:color w:val="auto"/>
                <w:sz w:val="24"/>
                <w:szCs w:val="24"/>
                <w:highlight w:val="none"/>
              </w:rPr>
            </w:pPr>
            <w:r>
              <w:rPr>
                <w:rFonts w:hint="eastAsia" w:cs="Times New Roman"/>
                <w:color w:val="auto"/>
                <w:sz w:val="24"/>
                <w:szCs w:val="24"/>
                <w:highlight w:val="none"/>
                <w:lang w:val="en-US" w:eastAsia="zh-CN"/>
              </w:rPr>
              <w:t>本</w:t>
            </w:r>
            <w:r>
              <w:rPr>
                <w:rFonts w:hint="default" w:ascii="Times New Roman" w:hAnsi="Times New Roman" w:eastAsia="宋体" w:cs="Times New Roman"/>
                <w:color w:val="auto"/>
                <w:sz w:val="24"/>
                <w:szCs w:val="24"/>
                <w:highlight w:val="none"/>
              </w:rPr>
              <w:t>项目需规范的排污口主要有</w:t>
            </w:r>
            <w:r>
              <w:rPr>
                <w:rFonts w:hint="eastAsia" w:cs="Times New Roman"/>
                <w:color w:val="auto"/>
                <w:sz w:val="24"/>
                <w:szCs w:val="24"/>
                <w:highlight w:val="none"/>
                <w:lang w:val="en-US" w:eastAsia="zh-CN"/>
              </w:rPr>
              <w:t>污水</w:t>
            </w:r>
            <w:r>
              <w:rPr>
                <w:rFonts w:hint="default" w:ascii="Times New Roman" w:hAnsi="Times New Roman" w:eastAsia="宋体" w:cs="Times New Roman"/>
                <w:color w:val="auto"/>
                <w:sz w:val="24"/>
                <w:szCs w:val="24"/>
                <w:highlight w:val="none"/>
              </w:rPr>
              <w:t>排放口、废气排气筒、固废临时堆放点</w:t>
            </w:r>
            <w:r>
              <w:rPr>
                <w:rFonts w:hint="eastAsia" w:cs="Times New Roman"/>
                <w:color w:val="auto"/>
                <w:sz w:val="24"/>
                <w:szCs w:val="24"/>
                <w:highlight w:val="none"/>
                <w:lang w:val="en-US" w:eastAsia="zh-CN"/>
              </w:rPr>
              <w:t>等</w:t>
            </w:r>
            <w:r>
              <w:rPr>
                <w:rFonts w:hint="default" w:ascii="Times New Roman" w:hAnsi="Times New Roman" w:eastAsia="宋体" w:cs="Times New Roman"/>
                <w:color w:val="auto"/>
                <w:sz w:val="24"/>
                <w:szCs w:val="24"/>
                <w:highlight w:val="none"/>
              </w:rPr>
              <w:t>。</w:t>
            </w:r>
          </w:p>
          <w:p w14:paraId="5FA47580">
            <w:pPr>
              <w:spacing w:line="360" w:lineRule="auto"/>
              <w:ind w:firstLine="480"/>
              <w:rPr>
                <w:rFonts w:hint="default"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1</w:t>
            </w:r>
            <w:r>
              <w:rPr>
                <w:rFonts w:hint="eastAsia" w:ascii="Times New Roman" w:hAnsi="Times New Roman" w:eastAsia="宋体" w:cs="Times New Roman"/>
                <w:color w:val="auto"/>
                <w:sz w:val="24"/>
                <w:szCs w:val="24"/>
                <w:highlight w:val="none"/>
                <w:lang w:eastAsia="zh-CN"/>
              </w:rPr>
              <w:t>）</w:t>
            </w:r>
            <w:r>
              <w:rPr>
                <w:rFonts w:hint="eastAsia" w:cs="Times New Roman"/>
                <w:color w:val="auto"/>
                <w:sz w:val="24"/>
                <w:szCs w:val="24"/>
                <w:highlight w:val="none"/>
                <w:lang w:val="en-US" w:eastAsia="zh-CN"/>
              </w:rPr>
              <w:t>污水</w:t>
            </w:r>
            <w:r>
              <w:rPr>
                <w:rFonts w:hint="default" w:ascii="Times New Roman" w:hAnsi="Times New Roman" w:eastAsia="宋体" w:cs="Times New Roman"/>
                <w:color w:val="auto"/>
                <w:sz w:val="24"/>
                <w:szCs w:val="24"/>
                <w:highlight w:val="none"/>
              </w:rPr>
              <w:t>排放口：本项目</w:t>
            </w:r>
            <w:r>
              <w:rPr>
                <w:rFonts w:hint="eastAsia" w:cs="Times New Roman"/>
                <w:color w:val="auto"/>
                <w:sz w:val="24"/>
                <w:szCs w:val="24"/>
                <w:highlight w:val="none"/>
                <w:lang w:val="en-US" w:eastAsia="zh-CN"/>
              </w:rPr>
              <w:t>生活污水和医疗废水经化粪池预处理后排入污水处理设施处理达标后，接入市政污水管网进入罗源城区污水处理厂</w:t>
            </w:r>
            <w:r>
              <w:rPr>
                <w:rFonts w:hint="eastAsia" w:ascii="Times New Roman" w:hAnsi="Times New Roman" w:eastAsia="宋体" w:cs="Times New Roman"/>
                <w:color w:val="auto"/>
                <w:sz w:val="24"/>
                <w:szCs w:val="24"/>
                <w:highlight w:val="none"/>
                <w:lang w:val="en-US" w:eastAsia="zh-CN"/>
              </w:rPr>
              <w:t>集中处理</w:t>
            </w:r>
            <w:r>
              <w:rPr>
                <w:rFonts w:hint="default" w:ascii="Times New Roman" w:hAnsi="Times New Roman" w:eastAsia="宋体" w:cs="Times New Roman"/>
                <w:color w:val="auto"/>
                <w:sz w:val="24"/>
                <w:szCs w:val="24"/>
                <w:highlight w:val="none"/>
              </w:rPr>
              <w:t>。排污口设置符合对排污口的规范化的要求。具体有以下要求的内容：</w:t>
            </w:r>
          </w:p>
          <w:p w14:paraId="257AF61D">
            <w:pPr>
              <w:spacing w:line="360" w:lineRule="auto"/>
              <w:ind w:firstLine="48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A</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按《污水综合排放标准》</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GB8978—1996</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和《污水监测技术规范》（HJ 91.1-2019）的规定，在排污单位的排放口设置采样点。</w:t>
            </w:r>
          </w:p>
          <w:p w14:paraId="7C3AD2BC">
            <w:pPr>
              <w:spacing w:line="360" w:lineRule="auto"/>
              <w:ind w:firstLine="480"/>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B</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应尽量安装污水流量计，堰槽式测流装置满足《</w:t>
            </w:r>
            <w:r>
              <w:rPr>
                <w:rFonts w:hint="eastAsia" w:cs="Times New Roman"/>
                <w:color w:val="auto"/>
                <w:sz w:val="24"/>
                <w:szCs w:val="24"/>
                <w:highlight w:val="none"/>
                <w:lang w:eastAsia="zh-CN"/>
              </w:rPr>
              <w:t>明渠堰槽流量计（试行）检定规程</w:t>
            </w:r>
            <w:r>
              <w:rPr>
                <w:rFonts w:hint="default" w:ascii="Times New Roman" w:hAnsi="Times New Roman" w:eastAsia="宋体" w:cs="Times New Roman"/>
                <w:color w:val="auto"/>
                <w:sz w:val="24"/>
                <w:szCs w:val="24"/>
                <w:highlight w:val="none"/>
                <w:lang w:eastAsia="zh-CN"/>
              </w:rPr>
              <w:t>》（JJG711-90）标准要求。</w:t>
            </w:r>
          </w:p>
          <w:p w14:paraId="44AADD63">
            <w:pPr>
              <w:spacing w:line="360" w:lineRule="auto"/>
              <w:ind w:firstLine="480" w:firstLineChars="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C</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废水排放口环境保护图形标志牌设在排放口附近醒目处。</w:t>
            </w:r>
          </w:p>
          <w:p w14:paraId="0A65E5B5">
            <w:pPr>
              <w:spacing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（2）废气排放口：各烟囱或烟道应设置永久采样孔，并安装采样监测平台，废气采样口设置必须符合《</w:t>
            </w:r>
            <w:r>
              <w:rPr>
                <w:rFonts w:hint="eastAsia" w:ascii="Times New Roman" w:hAnsi="Times New Roman"/>
                <w:color w:val="auto"/>
                <w:sz w:val="24"/>
                <w:szCs w:val="24"/>
                <w:highlight w:val="none"/>
              </w:rPr>
              <w:t>固定源废气监测技术规范</w:t>
            </w:r>
            <w:r>
              <w:rPr>
                <w:rFonts w:hint="default" w:ascii="Times New Roman" w:hAnsi="Times New Roman" w:eastAsia="宋体" w:cs="Times New Roman"/>
                <w:color w:val="auto"/>
                <w:sz w:val="24"/>
                <w:szCs w:val="24"/>
                <w:highlight w:val="none"/>
              </w:rPr>
              <w:t>》</w:t>
            </w:r>
            <w:r>
              <w:rPr>
                <w:rFonts w:hint="eastAsia" w:ascii="Times New Roman" w:hAnsi="Times New Roman"/>
                <w:color w:val="auto"/>
                <w:sz w:val="24"/>
                <w:szCs w:val="24"/>
                <w:highlight w:val="none"/>
                <w:lang w:eastAsia="zh-CN"/>
              </w:rPr>
              <w:t>（</w:t>
            </w:r>
            <w:r>
              <w:rPr>
                <w:rFonts w:hint="eastAsia"/>
                <w:color w:val="auto"/>
                <w:sz w:val="24"/>
                <w:szCs w:val="24"/>
                <w:highlight w:val="none"/>
                <w:lang w:eastAsia="zh-CN"/>
              </w:rPr>
              <w:t>HJ/T 397-2007</w:t>
            </w:r>
            <w:r>
              <w:rPr>
                <w:rFonts w:hint="eastAsia" w:ascii="Times New Roman" w:hAnsi="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规定的高度和要求，便于采样、监测的要求，并得到授权的环境监察支队和环境监测中心站共同确认。具体有以下要求的内容：</w:t>
            </w:r>
          </w:p>
          <w:p w14:paraId="79347D90">
            <w:pPr>
              <w:spacing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A</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采样口位置原则上应避开烟道弯头和断面急剧变化的部位。对颗粒物采集或连续测定，应设置在距弯头、阀门、变径管下游方向不小于</w:t>
            </w:r>
            <w:r>
              <w:rPr>
                <w:rFonts w:hint="eastAsia" w:ascii="Times New Roman" w:hAnsi="Times New Roman" w:eastAsia="宋体" w:cs="Times New Roman"/>
                <w:color w:val="auto"/>
                <w:sz w:val="24"/>
                <w:szCs w:val="24"/>
                <w:highlight w:val="none"/>
                <w:lang w:val="en-US" w:eastAsia="zh-CN"/>
              </w:rPr>
              <w:t>6</w:t>
            </w:r>
            <w:r>
              <w:rPr>
                <w:rFonts w:hint="default" w:ascii="Times New Roman" w:hAnsi="Times New Roman" w:eastAsia="宋体" w:cs="Times New Roman"/>
                <w:color w:val="auto"/>
                <w:sz w:val="24"/>
                <w:szCs w:val="24"/>
                <w:highlight w:val="none"/>
              </w:rPr>
              <w:t>倍直径，和距上述部件上游方向不小于</w:t>
            </w:r>
            <w:r>
              <w:rPr>
                <w:rFonts w:hint="eastAsia"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倍直径处；对气态污染物采集或连续测定，应设置在距弯头、阀门、变径管道下游方向不小于2倍直径处，和距上述部件上游方向不小于</w:t>
            </w:r>
            <w:r>
              <w:rPr>
                <w:rFonts w:hint="eastAsia" w:ascii="Times New Roman" w:hAnsi="Times New Roman" w:eastAsia="宋体" w:cs="Times New Roman"/>
                <w:color w:val="auto"/>
                <w:sz w:val="24"/>
                <w:szCs w:val="24"/>
                <w:highlight w:val="none"/>
                <w:lang w:val="en-US" w:eastAsia="zh-CN"/>
              </w:rPr>
              <w:t>1.5</w:t>
            </w:r>
            <w:r>
              <w:rPr>
                <w:rFonts w:hint="default" w:ascii="Times New Roman" w:hAnsi="Times New Roman" w:eastAsia="宋体" w:cs="Times New Roman"/>
                <w:color w:val="auto"/>
                <w:sz w:val="24"/>
                <w:szCs w:val="24"/>
                <w:highlight w:val="none"/>
              </w:rPr>
              <w:t>倍直径处。</w:t>
            </w:r>
          </w:p>
          <w:p w14:paraId="2FEBE98E">
            <w:pPr>
              <w:spacing w:line="360" w:lineRule="auto"/>
              <w:ind w:firstLine="480"/>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B</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采样口径一般不少于</w:t>
            </w:r>
            <w:r>
              <w:rPr>
                <w:rFonts w:hint="eastAsia" w:ascii="Times New Roman" w:hAnsi="Times New Roman" w:eastAsia="宋体" w:cs="Times New Roman"/>
                <w:color w:val="auto"/>
                <w:sz w:val="24"/>
                <w:szCs w:val="24"/>
                <w:highlight w:val="none"/>
                <w:lang w:val="en-US" w:eastAsia="zh-CN"/>
              </w:rPr>
              <w:t>80</w:t>
            </w:r>
            <w:r>
              <w:rPr>
                <w:rFonts w:hint="default" w:ascii="Times New Roman" w:hAnsi="Times New Roman" w:eastAsia="宋体" w:cs="Times New Roman"/>
                <w:color w:val="auto"/>
                <w:sz w:val="24"/>
                <w:szCs w:val="24"/>
                <w:highlight w:val="none"/>
              </w:rPr>
              <w:t>毫米。当采取有毒或变温气体且采样点烟道处于正压状态时，应加设防喷装置。烟气排放连续监测系统的采样口径应按产品说明书要求确定</w:t>
            </w:r>
            <w:r>
              <w:rPr>
                <w:rFonts w:hint="eastAsia" w:ascii="Times New Roman" w:hAnsi="Times New Roman" w:eastAsia="宋体" w:cs="Times New Roman"/>
                <w:color w:val="auto"/>
                <w:sz w:val="24"/>
                <w:szCs w:val="24"/>
                <w:highlight w:val="none"/>
                <w:lang w:eastAsia="zh-CN"/>
              </w:rPr>
              <w:t>。</w:t>
            </w:r>
          </w:p>
          <w:p w14:paraId="260D976A">
            <w:pPr>
              <w:spacing w:line="360" w:lineRule="auto"/>
              <w:ind w:firstLine="480"/>
              <w:rPr>
                <w:rFonts w:hint="eastAsia"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rPr>
              <w:t>C</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废气排放口的环境保护图形标志牌应设在排气筒附近地面醒目处</w:t>
            </w:r>
            <w:r>
              <w:rPr>
                <w:rFonts w:hint="eastAsia" w:ascii="Times New Roman" w:hAnsi="Times New Roman" w:eastAsia="宋体" w:cs="Times New Roman"/>
                <w:color w:val="auto"/>
                <w:sz w:val="24"/>
                <w:szCs w:val="24"/>
                <w:highlight w:val="none"/>
                <w:lang w:eastAsia="zh-CN"/>
              </w:rPr>
              <w:t>。</w:t>
            </w:r>
          </w:p>
          <w:p w14:paraId="463BAFAB">
            <w:pPr>
              <w:spacing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（3）固定噪声排放源</w:t>
            </w:r>
          </w:p>
          <w:p w14:paraId="035D95B2">
            <w:pPr>
              <w:spacing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按规定对固定噪声进行治理，并在边界噪声敏感点</w:t>
            </w:r>
            <w:r>
              <w:rPr>
                <w:rFonts w:hint="eastAsia" w:cs="Times New Roman"/>
                <w:color w:val="auto"/>
                <w:sz w:val="24"/>
                <w:szCs w:val="24"/>
                <w:highlight w:val="none"/>
                <w:lang w:eastAsia="zh-CN"/>
              </w:rPr>
              <w:t>且</w:t>
            </w:r>
            <w:r>
              <w:rPr>
                <w:rFonts w:hint="default" w:ascii="Times New Roman" w:hAnsi="Times New Roman" w:eastAsia="宋体" w:cs="Times New Roman"/>
                <w:color w:val="auto"/>
                <w:sz w:val="24"/>
                <w:szCs w:val="24"/>
                <w:highlight w:val="none"/>
              </w:rPr>
              <w:t>对外界影响最大处设置标志牌。</w:t>
            </w:r>
          </w:p>
          <w:p w14:paraId="10F72120">
            <w:pPr>
              <w:spacing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（4）固体废物贮存处置</w:t>
            </w:r>
          </w:p>
          <w:p w14:paraId="7F3F9572">
            <w:pPr>
              <w:spacing w:line="360" w:lineRule="auto"/>
              <w:ind w:firstLine="48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对各种固体废物应分类收集，设置暂存点应有防扬尘、防流失、防渗漏等措施。</w:t>
            </w:r>
          </w:p>
          <w:p w14:paraId="2BB2002D">
            <w:pPr>
              <w:pStyle w:val="44"/>
              <w:keepNext/>
              <w:keepLines/>
              <w:pageBreakBefore w:val="0"/>
              <w:widowControl w:val="0"/>
              <w:numPr>
                <w:ilvl w:val="7"/>
                <w:numId w:val="10"/>
              </w:numPr>
              <w:tabs>
                <w:tab w:val="left" w:pos="0"/>
              </w:tabs>
              <w:kinsoku/>
              <w:wordWrap/>
              <w:overflowPunct/>
              <w:topLinePunct w:val="0"/>
              <w:autoSpaceDE/>
              <w:autoSpaceDN/>
              <w:bidi w:val="0"/>
              <w:adjustRightInd/>
              <w:snapToGrid/>
              <w:spacing w:before="0" w:after="0"/>
              <w:ind w:left="630" w:leftChars="0" w:firstLineChars="0"/>
              <w:jc w:val="center"/>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 xml:space="preserve"> 排放口图形标志</w:t>
            </w:r>
          </w:p>
          <w:tbl>
            <w:tblPr>
              <w:tblStyle w:val="34"/>
              <w:tblW w:w="864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497"/>
              <w:gridCol w:w="1540"/>
              <w:gridCol w:w="1364"/>
              <w:gridCol w:w="1473"/>
              <w:gridCol w:w="1969"/>
            </w:tblGrid>
            <w:tr w14:paraId="1617BC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804" w:type="dxa"/>
                  <w:tcBorders>
                    <w:bottom w:val="single" w:color="auto" w:sz="12" w:space="0"/>
                  </w:tcBorders>
                  <w:noWrap w:val="0"/>
                  <w:tcMar>
                    <w:left w:w="28" w:type="dxa"/>
                    <w:right w:w="28" w:type="dxa"/>
                  </w:tcMar>
                  <w:vAlign w:val="center"/>
                </w:tcPr>
                <w:p w14:paraId="24C83CBD">
                  <w:pPr>
                    <w:spacing w:line="240" w:lineRule="auto"/>
                    <w:ind w:firstLine="0" w:firstLineChars="0"/>
                    <w:jc w:val="center"/>
                    <w:rPr>
                      <w:rFonts w:ascii="Times New Roman" w:hAnsi="Times New Roman"/>
                      <w:b/>
                      <w:bCs/>
                      <w:iCs/>
                      <w:color w:val="auto"/>
                      <w:sz w:val="21"/>
                      <w:szCs w:val="21"/>
                      <w:highlight w:val="none"/>
                    </w:rPr>
                  </w:pPr>
                  <w:r>
                    <w:rPr>
                      <w:rFonts w:ascii="Times New Roman" w:hAnsi="Times New Roman"/>
                      <w:b/>
                      <w:bCs/>
                      <w:iCs/>
                      <w:color w:val="auto"/>
                      <w:sz w:val="21"/>
                      <w:szCs w:val="21"/>
                      <w:highlight w:val="none"/>
                    </w:rPr>
                    <w:t>名称</w:t>
                  </w:r>
                </w:p>
              </w:tc>
              <w:tc>
                <w:tcPr>
                  <w:tcW w:w="1497" w:type="dxa"/>
                  <w:tcBorders>
                    <w:bottom w:val="single" w:color="auto" w:sz="12" w:space="0"/>
                  </w:tcBorders>
                  <w:noWrap w:val="0"/>
                  <w:tcMar>
                    <w:left w:w="28" w:type="dxa"/>
                    <w:right w:w="28" w:type="dxa"/>
                  </w:tcMar>
                  <w:vAlign w:val="center"/>
                </w:tcPr>
                <w:p w14:paraId="336914DB">
                  <w:pPr>
                    <w:spacing w:line="240" w:lineRule="auto"/>
                    <w:ind w:firstLine="0" w:firstLineChars="0"/>
                    <w:jc w:val="center"/>
                    <w:rPr>
                      <w:rFonts w:ascii="Times New Roman" w:hAnsi="Times New Roman"/>
                      <w:b/>
                      <w:bCs/>
                      <w:iCs/>
                      <w:color w:val="auto"/>
                      <w:sz w:val="21"/>
                      <w:szCs w:val="21"/>
                      <w:highlight w:val="none"/>
                    </w:rPr>
                  </w:pPr>
                  <w:r>
                    <w:rPr>
                      <w:rFonts w:ascii="Times New Roman" w:hAnsi="Times New Roman"/>
                      <w:b/>
                      <w:bCs/>
                      <w:iCs/>
                      <w:color w:val="auto"/>
                      <w:sz w:val="21"/>
                      <w:szCs w:val="21"/>
                      <w:highlight w:val="none"/>
                    </w:rPr>
                    <w:t>废气排放口</w:t>
                  </w:r>
                </w:p>
              </w:tc>
              <w:tc>
                <w:tcPr>
                  <w:tcW w:w="1540" w:type="dxa"/>
                  <w:tcBorders>
                    <w:bottom w:val="single" w:color="auto" w:sz="12" w:space="0"/>
                  </w:tcBorders>
                  <w:noWrap w:val="0"/>
                  <w:tcMar>
                    <w:left w:w="28" w:type="dxa"/>
                    <w:right w:w="28" w:type="dxa"/>
                  </w:tcMar>
                  <w:vAlign w:val="center"/>
                </w:tcPr>
                <w:p w14:paraId="5A947AB6">
                  <w:pPr>
                    <w:spacing w:line="240" w:lineRule="auto"/>
                    <w:ind w:firstLine="0" w:firstLineChars="0"/>
                    <w:jc w:val="center"/>
                    <w:rPr>
                      <w:rFonts w:ascii="Times New Roman" w:hAnsi="Times New Roman"/>
                      <w:b/>
                      <w:bCs/>
                      <w:iCs/>
                      <w:color w:val="auto"/>
                      <w:sz w:val="21"/>
                      <w:szCs w:val="21"/>
                      <w:highlight w:val="none"/>
                    </w:rPr>
                  </w:pPr>
                  <w:r>
                    <w:rPr>
                      <w:rFonts w:ascii="Times New Roman" w:hAnsi="Times New Roman"/>
                      <w:b/>
                      <w:bCs/>
                      <w:iCs/>
                      <w:color w:val="auto"/>
                      <w:sz w:val="21"/>
                      <w:szCs w:val="21"/>
                      <w:highlight w:val="none"/>
                    </w:rPr>
                    <w:t>噪声排放源</w:t>
                  </w:r>
                </w:p>
              </w:tc>
              <w:tc>
                <w:tcPr>
                  <w:tcW w:w="1364" w:type="dxa"/>
                  <w:tcBorders>
                    <w:bottom w:val="single" w:color="auto" w:sz="12" w:space="0"/>
                  </w:tcBorders>
                  <w:noWrap w:val="0"/>
                  <w:tcMar>
                    <w:left w:w="28" w:type="dxa"/>
                    <w:right w:w="28" w:type="dxa"/>
                  </w:tcMar>
                  <w:vAlign w:val="center"/>
                </w:tcPr>
                <w:p w14:paraId="382F3408">
                  <w:pPr>
                    <w:spacing w:line="240" w:lineRule="auto"/>
                    <w:ind w:firstLine="0" w:firstLineChars="0"/>
                    <w:jc w:val="center"/>
                    <w:rPr>
                      <w:rFonts w:ascii="Times New Roman" w:hAnsi="Times New Roman"/>
                      <w:b/>
                      <w:bCs/>
                      <w:iCs/>
                      <w:color w:val="auto"/>
                      <w:sz w:val="21"/>
                      <w:szCs w:val="21"/>
                      <w:highlight w:val="none"/>
                    </w:rPr>
                  </w:pPr>
                  <w:r>
                    <w:rPr>
                      <w:rFonts w:ascii="Times New Roman" w:hAnsi="Times New Roman"/>
                      <w:b/>
                      <w:bCs/>
                      <w:iCs/>
                      <w:color w:val="auto"/>
                      <w:sz w:val="21"/>
                      <w:szCs w:val="21"/>
                      <w:highlight w:val="none"/>
                    </w:rPr>
                    <w:t>一般固体废物</w:t>
                  </w:r>
                </w:p>
              </w:tc>
              <w:tc>
                <w:tcPr>
                  <w:tcW w:w="1473" w:type="dxa"/>
                  <w:tcBorders>
                    <w:bottom w:val="single" w:color="auto" w:sz="12" w:space="0"/>
                  </w:tcBorders>
                  <w:noWrap w:val="0"/>
                  <w:tcMar>
                    <w:left w:w="28" w:type="dxa"/>
                    <w:right w:w="28" w:type="dxa"/>
                  </w:tcMar>
                  <w:vAlign w:val="center"/>
                </w:tcPr>
                <w:p w14:paraId="45118CB6">
                  <w:pPr>
                    <w:spacing w:line="240" w:lineRule="auto"/>
                    <w:ind w:firstLine="0" w:firstLineChars="0"/>
                    <w:jc w:val="center"/>
                    <w:rPr>
                      <w:rFonts w:hint="default" w:ascii="Times New Roman" w:hAnsi="Times New Roman" w:eastAsia="宋体"/>
                      <w:b/>
                      <w:bCs/>
                      <w:iCs/>
                      <w:color w:val="auto"/>
                      <w:sz w:val="21"/>
                      <w:szCs w:val="21"/>
                      <w:highlight w:val="none"/>
                      <w:lang w:val="en-US" w:eastAsia="zh-CN"/>
                    </w:rPr>
                  </w:pPr>
                  <w:r>
                    <w:rPr>
                      <w:rFonts w:hint="eastAsia"/>
                      <w:b/>
                      <w:bCs/>
                      <w:iCs/>
                      <w:color w:val="auto"/>
                      <w:sz w:val="21"/>
                      <w:szCs w:val="21"/>
                      <w:highlight w:val="none"/>
                      <w:lang w:val="en-US" w:eastAsia="zh-CN"/>
                    </w:rPr>
                    <w:t>废水排放口</w:t>
                  </w:r>
                </w:p>
              </w:tc>
              <w:tc>
                <w:tcPr>
                  <w:tcW w:w="1969" w:type="dxa"/>
                  <w:tcBorders>
                    <w:bottom w:val="single" w:color="auto" w:sz="12" w:space="0"/>
                  </w:tcBorders>
                  <w:noWrap w:val="0"/>
                  <w:tcMar>
                    <w:left w:w="28" w:type="dxa"/>
                    <w:right w:w="28" w:type="dxa"/>
                  </w:tcMar>
                  <w:vAlign w:val="center"/>
                </w:tcPr>
                <w:p w14:paraId="43EB94A6">
                  <w:pPr>
                    <w:spacing w:line="240" w:lineRule="auto"/>
                    <w:ind w:firstLine="0" w:firstLineChars="0"/>
                    <w:jc w:val="center"/>
                    <w:rPr>
                      <w:rFonts w:ascii="Times New Roman" w:hAnsi="Times New Roman"/>
                      <w:b/>
                      <w:bCs/>
                      <w:iCs/>
                      <w:color w:val="auto"/>
                      <w:sz w:val="21"/>
                      <w:szCs w:val="21"/>
                      <w:highlight w:val="none"/>
                    </w:rPr>
                  </w:pPr>
                  <w:r>
                    <w:rPr>
                      <w:rFonts w:ascii="Times New Roman" w:hAnsi="Times New Roman"/>
                      <w:b/>
                      <w:bCs/>
                      <w:iCs/>
                      <w:color w:val="auto"/>
                      <w:sz w:val="21"/>
                      <w:szCs w:val="21"/>
                      <w:highlight w:val="none"/>
                    </w:rPr>
                    <w:t>危险废物</w:t>
                  </w:r>
                </w:p>
              </w:tc>
            </w:tr>
            <w:tr w14:paraId="09573C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74" w:hRule="atLeast"/>
                <w:jc w:val="center"/>
              </w:trPr>
              <w:tc>
                <w:tcPr>
                  <w:tcW w:w="804" w:type="dxa"/>
                  <w:tcBorders>
                    <w:top w:val="single" w:color="auto" w:sz="12" w:space="0"/>
                    <w:tl2br w:val="nil"/>
                    <w:tr2bl w:val="nil"/>
                  </w:tcBorders>
                  <w:noWrap w:val="0"/>
                  <w:tcMar>
                    <w:left w:w="28" w:type="dxa"/>
                    <w:right w:w="28" w:type="dxa"/>
                  </w:tcMar>
                  <w:vAlign w:val="center"/>
                </w:tcPr>
                <w:p w14:paraId="72C5DF60">
                  <w:pPr>
                    <w:spacing w:line="240" w:lineRule="auto"/>
                    <w:ind w:firstLine="0" w:firstLineChars="0"/>
                    <w:jc w:val="center"/>
                    <w:rPr>
                      <w:rFonts w:ascii="Times New Roman" w:hAnsi="Times New Roman"/>
                      <w:iCs/>
                      <w:color w:val="auto"/>
                      <w:sz w:val="21"/>
                      <w:szCs w:val="21"/>
                      <w:highlight w:val="none"/>
                    </w:rPr>
                  </w:pPr>
                  <w:r>
                    <w:rPr>
                      <w:rFonts w:ascii="Times New Roman" w:hAnsi="Times New Roman"/>
                      <w:iCs/>
                      <w:color w:val="auto"/>
                      <w:sz w:val="21"/>
                      <w:szCs w:val="21"/>
                      <w:highlight w:val="none"/>
                    </w:rPr>
                    <w:t>提示图形符号</w:t>
                  </w:r>
                </w:p>
              </w:tc>
              <w:tc>
                <w:tcPr>
                  <w:tcW w:w="1497" w:type="dxa"/>
                  <w:tcBorders>
                    <w:top w:val="single" w:color="auto" w:sz="12" w:space="0"/>
                    <w:tl2br w:val="nil"/>
                    <w:tr2bl w:val="nil"/>
                  </w:tcBorders>
                  <w:noWrap w:val="0"/>
                  <w:tcMar>
                    <w:left w:w="28" w:type="dxa"/>
                    <w:right w:w="28" w:type="dxa"/>
                  </w:tcMar>
                  <w:vAlign w:val="center"/>
                </w:tcPr>
                <w:p w14:paraId="3F907E9C">
                  <w:pPr>
                    <w:spacing w:line="240" w:lineRule="auto"/>
                    <w:ind w:firstLine="0" w:firstLineChars="0"/>
                    <w:jc w:val="center"/>
                    <w:rPr>
                      <w:rFonts w:ascii="Times New Roman" w:hAnsi="Times New Roman"/>
                      <w:iCs/>
                      <w:color w:val="auto"/>
                      <w:sz w:val="21"/>
                      <w:szCs w:val="21"/>
                      <w:highlight w:val="none"/>
                    </w:rPr>
                  </w:pPr>
                  <w:r>
                    <w:rPr>
                      <w:rFonts w:ascii="Times New Roman" w:hAnsi="Times New Roman"/>
                      <w:color w:val="auto"/>
                      <w:sz w:val="21"/>
                      <w:szCs w:val="21"/>
                      <w:highlight w:val="none"/>
                    </w:rPr>
                    <w:drawing>
                      <wp:inline distT="0" distB="0" distL="114300" distR="114300">
                        <wp:extent cx="828040" cy="685165"/>
                        <wp:effectExtent l="0" t="0" r="10160" b="635"/>
                        <wp:docPr id="127" name="图片 25" descr="废气排放口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25" descr="废气排放口1"/>
                                <pic:cNvPicPr>
                                  <a:picLocks noChangeAspect="1"/>
                                </pic:cNvPicPr>
                              </pic:nvPicPr>
                              <pic:blipFill>
                                <a:blip r:embed="rId29"/>
                                <a:stretch>
                                  <a:fillRect/>
                                </a:stretch>
                              </pic:blipFill>
                              <pic:spPr>
                                <a:xfrm>
                                  <a:off x="0" y="0"/>
                                  <a:ext cx="828040" cy="685165"/>
                                </a:xfrm>
                                <a:prstGeom prst="rect">
                                  <a:avLst/>
                                </a:prstGeom>
                                <a:noFill/>
                                <a:ln>
                                  <a:noFill/>
                                </a:ln>
                              </pic:spPr>
                            </pic:pic>
                          </a:graphicData>
                        </a:graphic>
                      </wp:inline>
                    </w:drawing>
                  </w:r>
                </w:p>
              </w:tc>
              <w:tc>
                <w:tcPr>
                  <w:tcW w:w="1540" w:type="dxa"/>
                  <w:tcBorders>
                    <w:top w:val="single" w:color="auto" w:sz="12" w:space="0"/>
                    <w:tl2br w:val="nil"/>
                    <w:tr2bl w:val="nil"/>
                  </w:tcBorders>
                  <w:noWrap w:val="0"/>
                  <w:tcMar>
                    <w:left w:w="28" w:type="dxa"/>
                    <w:right w:w="28" w:type="dxa"/>
                  </w:tcMar>
                  <w:vAlign w:val="center"/>
                </w:tcPr>
                <w:p w14:paraId="23ABF473">
                  <w:pPr>
                    <w:spacing w:line="240" w:lineRule="auto"/>
                    <w:ind w:firstLine="0" w:firstLineChars="0"/>
                    <w:jc w:val="center"/>
                    <w:rPr>
                      <w:rFonts w:ascii="Times New Roman" w:hAnsi="Times New Roman"/>
                      <w:iCs/>
                      <w:color w:val="auto"/>
                      <w:sz w:val="21"/>
                      <w:szCs w:val="21"/>
                      <w:highlight w:val="none"/>
                    </w:rPr>
                  </w:pPr>
                  <w:r>
                    <w:rPr>
                      <w:rFonts w:ascii="Times New Roman" w:hAnsi="Times New Roman"/>
                      <w:color w:val="auto"/>
                      <w:sz w:val="21"/>
                      <w:szCs w:val="21"/>
                      <w:highlight w:val="none"/>
                    </w:rPr>
                    <w:drawing>
                      <wp:inline distT="0" distB="0" distL="114300" distR="114300">
                        <wp:extent cx="781685" cy="694690"/>
                        <wp:effectExtent l="0" t="0" r="18415" b="10160"/>
                        <wp:docPr id="41" name="图片 26" descr="噪声排放口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6" descr="噪声排放口1"/>
                                <pic:cNvPicPr>
                                  <a:picLocks noChangeAspect="1"/>
                                </pic:cNvPicPr>
                              </pic:nvPicPr>
                              <pic:blipFill>
                                <a:blip r:embed="rId30"/>
                                <a:stretch>
                                  <a:fillRect/>
                                </a:stretch>
                              </pic:blipFill>
                              <pic:spPr>
                                <a:xfrm>
                                  <a:off x="0" y="0"/>
                                  <a:ext cx="781685" cy="694690"/>
                                </a:xfrm>
                                <a:prstGeom prst="rect">
                                  <a:avLst/>
                                </a:prstGeom>
                                <a:noFill/>
                                <a:ln>
                                  <a:noFill/>
                                </a:ln>
                              </pic:spPr>
                            </pic:pic>
                          </a:graphicData>
                        </a:graphic>
                      </wp:inline>
                    </w:drawing>
                  </w:r>
                </w:p>
              </w:tc>
              <w:tc>
                <w:tcPr>
                  <w:tcW w:w="1364" w:type="dxa"/>
                  <w:tcBorders>
                    <w:top w:val="single" w:color="auto" w:sz="12" w:space="0"/>
                    <w:tl2br w:val="nil"/>
                    <w:tr2bl w:val="nil"/>
                  </w:tcBorders>
                  <w:noWrap w:val="0"/>
                  <w:tcMar>
                    <w:left w:w="28" w:type="dxa"/>
                    <w:right w:w="28" w:type="dxa"/>
                  </w:tcMar>
                  <w:vAlign w:val="center"/>
                </w:tcPr>
                <w:p w14:paraId="377CE691">
                  <w:pPr>
                    <w:spacing w:line="240" w:lineRule="auto"/>
                    <w:ind w:firstLine="0" w:firstLineChars="0"/>
                    <w:jc w:val="center"/>
                    <w:rPr>
                      <w:rFonts w:ascii="Times New Roman" w:hAnsi="Times New Roman"/>
                      <w:iCs/>
                      <w:color w:val="auto"/>
                      <w:sz w:val="21"/>
                      <w:szCs w:val="21"/>
                      <w:highlight w:val="none"/>
                    </w:rPr>
                  </w:pPr>
                  <w:r>
                    <w:rPr>
                      <w:rFonts w:ascii="Times New Roman" w:hAnsi="Times New Roman"/>
                      <w:color w:val="auto"/>
                      <w:sz w:val="21"/>
                      <w:szCs w:val="21"/>
                      <w:highlight w:val="none"/>
                    </w:rPr>
                    <w:drawing>
                      <wp:inline distT="0" distB="0" distL="114300" distR="114300">
                        <wp:extent cx="805180" cy="744855"/>
                        <wp:effectExtent l="0" t="0" r="13970" b="17145"/>
                        <wp:docPr id="12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27"/>
                                <pic:cNvPicPr>
                                  <a:picLocks noChangeAspect="1"/>
                                </pic:cNvPicPr>
                              </pic:nvPicPr>
                              <pic:blipFill>
                                <a:blip r:embed="rId31"/>
                                <a:stretch>
                                  <a:fillRect/>
                                </a:stretch>
                              </pic:blipFill>
                              <pic:spPr>
                                <a:xfrm>
                                  <a:off x="0" y="0"/>
                                  <a:ext cx="805180" cy="744855"/>
                                </a:xfrm>
                                <a:prstGeom prst="rect">
                                  <a:avLst/>
                                </a:prstGeom>
                                <a:noFill/>
                                <a:ln>
                                  <a:noFill/>
                                </a:ln>
                              </pic:spPr>
                            </pic:pic>
                          </a:graphicData>
                        </a:graphic>
                      </wp:inline>
                    </w:drawing>
                  </w:r>
                </w:p>
              </w:tc>
              <w:tc>
                <w:tcPr>
                  <w:tcW w:w="1473" w:type="dxa"/>
                  <w:tcBorders>
                    <w:top w:val="single" w:color="auto" w:sz="12" w:space="0"/>
                    <w:tl2br w:val="nil"/>
                    <w:tr2bl w:val="nil"/>
                  </w:tcBorders>
                  <w:noWrap w:val="0"/>
                  <w:tcMar>
                    <w:left w:w="28" w:type="dxa"/>
                    <w:right w:w="28" w:type="dxa"/>
                  </w:tcMar>
                  <w:vAlign w:val="center"/>
                </w:tcPr>
                <w:p w14:paraId="7A3CC1C0">
                  <w:pPr>
                    <w:spacing w:line="240" w:lineRule="auto"/>
                    <w:ind w:firstLine="0" w:firstLineChars="0"/>
                    <w:jc w:val="center"/>
                    <w:rPr>
                      <w:rFonts w:ascii="Times New Roman" w:hAnsi="Times New Roman"/>
                      <w:color w:val="auto"/>
                      <w:sz w:val="21"/>
                      <w:szCs w:val="21"/>
                      <w:highlight w:val="none"/>
                    </w:rPr>
                  </w:pPr>
                  <w:r>
                    <w:rPr>
                      <w:rFonts w:ascii="Times New Roman" w:hAnsi="Times New Roman"/>
                      <w:color w:val="auto"/>
                      <w:position w:val="-25"/>
                      <w:highlight w:val="none"/>
                    </w:rPr>
                    <w:drawing>
                      <wp:inline distT="0" distB="0" distL="114300" distR="114300">
                        <wp:extent cx="749935" cy="699135"/>
                        <wp:effectExtent l="0" t="0" r="12065" b="5715"/>
                        <wp:docPr id="105" name="图片 31"/>
                        <wp:cNvGraphicFramePr/>
                        <a:graphic xmlns:a="http://schemas.openxmlformats.org/drawingml/2006/main">
                          <a:graphicData uri="http://schemas.openxmlformats.org/drawingml/2006/picture">
                            <pic:pic xmlns:pic="http://schemas.openxmlformats.org/drawingml/2006/picture">
                              <pic:nvPicPr>
                                <pic:cNvPr id="105" name="图片 31"/>
                                <pic:cNvPicPr/>
                              </pic:nvPicPr>
                              <pic:blipFill>
                                <a:blip r:embed="rId32"/>
                                <a:stretch>
                                  <a:fillRect/>
                                </a:stretch>
                              </pic:blipFill>
                              <pic:spPr>
                                <a:xfrm>
                                  <a:off x="0" y="0"/>
                                  <a:ext cx="749935" cy="699135"/>
                                </a:xfrm>
                                <a:prstGeom prst="rect">
                                  <a:avLst/>
                                </a:prstGeom>
                                <a:noFill/>
                                <a:ln>
                                  <a:noFill/>
                                </a:ln>
                              </pic:spPr>
                            </pic:pic>
                          </a:graphicData>
                        </a:graphic>
                      </wp:inline>
                    </w:drawing>
                  </w:r>
                </w:p>
              </w:tc>
              <w:tc>
                <w:tcPr>
                  <w:tcW w:w="1969" w:type="dxa"/>
                  <w:tcBorders>
                    <w:top w:val="single" w:color="auto" w:sz="12" w:space="0"/>
                    <w:tl2br w:val="nil"/>
                    <w:tr2bl w:val="nil"/>
                  </w:tcBorders>
                  <w:noWrap w:val="0"/>
                  <w:tcMar>
                    <w:left w:w="28" w:type="dxa"/>
                    <w:right w:w="28" w:type="dxa"/>
                  </w:tcMar>
                  <w:vAlign w:val="center"/>
                </w:tcPr>
                <w:p w14:paraId="22C4DA16">
                  <w:pPr>
                    <w:spacing w:line="240" w:lineRule="auto"/>
                    <w:ind w:firstLine="0" w:firstLineChars="0"/>
                    <w:jc w:val="center"/>
                    <w:rPr>
                      <w:rFonts w:ascii="Times New Roman" w:hAnsi="Times New Roman"/>
                      <w:iCs/>
                      <w:color w:val="auto"/>
                      <w:sz w:val="21"/>
                      <w:szCs w:val="21"/>
                      <w:highlight w:val="none"/>
                    </w:rPr>
                  </w:pPr>
                  <w:r>
                    <w:rPr>
                      <w:rFonts w:ascii="Times New Roman" w:hAnsi="Times New Roman"/>
                      <w:color w:val="auto"/>
                      <w:highlight w:val="none"/>
                    </w:rPr>
                    <w:drawing>
                      <wp:inline distT="0" distB="0" distL="114300" distR="114300">
                        <wp:extent cx="1051560" cy="667385"/>
                        <wp:effectExtent l="0" t="0" r="15240" b="18415"/>
                        <wp:docPr id="1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28"/>
                                <pic:cNvPicPr>
                                  <a:picLocks noChangeAspect="1"/>
                                </pic:cNvPicPr>
                              </pic:nvPicPr>
                              <pic:blipFill>
                                <a:blip r:embed="rId33"/>
                                <a:stretch>
                                  <a:fillRect/>
                                </a:stretch>
                              </pic:blipFill>
                              <pic:spPr>
                                <a:xfrm>
                                  <a:off x="0" y="0"/>
                                  <a:ext cx="1051560" cy="667385"/>
                                </a:xfrm>
                                <a:prstGeom prst="rect">
                                  <a:avLst/>
                                </a:prstGeom>
                                <a:noFill/>
                                <a:ln>
                                  <a:noFill/>
                                </a:ln>
                              </pic:spPr>
                            </pic:pic>
                          </a:graphicData>
                        </a:graphic>
                      </wp:inline>
                    </w:drawing>
                  </w:r>
                </w:p>
              </w:tc>
            </w:tr>
            <w:tr w14:paraId="62A74E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804" w:type="dxa"/>
                  <w:tcBorders>
                    <w:tl2br w:val="nil"/>
                    <w:tr2bl w:val="nil"/>
                  </w:tcBorders>
                  <w:noWrap w:val="0"/>
                  <w:tcMar>
                    <w:left w:w="28" w:type="dxa"/>
                    <w:right w:w="28" w:type="dxa"/>
                  </w:tcMar>
                  <w:vAlign w:val="center"/>
                </w:tcPr>
                <w:p w14:paraId="2326481D">
                  <w:pPr>
                    <w:spacing w:line="240" w:lineRule="auto"/>
                    <w:ind w:firstLine="0" w:firstLineChars="0"/>
                    <w:jc w:val="center"/>
                    <w:rPr>
                      <w:rFonts w:ascii="Times New Roman" w:hAnsi="Times New Roman"/>
                      <w:iCs/>
                      <w:color w:val="auto"/>
                      <w:sz w:val="21"/>
                      <w:szCs w:val="21"/>
                      <w:highlight w:val="none"/>
                    </w:rPr>
                  </w:pPr>
                  <w:r>
                    <w:rPr>
                      <w:rFonts w:ascii="Times New Roman" w:hAnsi="Times New Roman"/>
                      <w:iCs/>
                      <w:color w:val="auto"/>
                      <w:sz w:val="21"/>
                      <w:szCs w:val="21"/>
                      <w:highlight w:val="none"/>
                    </w:rPr>
                    <w:t>功能</w:t>
                  </w:r>
                </w:p>
                <w:p w14:paraId="3953C407">
                  <w:pPr>
                    <w:spacing w:line="240" w:lineRule="auto"/>
                    <w:ind w:firstLine="0" w:firstLineChars="0"/>
                    <w:jc w:val="center"/>
                    <w:rPr>
                      <w:rFonts w:ascii="Times New Roman" w:hAnsi="Times New Roman"/>
                      <w:iCs/>
                      <w:color w:val="auto"/>
                      <w:sz w:val="21"/>
                      <w:szCs w:val="21"/>
                      <w:highlight w:val="none"/>
                    </w:rPr>
                  </w:pPr>
                  <w:r>
                    <w:rPr>
                      <w:rFonts w:ascii="Times New Roman" w:hAnsi="Times New Roman"/>
                      <w:iCs/>
                      <w:color w:val="auto"/>
                      <w:sz w:val="21"/>
                      <w:szCs w:val="21"/>
                      <w:highlight w:val="none"/>
                    </w:rPr>
                    <w:t>表示</w:t>
                  </w:r>
                </w:p>
              </w:tc>
              <w:tc>
                <w:tcPr>
                  <w:tcW w:w="1497" w:type="dxa"/>
                  <w:tcBorders>
                    <w:tl2br w:val="nil"/>
                    <w:tr2bl w:val="nil"/>
                  </w:tcBorders>
                  <w:noWrap w:val="0"/>
                  <w:tcMar>
                    <w:left w:w="28" w:type="dxa"/>
                    <w:right w:w="28" w:type="dxa"/>
                  </w:tcMar>
                  <w:vAlign w:val="center"/>
                </w:tcPr>
                <w:p w14:paraId="2A4FC96F">
                  <w:pPr>
                    <w:spacing w:line="240" w:lineRule="auto"/>
                    <w:ind w:firstLine="0" w:firstLineChars="0"/>
                    <w:jc w:val="center"/>
                    <w:rPr>
                      <w:rFonts w:ascii="Times New Roman" w:hAnsi="Times New Roman"/>
                      <w:iCs/>
                      <w:color w:val="auto"/>
                      <w:sz w:val="21"/>
                      <w:szCs w:val="21"/>
                      <w:highlight w:val="none"/>
                    </w:rPr>
                  </w:pPr>
                  <w:r>
                    <w:rPr>
                      <w:rFonts w:ascii="Times New Roman" w:hAnsi="Times New Roman"/>
                      <w:iCs/>
                      <w:color w:val="auto"/>
                      <w:sz w:val="21"/>
                      <w:szCs w:val="21"/>
                      <w:highlight w:val="none"/>
                    </w:rPr>
                    <w:t>向大气环境排放废气</w:t>
                  </w:r>
                </w:p>
              </w:tc>
              <w:tc>
                <w:tcPr>
                  <w:tcW w:w="1540" w:type="dxa"/>
                  <w:tcBorders>
                    <w:tl2br w:val="nil"/>
                    <w:tr2bl w:val="nil"/>
                  </w:tcBorders>
                  <w:noWrap w:val="0"/>
                  <w:tcMar>
                    <w:left w:w="28" w:type="dxa"/>
                    <w:right w:w="28" w:type="dxa"/>
                  </w:tcMar>
                  <w:vAlign w:val="center"/>
                </w:tcPr>
                <w:p w14:paraId="694B387D">
                  <w:pPr>
                    <w:spacing w:line="240" w:lineRule="auto"/>
                    <w:ind w:firstLine="0" w:firstLineChars="0"/>
                    <w:jc w:val="center"/>
                    <w:rPr>
                      <w:rFonts w:ascii="Times New Roman" w:hAnsi="Times New Roman"/>
                      <w:iCs/>
                      <w:color w:val="auto"/>
                      <w:sz w:val="21"/>
                      <w:szCs w:val="21"/>
                      <w:highlight w:val="none"/>
                    </w:rPr>
                  </w:pPr>
                  <w:r>
                    <w:rPr>
                      <w:rFonts w:ascii="Times New Roman" w:hAnsi="Times New Roman"/>
                      <w:iCs/>
                      <w:color w:val="auto"/>
                      <w:sz w:val="21"/>
                      <w:szCs w:val="21"/>
                      <w:highlight w:val="none"/>
                    </w:rPr>
                    <w:t>向外环境排放噪声</w:t>
                  </w:r>
                </w:p>
              </w:tc>
              <w:tc>
                <w:tcPr>
                  <w:tcW w:w="1364" w:type="dxa"/>
                  <w:tcBorders>
                    <w:tl2br w:val="nil"/>
                    <w:tr2bl w:val="nil"/>
                  </w:tcBorders>
                  <w:noWrap w:val="0"/>
                  <w:tcMar>
                    <w:left w:w="28" w:type="dxa"/>
                    <w:right w:w="28" w:type="dxa"/>
                  </w:tcMar>
                  <w:vAlign w:val="center"/>
                </w:tcPr>
                <w:p w14:paraId="6D177593">
                  <w:pPr>
                    <w:spacing w:line="240" w:lineRule="auto"/>
                    <w:ind w:firstLine="0" w:firstLineChars="0"/>
                    <w:jc w:val="center"/>
                    <w:rPr>
                      <w:rFonts w:ascii="Times New Roman" w:hAnsi="Times New Roman"/>
                      <w:iCs/>
                      <w:color w:val="auto"/>
                      <w:sz w:val="21"/>
                      <w:szCs w:val="21"/>
                      <w:highlight w:val="none"/>
                    </w:rPr>
                  </w:pPr>
                  <w:r>
                    <w:rPr>
                      <w:rFonts w:ascii="Times New Roman" w:hAnsi="Times New Roman"/>
                      <w:iCs/>
                      <w:color w:val="auto"/>
                      <w:sz w:val="21"/>
                      <w:szCs w:val="21"/>
                      <w:highlight w:val="none"/>
                    </w:rPr>
                    <w:t>一般固体废物贮存、处置场</w:t>
                  </w:r>
                </w:p>
              </w:tc>
              <w:tc>
                <w:tcPr>
                  <w:tcW w:w="1473" w:type="dxa"/>
                  <w:tcBorders>
                    <w:tl2br w:val="nil"/>
                    <w:tr2bl w:val="nil"/>
                  </w:tcBorders>
                  <w:noWrap w:val="0"/>
                  <w:tcMar>
                    <w:left w:w="28" w:type="dxa"/>
                    <w:right w:w="28" w:type="dxa"/>
                  </w:tcMar>
                  <w:vAlign w:val="center"/>
                </w:tcPr>
                <w:p w14:paraId="0389E697">
                  <w:pPr>
                    <w:spacing w:line="240" w:lineRule="auto"/>
                    <w:ind w:firstLine="0" w:firstLineChars="0"/>
                    <w:jc w:val="center"/>
                    <w:rPr>
                      <w:rFonts w:hint="eastAsia" w:ascii="Times New Roman" w:hAnsi="Times New Roman" w:eastAsia="宋体"/>
                      <w:iCs/>
                      <w:color w:val="auto"/>
                      <w:sz w:val="21"/>
                      <w:szCs w:val="21"/>
                      <w:highlight w:val="none"/>
                      <w:lang w:val="en-US" w:eastAsia="zh-CN"/>
                    </w:rPr>
                  </w:pPr>
                  <w:r>
                    <w:rPr>
                      <w:rFonts w:ascii="Times New Roman" w:hAnsi="Times New Roman"/>
                      <w:iCs/>
                      <w:color w:val="auto"/>
                      <w:sz w:val="21"/>
                      <w:szCs w:val="21"/>
                      <w:highlight w:val="none"/>
                    </w:rPr>
                    <w:t>向</w:t>
                  </w:r>
                  <w:r>
                    <w:rPr>
                      <w:rFonts w:hint="eastAsia" w:ascii="Times New Roman" w:hAnsi="Times New Roman"/>
                      <w:iCs/>
                      <w:color w:val="auto"/>
                      <w:sz w:val="21"/>
                      <w:szCs w:val="21"/>
                      <w:highlight w:val="none"/>
                      <w:lang w:val="en-US" w:eastAsia="zh-CN"/>
                    </w:rPr>
                    <w:t>水</w:t>
                  </w:r>
                  <w:r>
                    <w:rPr>
                      <w:rFonts w:ascii="Times New Roman" w:hAnsi="Times New Roman"/>
                      <w:iCs/>
                      <w:color w:val="auto"/>
                      <w:sz w:val="21"/>
                      <w:szCs w:val="21"/>
                      <w:highlight w:val="none"/>
                    </w:rPr>
                    <w:t>环境</w:t>
                  </w:r>
                  <w:r>
                    <w:rPr>
                      <w:rFonts w:hint="eastAsia" w:ascii="Times New Roman" w:hAnsi="Times New Roman"/>
                      <w:iCs/>
                      <w:color w:val="auto"/>
                      <w:sz w:val="21"/>
                      <w:szCs w:val="21"/>
                      <w:highlight w:val="none"/>
                      <w:lang w:val="en-US" w:eastAsia="zh-CN"/>
                    </w:rPr>
                    <w:t>或污水处理单位</w:t>
                  </w:r>
                  <w:r>
                    <w:rPr>
                      <w:rFonts w:ascii="Times New Roman" w:hAnsi="Times New Roman"/>
                      <w:iCs/>
                      <w:color w:val="auto"/>
                      <w:sz w:val="21"/>
                      <w:szCs w:val="21"/>
                      <w:highlight w:val="none"/>
                    </w:rPr>
                    <w:t>排放废</w:t>
                  </w:r>
                  <w:r>
                    <w:rPr>
                      <w:rFonts w:hint="eastAsia" w:ascii="Times New Roman" w:hAnsi="Times New Roman"/>
                      <w:iCs/>
                      <w:color w:val="auto"/>
                      <w:sz w:val="21"/>
                      <w:szCs w:val="21"/>
                      <w:highlight w:val="none"/>
                      <w:lang w:val="en-US" w:eastAsia="zh-CN"/>
                    </w:rPr>
                    <w:t>水</w:t>
                  </w:r>
                </w:p>
              </w:tc>
              <w:tc>
                <w:tcPr>
                  <w:tcW w:w="1969" w:type="dxa"/>
                  <w:tcBorders>
                    <w:tl2br w:val="nil"/>
                    <w:tr2bl w:val="nil"/>
                  </w:tcBorders>
                  <w:noWrap w:val="0"/>
                  <w:tcMar>
                    <w:left w:w="28" w:type="dxa"/>
                    <w:right w:w="28" w:type="dxa"/>
                  </w:tcMar>
                  <w:vAlign w:val="center"/>
                </w:tcPr>
                <w:p w14:paraId="31AAC396">
                  <w:pPr>
                    <w:spacing w:line="240" w:lineRule="auto"/>
                    <w:ind w:firstLine="0" w:firstLineChars="0"/>
                    <w:jc w:val="center"/>
                    <w:rPr>
                      <w:rFonts w:hint="eastAsia" w:ascii="Times New Roman" w:hAnsi="Times New Roman" w:eastAsia="宋体"/>
                      <w:iCs/>
                      <w:color w:val="auto"/>
                      <w:sz w:val="21"/>
                      <w:szCs w:val="21"/>
                      <w:highlight w:val="none"/>
                      <w:lang w:val="en-US" w:eastAsia="zh-CN"/>
                    </w:rPr>
                  </w:pPr>
                  <w:r>
                    <w:rPr>
                      <w:rFonts w:ascii="Times New Roman" w:hAnsi="Times New Roman"/>
                      <w:iCs/>
                      <w:color w:val="auto"/>
                      <w:sz w:val="21"/>
                      <w:szCs w:val="21"/>
                      <w:highlight w:val="none"/>
                    </w:rPr>
                    <w:t>危险废物贮存</w:t>
                  </w:r>
                  <w:r>
                    <w:rPr>
                      <w:rFonts w:hint="eastAsia" w:ascii="Times New Roman" w:hAnsi="Times New Roman"/>
                      <w:iCs/>
                      <w:color w:val="auto"/>
                      <w:sz w:val="21"/>
                      <w:szCs w:val="21"/>
                      <w:highlight w:val="none"/>
                      <w:lang w:val="en-US" w:eastAsia="zh-CN"/>
                    </w:rPr>
                    <w:t>设施</w:t>
                  </w:r>
                </w:p>
              </w:tc>
            </w:tr>
          </w:tbl>
          <w:p w14:paraId="1B033BBF">
            <w:pPr>
              <w:pStyle w:val="46"/>
              <w:ind w:left="0" w:leftChars="0" w:firstLine="0" w:firstLineChars="0"/>
              <w:rPr>
                <w:rFonts w:hint="eastAsia" w:ascii="宋体" w:hAnsi="宋体" w:cs="宋体"/>
                <w:bCs/>
                <w:color w:val="auto"/>
                <w:szCs w:val="21"/>
                <w:highlight w:val="none"/>
              </w:rPr>
            </w:pPr>
          </w:p>
        </w:tc>
      </w:tr>
    </w:tbl>
    <w:p w14:paraId="7BF977FA">
      <w:pPr>
        <w:adjustRightInd w:val="0"/>
        <w:snapToGrid w:val="0"/>
        <w:spacing w:line="360" w:lineRule="auto"/>
        <w:rPr>
          <w:rFonts w:ascii="宋体" w:cs="宋体"/>
          <w:b/>
          <w:color w:val="auto"/>
          <w:kern w:val="0"/>
          <w:sz w:val="28"/>
          <w:szCs w:val="28"/>
          <w:highlight w:val="none"/>
        </w:rPr>
        <w:sectPr>
          <w:pgSz w:w="11905" w:h="16838"/>
          <w:pgMar w:top="1417" w:right="1417" w:bottom="1417" w:left="1417" w:header="851" w:footer="1077" w:gutter="0"/>
          <w:pgBorders>
            <w:top w:val="none" w:sz="0" w:space="0"/>
            <w:left w:val="none" w:sz="0" w:space="0"/>
            <w:bottom w:val="none" w:sz="0" w:space="0"/>
            <w:right w:val="none" w:sz="0" w:space="0"/>
          </w:pgBorders>
          <w:pgNumType w:fmt="decimal"/>
          <w:cols w:space="0" w:num="1"/>
          <w:docGrid w:linePitch="312" w:charSpace="0"/>
        </w:sectPr>
      </w:pPr>
    </w:p>
    <w:p w14:paraId="2460F64A">
      <w:pPr>
        <w:pStyle w:val="2"/>
        <w:keepNext/>
        <w:keepLines w:val="0"/>
        <w:pageBreakBefore w:val="0"/>
        <w:widowControl w:val="0"/>
        <w:numPr>
          <w:ilvl w:val="0"/>
          <w:numId w:val="13"/>
        </w:numPr>
        <w:tabs>
          <w:tab w:val="left" w:pos="0"/>
        </w:tabs>
        <w:kinsoku/>
        <w:wordWrap/>
        <w:overflowPunct w:val="0"/>
        <w:topLinePunct w:val="0"/>
        <w:autoSpaceDE/>
        <w:autoSpaceDN/>
        <w:bidi w:val="0"/>
        <w:adjustRightInd/>
        <w:snapToGrid w:val="0"/>
        <w:spacing w:line="240" w:lineRule="auto"/>
        <w:ind w:left="431" w:leftChars="0" w:hanging="431" w:firstLineChars="0"/>
        <w:textAlignment w:val="auto"/>
        <w:rPr>
          <w:rFonts w:hint="eastAsia" w:eastAsia="宋体"/>
          <w:color w:val="auto"/>
          <w:highlight w:val="none"/>
        </w:rPr>
      </w:pPr>
      <w:bookmarkStart w:id="55" w:name="_Hlk54167917"/>
      <w:bookmarkStart w:id="56" w:name="_Toc28314"/>
      <w:bookmarkStart w:id="57" w:name="_Toc28252"/>
      <w:bookmarkStart w:id="58" w:name="_Toc8930"/>
      <w:bookmarkStart w:id="59" w:name="_Toc16374"/>
      <w:bookmarkStart w:id="60" w:name="_Toc25031"/>
      <w:r>
        <w:rPr>
          <w:rFonts w:hint="eastAsia" w:eastAsia="宋体"/>
          <w:color w:val="auto"/>
          <w:highlight w:val="none"/>
        </w:rPr>
        <w:t>环境保护措施监督检查清单</w:t>
      </w:r>
      <w:bookmarkEnd w:id="55"/>
      <w:bookmarkEnd w:id="56"/>
      <w:bookmarkEnd w:id="57"/>
      <w:bookmarkEnd w:id="58"/>
      <w:bookmarkEnd w:id="59"/>
      <w:bookmarkEnd w:id="60"/>
    </w:p>
    <w:tbl>
      <w:tblPr>
        <w:tblStyle w:val="34"/>
        <w:tblW w:w="89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350"/>
        <w:gridCol w:w="1391"/>
        <w:gridCol w:w="2059"/>
        <w:gridCol w:w="3311"/>
      </w:tblGrid>
      <w:tr w14:paraId="590504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60" w:type="dxa"/>
            <w:tcBorders>
              <w:tl2br w:val="single" w:color="auto" w:sz="4" w:space="0"/>
            </w:tcBorders>
            <w:vAlign w:val="center"/>
          </w:tcPr>
          <w:p w14:paraId="6BD3CBE5">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right"/>
              <w:textAlignment w:val="auto"/>
              <w:rPr>
                <w:rFonts w:ascii="宋体" w:hAnsi="宋体" w:cs="宋体"/>
                <w:color w:val="auto"/>
                <w:szCs w:val="21"/>
                <w:highlight w:val="none"/>
              </w:rPr>
            </w:pPr>
            <w:r>
              <w:rPr>
                <w:rFonts w:hint="eastAsia" w:ascii="宋体" w:hAnsi="宋体" w:cs="宋体"/>
                <w:color w:val="auto"/>
                <w:szCs w:val="21"/>
                <w:highlight w:val="none"/>
              </w:rPr>
              <w:t>内容</w:t>
            </w:r>
          </w:p>
          <w:p w14:paraId="6878E9DB">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textAlignment w:val="auto"/>
              <w:rPr>
                <w:rFonts w:ascii="宋体" w:hAnsi="宋体" w:cs="宋体"/>
                <w:color w:val="auto"/>
                <w:szCs w:val="21"/>
                <w:highlight w:val="none"/>
              </w:rPr>
            </w:pPr>
            <w:r>
              <w:rPr>
                <w:rFonts w:hint="eastAsia" w:ascii="宋体" w:hAnsi="宋体" w:cs="宋体"/>
                <w:color w:val="auto"/>
                <w:szCs w:val="21"/>
                <w:highlight w:val="none"/>
              </w:rPr>
              <w:t>要素</w:t>
            </w:r>
          </w:p>
        </w:tc>
        <w:tc>
          <w:tcPr>
            <w:tcW w:w="1350" w:type="dxa"/>
            <w:vAlign w:val="center"/>
          </w:tcPr>
          <w:p w14:paraId="3947E5C2">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宋体" w:hAnsi="宋体" w:cs="宋体"/>
                <w:color w:val="auto"/>
                <w:szCs w:val="21"/>
                <w:highlight w:val="none"/>
              </w:rPr>
            </w:pPr>
            <w:r>
              <w:rPr>
                <w:rFonts w:hint="eastAsia" w:ascii="宋体" w:hAnsi="宋体" w:cs="宋体"/>
                <w:color w:val="auto"/>
                <w:szCs w:val="21"/>
                <w:highlight w:val="none"/>
              </w:rPr>
              <w:t>排放口</w:t>
            </w:r>
            <w:r>
              <w:rPr>
                <w:rFonts w:hint="eastAsia" w:ascii="宋体" w:hAnsi="宋体" w:cs="宋体"/>
                <w:color w:val="auto"/>
                <w:szCs w:val="21"/>
                <w:highlight w:val="none"/>
                <w:lang w:eastAsia="zh-CN"/>
              </w:rPr>
              <w:t>（</w:t>
            </w:r>
            <w:r>
              <w:rPr>
                <w:rFonts w:hint="eastAsia" w:ascii="宋体" w:hAnsi="宋体" w:cs="宋体"/>
                <w:color w:val="auto"/>
                <w:szCs w:val="21"/>
                <w:highlight w:val="none"/>
              </w:rPr>
              <w:t>编号、名称</w:t>
            </w:r>
            <w:r>
              <w:rPr>
                <w:rFonts w:hint="eastAsia" w:ascii="宋体" w:hAnsi="宋体" w:cs="宋体"/>
                <w:color w:val="auto"/>
                <w:szCs w:val="21"/>
                <w:highlight w:val="none"/>
                <w:lang w:eastAsia="zh-CN"/>
              </w:rPr>
              <w:t>）</w:t>
            </w:r>
            <w:r>
              <w:rPr>
                <w:rFonts w:hint="eastAsia" w:ascii="宋体" w:hAnsi="宋体" w:cs="宋体"/>
                <w:color w:val="auto"/>
                <w:szCs w:val="21"/>
                <w:highlight w:val="none"/>
              </w:rPr>
              <w:t>/污染源</w:t>
            </w:r>
          </w:p>
        </w:tc>
        <w:tc>
          <w:tcPr>
            <w:tcW w:w="1391" w:type="dxa"/>
            <w:vAlign w:val="center"/>
          </w:tcPr>
          <w:p w14:paraId="3F8233E0">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宋体" w:hAnsi="宋体" w:cs="宋体"/>
                <w:color w:val="auto"/>
                <w:szCs w:val="21"/>
                <w:highlight w:val="none"/>
              </w:rPr>
            </w:pPr>
            <w:r>
              <w:rPr>
                <w:rFonts w:hint="eastAsia" w:ascii="宋体" w:hAnsi="宋体" w:cs="宋体"/>
                <w:color w:val="auto"/>
                <w:szCs w:val="21"/>
                <w:highlight w:val="none"/>
              </w:rPr>
              <w:t>污染物项目</w:t>
            </w:r>
          </w:p>
        </w:tc>
        <w:tc>
          <w:tcPr>
            <w:tcW w:w="2059" w:type="dxa"/>
            <w:vAlign w:val="center"/>
          </w:tcPr>
          <w:p w14:paraId="6ECD3A44">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宋体" w:hAnsi="宋体" w:cs="宋体"/>
                <w:color w:val="auto"/>
                <w:szCs w:val="21"/>
                <w:highlight w:val="none"/>
              </w:rPr>
            </w:pPr>
            <w:r>
              <w:rPr>
                <w:rFonts w:hint="eastAsia" w:ascii="宋体" w:hAnsi="宋体" w:cs="宋体"/>
                <w:color w:val="auto"/>
                <w:szCs w:val="21"/>
                <w:highlight w:val="none"/>
              </w:rPr>
              <w:t>环境保护措施</w:t>
            </w:r>
          </w:p>
        </w:tc>
        <w:tc>
          <w:tcPr>
            <w:tcW w:w="3311" w:type="dxa"/>
            <w:vAlign w:val="center"/>
          </w:tcPr>
          <w:p w14:paraId="6DABB25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宋体" w:hAnsi="宋体" w:cs="宋体"/>
                <w:color w:val="auto"/>
                <w:szCs w:val="21"/>
                <w:highlight w:val="none"/>
              </w:rPr>
            </w:pPr>
            <w:r>
              <w:rPr>
                <w:rFonts w:hint="eastAsia" w:ascii="宋体" w:hAnsi="宋体" w:cs="宋体"/>
                <w:color w:val="auto"/>
                <w:szCs w:val="21"/>
                <w:highlight w:val="none"/>
              </w:rPr>
              <w:t>执行标准</w:t>
            </w:r>
          </w:p>
        </w:tc>
      </w:tr>
      <w:tr w14:paraId="01A37A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jc w:val="center"/>
        </w:trPr>
        <w:tc>
          <w:tcPr>
            <w:tcW w:w="860" w:type="dxa"/>
            <w:vMerge w:val="restart"/>
            <w:vAlign w:val="center"/>
          </w:tcPr>
          <w:p w14:paraId="26C56F0B">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宋体" w:hAnsi="宋体" w:cs="宋体"/>
                <w:color w:val="auto"/>
                <w:szCs w:val="21"/>
                <w:highlight w:val="none"/>
              </w:rPr>
            </w:pPr>
            <w:r>
              <w:rPr>
                <w:rFonts w:hint="eastAsia" w:ascii="宋体" w:hAnsi="宋体" w:cs="宋体"/>
                <w:color w:val="auto"/>
                <w:szCs w:val="21"/>
                <w:highlight w:val="none"/>
              </w:rPr>
              <w:t>大气</w:t>
            </w:r>
          </w:p>
          <w:p w14:paraId="5E956262">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宋体" w:hAnsi="宋体" w:cs="宋体"/>
                <w:color w:val="auto"/>
                <w:szCs w:val="21"/>
                <w:highlight w:val="none"/>
              </w:rPr>
            </w:pPr>
            <w:r>
              <w:rPr>
                <w:rFonts w:hint="eastAsia" w:ascii="宋体" w:hAnsi="宋体" w:cs="宋体"/>
                <w:color w:val="auto"/>
                <w:szCs w:val="21"/>
                <w:highlight w:val="none"/>
              </w:rPr>
              <w:t>环境</w:t>
            </w:r>
          </w:p>
        </w:tc>
        <w:tc>
          <w:tcPr>
            <w:tcW w:w="1350" w:type="dxa"/>
            <w:shd w:val="clear" w:color="auto" w:fill="auto"/>
            <w:vAlign w:val="center"/>
          </w:tcPr>
          <w:p w14:paraId="339DE947">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Times New Roman" w:cs="Times New Roman"/>
                <w:color w:val="auto"/>
                <w:kern w:val="2"/>
                <w:sz w:val="21"/>
                <w:szCs w:val="24"/>
                <w:lang w:val="en-US" w:eastAsia="zh-CN" w:bidi="ar-SA"/>
              </w:rPr>
            </w:pPr>
            <w:r>
              <w:rPr>
                <w:rFonts w:hint="eastAsia"/>
                <w:color w:val="auto"/>
                <w:spacing w:val="-8"/>
                <w:sz w:val="21"/>
                <w:lang w:eastAsia="zh-CN"/>
              </w:rPr>
              <w:t>污水处理设施</w:t>
            </w:r>
            <w:r>
              <w:rPr>
                <w:rFonts w:hint="eastAsia" w:eastAsia="宋体"/>
                <w:color w:val="auto"/>
                <w:spacing w:val="-8"/>
                <w:sz w:val="21"/>
                <w:lang w:eastAsia="zh-CN"/>
              </w:rPr>
              <w:t>废气</w:t>
            </w:r>
            <w:r>
              <w:rPr>
                <w:rFonts w:hint="eastAsia"/>
                <w:color w:val="auto"/>
                <w:spacing w:val="-8"/>
                <w:sz w:val="21"/>
                <w:lang w:eastAsia="zh-CN"/>
              </w:rPr>
              <w:t>（</w:t>
            </w:r>
            <w:r>
              <w:rPr>
                <w:rFonts w:hint="eastAsia"/>
                <w:color w:val="auto"/>
                <w:spacing w:val="-8"/>
                <w:sz w:val="21"/>
                <w:lang w:val="en-US" w:eastAsia="zh-CN"/>
              </w:rPr>
              <w:t>有组织）</w:t>
            </w:r>
          </w:p>
        </w:tc>
        <w:tc>
          <w:tcPr>
            <w:tcW w:w="1391" w:type="dxa"/>
            <w:shd w:val="clear" w:color="auto" w:fill="auto"/>
            <w:vAlign w:val="center"/>
          </w:tcPr>
          <w:p w14:paraId="2566A57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eastAsia="宋体"/>
                <w:color w:val="auto"/>
                <w:highlight w:val="none"/>
                <w:lang w:eastAsia="zh-CN"/>
              </w:rPr>
              <w:t>氨、硫化氢和臭气浓度</w:t>
            </w:r>
          </w:p>
        </w:tc>
        <w:tc>
          <w:tcPr>
            <w:tcW w:w="2059" w:type="dxa"/>
            <w:shd w:val="clear" w:color="auto" w:fill="auto"/>
            <w:vAlign w:val="center"/>
          </w:tcPr>
          <w:p w14:paraId="7E09BC8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Times New Roman" w:cs="Times New Roman"/>
                <w:color w:val="auto"/>
                <w:kern w:val="2"/>
                <w:sz w:val="21"/>
                <w:szCs w:val="24"/>
                <w:lang w:val="en-US" w:eastAsia="zh-CN" w:bidi="ar-SA"/>
              </w:rPr>
            </w:pPr>
            <w:r>
              <w:rPr>
                <w:rFonts w:hint="eastAsia"/>
                <w:color w:val="auto"/>
                <w:spacing w:val="-8"/>
                <w:sz w:val="21"/>
                <w:lang w:val="en-US" w:eastAsia="zh-CN"/>
              </w:rPr>
              <w:t>废气经收集后通过活性炭吸附后由一根15排气筒排放（DA001）</w:t>
            </w:r>
          </w:p>
        </w:tc>
        <w:tc>
          <w:tcPr>
            <w:tcW w:w="3311" w:type="dxa"/>
            <w:shd w:val="clear" w:color="auto" w:fill="auto"/>
            <w:vAlign w:val="center"/>
          </w:tcPr>
          <w:p w14:paraId="1CD7E7F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《恶臭污染物排放标准》</w:t>
            </w:r>
            <w:r>
              <w:rPr>
                <w:rFonts w:hint="eastAsia" w:cs="Times New Roman"/>
                <w:color w:val="auto"/>
                <w:kern w:val="2"/>
                <w:sz w:val="21"/>
                <w:szCs w:val="24"/>
                <w:highlight w:val="none"/>
                <w:lang w:val="en-US" w:eastAsia="zh-CN" w:bidi="ar-SA"/>
              </w:rPr>
              <w:t>（</w:t>
            </w:r>
            <w:r>
              <w:rPr>
                <w:rFonts w:hint="eastAsia" w:ascii="Times New Roman" w:hAnsi="Times New Roman" w:eastAsia="宋体" w:cs="Times New Roman"/>
                <w:color w:val="auto"/>
                <w:kern w:val="2"/>
                <w:sz w:val="21"/>
                <w:szCs w:val="24"/>
                <w:highlight w:val="none"/>
                <w:lang w:val="en-US" w:eastAsia="zh-CN" w:bidi="ar-SA"/>
              </w:rPr>
              <w:t>GB14554</w:t>
            </w:r>
            <w:r>
              <w:rPr>
                <w:rFonts w:hint="eastAsia" w:cs="Times New Roman"/>
                <w:color w:val="auto"/>
                <w:kern w:val="2"/>
                <w:sz w:val="21"/>
                <w:szCs w:val="24"/>
                <w:highlight w:val="none"/>
                <w:lang w:val="en-US" w:eastAsia="zh-CN" w:bidi="ar-SA"/>
              </w:rPr>
              <w:t>-</w:t>
            </w:r>
            <w:r>
              <w:rPr>
                <w:rFonts w:hint="eastAsia" w:ascii="Times New Roman" w:hAnsi="Times New Roman" w:eastAsia="宋体" w:cs="Times New Roman"/>
                <w:color w:val="auto"/>
                <w:kern w:val="2"/>
                <w:sz w:val="21"/>
                <w:szCs w:val="24"/>
                <w:highlight w:val="none"/>
                <w:lang w:val="en-US" w:eastAsia="zh-CN" w:bidi="ar-SA"/>
              </w:rPr>
              <w:t>93</w:t>
            </w:r>
            <w:r>
              <w:rPr>
                <w:rFonts w:hint="eastAsia" w:cs="Times New Roman"/>
                <w:color w:val="auto"/>
                <w:kern w:val="2"/>
                <w:sz w:val="21"/>
                <w:szCs w:val="24"/>
                <w:highlight w:val="none"/>
                <w:lang w:val="en-US" w:eastAsia="zh-CN" w:bidi="ar-SA"/>
              </w:rPr>
              <w:t>）</w:t>
            </w:r>
            <w:r>
              <w:rPr>
                <w:rFonts w:hint="eastAsia" w:ascii="Times New Roman" w:hAnsi="Times New Roman" w:eastAsia="宋体" w:cs="Times New Roman"/>
                <w:color w:val="auto"/>
                <w:kern w:val="2"/>
                <w:sz w:val="21"/>
                <w:szCs w:val="24"/>
                <w:highlight w:val="none"/>
                <w:lang w:val="en-US" w:eastAsia="zh-CN" w:bidi="ar-SA"/>
              </w:rPr>
              <w:t>表2排放标准</w:t>
            </w:r>
            <w:r>
              <w:rPr>
                <w:rFonts w:hint="eastAsia" w:cs="Times New Roman"/>
                <w:color w:val="auto"/>
                <w:kern w:val="2"/>
                <w:sz w:val="21"/>
                <w:szCs w:val="24"/>
                <w:highlight w:val="none"/>
                <w:lang w:val="en-US" w:eastAsia="zh-CN" w:bidi="ar-SA"/>
              </w:rPr>
              <w:t>（</w:t>
            </w:r>
            <w:r>
              <w:rPr>
                <w:rFonts w:hint="eastAsia" w:ascii="Times New Roman" w:hAnsi="Times New Roman" w:eastAsia="宋体" w:cs="Times New Roman"/>
                <w:color w:val="auto"/>
                <w:kern w:val="2"/>
                <w:sz w:val="21"/>
                <w:szCs w:val="24"/>
                <w:highlight w:val="none"/>
                <w:lang w:val="en-US" w:eastAsia="zh-CN" w:bidi="ar-SA"/>
              </w:rPr>
              <w:t>氨有组织排放浓度≤4.9mg/m</w:t>
            </w:r>
            <w:r>
              <w:rPr>
                <w:rFonts w:hint="eastAsia" w:ascii="Times New Roman" w:hAnsi="Times New Roman" w:eastAsia="宋体" w:cs="Times New Roman"/>
                <w:color w:val="auto"/>
                <w:kern w:val="2"/>
                <w:sz w:val="21"/>
                <w:szCs w:val="24"/>
                <w:highlight w:val="none"/>
                <w:vertAlign w:val="superscript"/>
                <w:lang w:val="en-US" w:eastAsia="zh-CN" w:bidi="ar-SA"/>
              </w:rPr>
              <w:t>3</w:t>
            </w:r>
            <w:r>
              <w:rPr>
                <w:rFonts w:hint="eastAsia" w:ascii="Times New Roman" w:hAnsi="Times New Roman" w:eastAsia="宋体" w:cs="Times New Roman"/>
                <w:color w:val="auto"/>
                <w:kern w:val="2"/>
                <w:sz w:val="21"/>
                <w:szCs w:val="24"/>
                <w:highlight w:val="none"/>
                <w:lang w:val="en-US" w:eastAsia="zh-CN" w:bidi="ar-SA"/>
              </w:rPr>
              <w:t>，硫化氢有组织排放浓度≤0.33mg/m</w:t>
            </w:r>
            <w:r>
              <w:rPr>
                <w:rFonts w:hint="eastAsia" w:cs="Times New Roman"/>
                <w:color w:val="auto"/>
                <w:kern w:val="2"/>
                <w:sz w:val="21"/>
                <w:szCs w:val="24"/>
                <w:highlight w:val="none"/>
                <w:vertAlign w:val="superscript"/>
                <w:lang w:val="en-US" w:eastAsia="zh-CN" w:bidi="ar-SA"/>
              </w:rPr>
              <w:t>3</w:t>
            </w:r>
            <w:r>
              <w:rPr>
                <w:rFonts w:hint="eastAsia" w:ascii="Times New Roman" w:hAnsi="Times New Roman" w:eastAsia="宋体" w:cs="Times New Roman"/>
                <w:color w:val="auto"/>
                <w:kern w:val="2"/>
                <w:sz w:val="21"/>
                <w:szCs w:val="24"/>
                <w:highlight w:val="none"/>
                <w:lang w:val="en-US" w:eastAsia="zh-CN" w:bidi="ar-SA"/>
              </w:rPr>
              <w:t>，臭气浓度≤2000</w:t>
            </w:r>
            <w:r>
              <w:rPr>
                <w:rFonts w:hint="eastAsia" w:cs="Times New Roman"/>
                <w:color w:val="auto"/>
                <w:kern w:val="2"/>
                <w:sz w:val="21"/>
                <w:szCs w:val="24"/>
                <w:highlight w:val="none"/>
                <w:lang w:val="en-US" w:eastAsia="zh-CN" w:bidi="ar-SA"/>
              </w:rPr>
              <w:t>）</w:t>
            </w:r>
          </w:p>
        </w:tc>
      </w:tr>
      <w:tr w14:paraId="5B8CB6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016" w:hRule="atLeast"/>
          <w:jc w:val="center"/>
        </w:trPr>
        <w:tc>
          <w:tcPr>
            <w:tcW w:w="860" w:type="dxa"/>
            <w:vMerge w:val="continue"/>
            <w:vAlign w:val="center"/>
          </w:tcPr>
          <w:p w14:paraId="0A3B02D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宋体" w:hAnsi="宋体" w:cs="宋体"/>
                <w:color w:val="auto"/>
                <w:szCs w:val="21"/>
                <w:highlight w:val="none"/>
              </w:rPr>
            </w:pPr>
          </w:p>
        </w:tc>
        <w:tc>
          <w:tcPr>
            <w:tcW w:w="1350" w:type="dxa"/>
            <w:shd w:val="clear" w:color="auto" w:fill="auto"/>
            <w:vAlign w:val="center"/>
          </w:tcPr>
          <w:p w14:paraId="35BC18B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color w:val="auto"/>
                <w:spacing w:val="-8"/>
                <w:sz w:val="21"/>
                <w:lang w:eastAsia="zh-CN"/>
              </w:rPr>
            </w:pPr>
            <w:r>
              <w:rPr>
                <w:rFonts w:hint="eastAsia"/>
                <w:color w:val="auto"/>
                <w:spacing w:val="-8"/>
                <w:sz w:val="21"/>
                <w:lang w:eastAsia="zh-CN"/>
              </w:rPr>
              <w:t>污水处理设施</w:t>
            </w:r>
            <w:r>
              <w:rPr>
                <w:rFonts w:hint="eastAsia" w:eastAsia="宋体"/>
                <w:color w:val="auto"/>
                <w:spacing w:val="-8"/>
                <w:sz w:val="21"/>
                <w:lang w:eastAsia="zh-CN"/>
              </w:rPr>
              <w:t>废气</w:t>
            </w:r>
            <w:r>
              <w:rPr>
                <w:rFonts w:hint="eastAsia"/>
                <w:color w:val="auto"/>
                <w:spacing w:val="-8"/>
                <w:sz w:val="21"/>
                <w:lang w:eastAsia="zh-CN"/>
              </w:rPr>
              <w:t>（</w:t>
            </w:r>
            <w:r>
              <w:rPr>
                <w:rFonts w:hint="eastAsia"/>
                <w:color w:val="auto"/>
                <w:spacing w:val="-8"/>
                <w:sz w:val="21"/>
                <w:lang w:val="en-US" w:eastAsia="zh-CN"/>
              </w:rPr>
              <w:t>无组织）</w:t>
            </w:r>
          </w:p>
        </w:tc>
        <w:tc>
          <w:tcPr>
            <w:tcW w:w="1391" w:type="dxa"/>
            <w:shd w:val="clear" w:color="auto" w:fill="auto"/>
            <w:vAlign w:val="center"/>
          </w:tcPr>
          <w:p w14:paraId="69C30F7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eastAsia="宋体"/>
                <w:color w:val="auto"/>
                <w:highlight w:val="none"/>
                <w:lang w:eastAsia="zh-CN"/>
              </w:rPr>
            </w:pPr>
            <w:r>
              <w:rPr>
                <w:rFonts w:hint="eastAsia" w:eastAsia="宋体"/>
                <w:color w:val="auto"/>
                <w:highlight w:val="none"/>
                <w:lang w:eastAsia="zh-CN"/>
              </w:rPr>
              <w:t>氨、硫化氢和臭气浓度</w:t>
            </w:r>
          </w:p>
        </w:tc>
        <w:tc>
          <w:tcPr>
            <w:tcW w:w="2059" w:type="dxa"/>
            <w:shd w:val="clear" w:color="auto" w:fill="auto"/>
            <w:vAlign w:val="center"/>
          </w:tcPr>
          <w:p w14:paraId="4ED4DE1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color w:val="auto"/>
                <w:spacing w:val="-8"/>
                <w:sz w:val="21"/>
                <w:lang w:val="en-US" w:eastAsia="zh-CN"/>
              </w:rPr>
            </w:pPr>
            <w:r>
              <w:rPr>
                <w:rFonts w:hint="eastAsia"/>
                <w:color w:val="auto"/>
                <w:spacing w:val="-8"/>
                <w:sz w:val="21"/>
                <w:lang w:val="en-US" w:eastAsia="zh-CN"/>
              </w:rPr>
              <w:t>污水处理设施产生的恶臭气体（氨、硫化氢、臭气浓度），采取加盖密闭措施进行控制，</w:t>
            </w:r>
          </w:p>
        </w:tc>
        <w:tc>
          <w:tcPr>
            <w:tcW w:w="3311" w:type="dxa"/>
            <w:shd w:val="clear" w:color="auto" w:fill="auto"/>
            <w:vAlign w:val="center"/>
          </w:tcPr>
          <w:p w14:paraId="58AE7CF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eastAsia="宋体"/>
                <w:b/>
                <w:bCs/>
                <w:color w:val="auto"/>
                <w:highlight w:val="none"/>
                <w:lang w:eastAsia="zh-CN"/>
              </w:rPr>
            </w:pPr>
            <w:r>
              <w:rPr>
                <w:rFonts w:hint="eastAsia" w:ascii="Times New Roman" w:hAnsi="Times New Roman" w:eastAsia="宋体" w:cs="Times New Roman"/>
                <w:color w:val="auto"/>
                <w:spacing w:val="0"/>
                <w:sz w:val="21"/>
                <w:szCs w:val="21"/>
                <w:highlight w:val="none"/>
                <w:lang w:eastAsia="zh-CN"/>
              </w:rPr>
              <w:t>《医疗机构水污染物排放标准》</w:t>
            </w:r>
            <w:r>
              <w:rPr>
                <w:rFonts w:hint="eastAsia" w:cs="Times New Roman"/>
                <w:color w:val="auto"/>
                <w:spacing w:val="0"/>
                <w:sz w:val="21"/>
                <w:szCs w:val="21"/>
                <w:highlight w:val="none"/>
                <w:lang w:eastAsia="zh-CN"/>
              </w:rPr>
              <w:t>（</w:t>
            </w:r>
            <w:r>
              <w:rPr>
                <w:rFonts w:hint="eastAsia" w:ascii="Times New Roman" w:hAnsi="Times New Roman" w:eastAsia="宋体" w:cs="Times New Roman"/>
                <w:color w:val="auto"/>
                <w:spacing w:val="0"/>
                <w:sz w:val="21"/>
                <w:szCs w:val="21"/>
                <w:highlight w:val="none"/>
                <w:lang w:eastAsia="zh-CN"/>
              </w:rPr>
              <w:t>GB18466-2005</w:t>
            </w:r>
            <w:r>
              <w:rPr>
                <w:rFonts w:hint="eastAsia" w:cs="Times New Roman"/>
                <w:color w:val="auto"/>
                <w:spacing w:val="0"/>
                <w:sz w:val="21"/>
                <w:szCs w:val="21"/>
                <w:highlight w:val="none"/>
                <w:lang w:eastAsia="zh-CN"/>
              </w:rPr>
              <w:t>）</w:t>
            </w:r>
            <w:r>
              <w:rPr>
                <w:rFonts w:hint="eastAsia" w:ascii="Times New Roman" w:hAnsi="Times New Roman" w:eastAsia="宋体" w:cs="Times New Roman"/>
                <w:color w:val="auto"/>
                <w:spacing w:val="0"/>
                <w:sz w:val="21"/>
                <w:szCs w:val="21"/>
                <w:highlight w:val="none"/>
                <w:lang w:eastAsia="zh-CN"/>
              </w:rPr>
              <w:t>表3标准限值要求</w:t>
            </w:r>
            <w:r>
              <w:rPr>
                <w:rFonts w:hint="eastAsia" w:cs="Times New Roman"/>
                <w:color w:val="auto"/>
                <w:spacing w:val="0"/>
                <w:sz w:val="21"/>
                <w:szCs w:val="21"/>
                <w:highlight w:val="none"/>
                <w:lang w:eastAsia="zh-CN"/>
              </w:rPr>
              <w:t>（</w:t>
            </w:r>
            <w:r>
              <w:rPr>
                <w:rFonts w:hint="eastAsia" w:ascii="Times New Roman" w:hAnsi="Times New Roman" w:eastAsia="宋体" w:cs="Times New Roman"/>
                <w:color w:val="auto"/>
                <w:spacing w:val="0"/>
                <w:sz w:val="21"/>
                <w:szCs w:val="21"/>
                <w:highlight w:val="none"/>
                <w:lang w:eastAsia="zh-CN"/>
              </w:rPr>
              <w:t>氨无组织排放浓度≤1.0mg/m</w:t>
            </w:r>
            <w:r>
              <w:rPr>
                <w:rFonts w:hint="eastAsia" w:cs="Times New Roman"/>
                <w:color w:val="auto"/>
                <w:spacing w:val="0"/>
                <w:sz w:val="21"/>
                <w:szCs w:val="21"/>
                <w:highlight w:val="none"/>
                <w:vertAlign w:val="superscript"/>
                <w:lang w:val="en-US" w:eastAsia="zh-CN"/>
              </w:rPr>
              <w:t>3</w:t>
            </w:r>
            <w:r>
              <w:rPr>
                <w:rFonts w:hint="eastAsia" w:ascii="Times New Roman" w:hAnsi="Times New Roman" w:eastAsia="宋体" w:cs="Times New Roman"/>
                <w:color w:val="auto"/>
                <w:spacing w:val="0"/>
                <w:sz w:val="21"/>
                <w:szCs w:val="21"/>
                <w:highlight w:val="none"/>
                <w:lang w:eastAsia="zh-CN"/>
              </w:rPr>
              <w:t>，硫化氢无组织排放浓度≤0.03mg/m</w:t>
            </w:r>
            <w:r>
              <w:rPr>
                <w:rFonts w:hint="eastAsia" w:cs="Times New Roman"/>
                <w:color w:val="auto"/>
                <w:spacing w:val="0"/>
                <w:sz w:val="21"/>
                <w:szCs w:val="21"/>
                <w:highlight w:val="none"/>
                <w:vertAlign w:val="superscript"/>
                <w:lang w:val="en-US" w:eastAsia="zh-CN"/>
              </w:rPr>
              <w:t>3</w:t>
            </w:r>
            <w:r>
              <w:rPr>
                <w:rFonts w:hint="eastAsia" w:ascii="Times New Roman" w:hAnsi="Times New Roman" w:eastAsia="宋体" w:cs="Times New Roman"/>
                <w:color w:val="auto"/>
                <w:spacing w:val="0"/>
                <w:sz w:val="21"/>
                <w:szCs w:val="21"/>
                <w:highlight w:val="none"/>
                <w:lang w:eastAsia="zh-CN"/>
              </w:rPr>
              <w:t>，臭气浓度≤10</w:t>
            </w:r>
            <w:r>
              <w:rPr>
                <w:rFonts w:hint="eastAsia" w:cs="Times New Roman"/>
                <w:color w:val="auto"/>
                <w:spacing w:val="0"/>
                <w:sz w:val="21"/>
                <w:szCs w:val="21"/>
                <w:highlight w:val="none"/>
                <w:lang w:eastAsia="zh-CN"/>
              </w:rPr>
              <w:t>）</w:t>
            </w:r>
          </w:p>
        </w:tc>
      </w:tr>
      <w:tr w14:paraId="206D15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75" w:hRule="atLeast"/>
          <w:jc w:val="center"/>
        </w:trPr>
        <w:tc>
          <w:tcPr>
            <w:tcW w:w="860" w:type="dxa"/>
            <w:vAlign w:val="center"/>
          </w:tcPr>
          <w:p w14:paraId="564240AE">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宋体" w:hAnsi="宋体" w:cs="宋体"/>
                <w:color w:val="auto"/>
                <w:szCs w:val="21"/>
                <w:highlight w:val="none"/>
              </w:rPr>
            </w:pPr>
            <w:r>
              <w:rPr>
                <w:color w:val="auto"/>
                <w:szCs w:val="21"/>
                <w:highlight w:val="none"/>
              </w:rPr>
              <w:t>地表水环境</w:t>
            </w:r>
          </w:p>
        </w:tc>
        <w:tc>
          <w:tcPr>
            <w:tcW w:w="1350" w:type="dxa"/>
            <w:vAlign w:val="center"/>
          </w:tcPr>
          <w:p w14:paraId="0A632AA9">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default" w:ascii="Times New Roman" w:hAnsi="Times New Roman" w:eastAsia="宋体"/>
                <w:color w:val="auto"/>
                <w:szCs w:val="21"/>
                <w:highlight w:val="none"/>
                <w:lang w:val="en-US" w:eastAsia="zh-CN"/>
              </w:rPr>
            </w:pPr>
            <w:r>
              <w:rPr>
                <w:rFonts w:hint="eastAsia" w:ascii="Times New Roman" w:hAnsi="Times New Roman" w:cs="Times New Roman"/>
                <w:color w:val="auto"/>
                <w:sz w:val="21"/>
                <w:highlight w:val="none"/>
                <w:lang w:val="en-US" w:eastAsia="zh-CN"/>
              </w:rPr>
              <w:t>污水排放口</w:t>
            </w:r>
            <w:r>
              <w:rPr>
                <w:rFonts w:hint="eastAsia" w:cs="Times New Roman"/>
                <w:color w:val="auto"/>
                <w:sz w:val="21"/>
                <w:highlight w:val="none"/>
                <w:lang w:val="en-US" w:eastAsia="zh-CN"/>
              </w:rPr>
              <w:t>DW001</w:t>
            </w:r>
          </w:p>
        </w:tc>
        <w:tc>
          <w:tcPr>
            <w:tcW w:w="1391" w:type="dxa"/>
            <w:vAlign w:val="center"/>
          </w:tcPr>
          <w:p w14:paraId="631F35C1">
            <w:pPr>
              <w:pStyle w:val="48"/>
              <w:keepNext w:val="0"/>
              <w:keepLines w:val="0"/>
              <w:pageBreakBefore w:val="0"/>
              <w:widowControl w:val="0"/>
              <w:tabs>
                <w:tab w:val="left" w:pos="0"/>
              </w:tabs>
              <w:kinsoku/>
              <w:wordWrap/>
              <w:overflowPunct/>
              <w:topLinePunct w:val="0"/>
              <w:autoSpaceDE/>
              <w:autoSpaceDN/>
              <w:bidi w:val="0"/>
              <w:spacing w:line="240" w:lineRule="auto"/>
              <w:ind w:left="0" w:firstLine="0" w:firstLineChars="0"/>
              <w:textAlignment w:val="auto"/>
              <w:rPr>
                <w:rFonts w:hint="eastAsia" w:ascii="Times New Roman" w:hAnsi="Times New Roman" w:cs="Times New Roman"/>
                <w:color w:val="auto"/>
                <w:sz w:val="21"/>
                <w:highlight w:val="none"/>
                <w:lang w:val="en-US" w:eastAsia="zh-CN"/>
              </w:rPr>
            </w:pPr>
            <w:r>
              <w:rPr>
                <w:color w:val="auto"/>
                <w:szCs w:val="21"/>
                <w:highlight w:val="none"/>
              </w:rPr>
              <w:t>pH、COD、BOD</w:t>
            </w:r>
            <w:r>
              <w:rPr>
                <w:color w:val="auto"/>
                <w:szCs w:val="21"/>
                <w:highlight w:val="none"/>
                <w:vertAlign w:val="subscript"/>
              </w:rPr>
              <w:t>5</w:t>
            </w:r>
            <w:r>
              <w:rPr>
                <w:color w:val="auto"/>
                <w:szCs w:val="21"/>
                <w:highlight w:val="none"/>
              </w:rPr>
              <w:t>、SS、</w:t>
            </w:r>
            <w:r>
              <w:rPr>
                <w:rFonts w:hint="default" w:eastAsia="宋体"/>
                <w:color w:val="auto"/>
                <w:szCs w:val="21"/>
                <w:highlight w:val="none"/>
                <w:lang w:val="en-US" w:eastAsia="zh-CN"/>
              </w:rPr>
              <w:t>NH</w:t>
            </w:r>
            <w:r>
              <w:rPr>
                <w:rFonts w:hint="default" w:eastAsia="宋体"/>
                <w:color w:val="auto"/>
                <w:szCs w:val="21"/>
                <w:highlight w:val="none"/>
                <w:vertAlign w:val="subscript"/>
                <w:lang w:val="en-US" w:eastAsia="zh-CN"/>
              </w:rPr>
              <w:t>3</w:t>
            </w:r>
            <w:r>
              <w:rPr>
                <w:rFonts w:hint="default" w:eastAsia="宋体"/>
                <w:color w:val="auto"/>
                <w:szCs w:val="21"/>
                <w:highlight w:val="none"/>
                <w:lang w:val="en-US" w:eastAsia="zh-CN"/>
              </w:rPr>
              <w:t>-N</w:t>
            </w:r>
            <w:r>
              <w:rPr>
                <w:rFonts w:hint="eastAsia"/>
                <w:color w:val="auto"/>
                <w:szCs w:val="21"/>
                <w:highlight w:val="none"/>
                <w:lang w:eastAsia="zh-CN"/>
              </w:rPr>
              <w:t>、</w:t>
            </w:r>
            <w:r>
              <w:rPr>
                <w:rFonts w:hint="eastAsia" w:ascii="Times New Roman" w:hAnsi="Times New Roman" w:cs="Times New Roman"/>
                <w:color w:val="auto"/>
                <w:sz w:val="21"/>
                <w:highlight w:val="none"/>
                <w:lang w:val="en-US" w:eastAsia="zh-CN"/>
              </w:rPr>
              <w:t>粪大</w:t>
            </w:r>
          </w:p>
          <w:p w14:paraId="793F24B3">
            <w:pPr>
              <w:pStyle w:val="48"/>
              <w:keepNext w:val="0"/>
              <w:keepLines w:val="0"/>
              <w:pageBreakBefore w:val="0"/>
              <w:widowControl w:val="0"/>
              <w:tabs>
                <w:tab w:val="left" w:pos="0"/>
              </w:tabs>
              <w:kinsoku/>
              <w:wordWrap/>
              <w:overflowPunct/>
              <w:topLinePunct w:val="0"/>
              <w:autoSpaceDE/>
              <w:autoSpaceDN/>
              <w:bidi w:val="0"/>
              <w:spacing w:line="240" w:lineRule="auto"/>
              <w:ind w:left="0" w:firstLine="0" w:firstLineChars="0"/>
              <w:textAlignment w:val="auto"/>
              <w:rPr>
                <w:rFonts w:hint="eastAsia" w:eastAsia="宋体"/>
                <w:color w:val="auto"/>
                <w:szCs w:val="21"/>
                <w:highlight w:val="none"/>
                <w:lang w:eastAsia="zh-CN"/>
              </w:rPr>
            </w:pPr>
            <w:r>
              <w:rPr>
                <w:rFonts w:hint="eastAsia" w:ascii="Times New Roman" w:hAnsi="Times New Roman" w:cs="Times New Roman"/>
                <w:color w:val="auto"/>
                <w:sz w:val="21"/>
                <w:highlight w:val="none"/>
                <w:lang w:val="en-US" w:eastAsia="zh-CN"/>
              </w:rPr>
              <w:t>肠菌群</w:t>
            </w:r>
          </w:p>
        </w:tc>
        <w:tc>
          <w:tcPr>
            <w:tcW w:w="2059" w:type="dxa"/>
            <w:vAlign w:val="center"/>
          </w:tcPr>
          <w:p w14:paraId="3D83C339">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hint="eastAsia" w:ascii="Times New Roman" w:hAnsi="Times New Roman"/>
                <w:color w:val="auto"/>
                <w:sz w:val="21"/>
                <w:szCs w:val="21"/>
                <w:highlight w:val="none"/>
                <w:lang w:val="en-US" w:eastAsia="zh-CN"/>
              </w:rPr>
            </w:pPr>
            <w:r>
              <w:rPr>
                <w:rFonts w:hint="eastAsia"/>
                <w:color w:val="auto"/>
                <w:sz w:val="21"/>
                <w:szCs w:val="21"/>
                <w:highlight w:val="none"/>
                <w:lang w:val="en-US" w:eastAsia="zh-CN"/>
              </w:rPr>
              <w:t>生活污水和医疗废水</w:t>
            </w:r>
            <w:r>
              <w:rPr>
                <w:rFonts w:hint="eastAsia" w:ascii="Times New Roman" w:hAnsi="Times New Roman"/>
                <w:color w:val="auto"/>
                <w:sz w:val="21"/>
                <w:szCs w:val="21"/>
                <w:highlight w:val="none"/>
                <w:lang w:val="en-US" w:eastAsia="zh-CN"/>
              </w:rPr>
              <w:t>经</w:t>
            </w:r>
            <w:r>
              <w:rPr>
                <w:rFonts w:hint="eastAsia"/>
                <w:color w:val="auto"/>
                <w:sz w:val="21"/>
                <w:szCs w:val="21"/>
                <w:highlight w:val="none"/>
                <w:lang w:val="en-US" w:eastAsia="zh-CN"/>
              </w:rPr>
              <w:t>化粪池预处理后，排入</w:t>
            </w:r>
            <w:r>
              <w:rPr>
                <w:rFonts w:hint="eastAsia"/>
                <w:color w:val="auto"/>
                <w:spacing w:val="-8"/>
                <w:sz w:val="21"/>
                <w:highlight w:val="none"/>
                <w:lang w:val="en-US" w:eastAsia="zh-CN"/>
              </w:rPr>
              <w:t>污水处理设施</w:t>
            </w:r>
            <w:r>
              <w:rPr>
                <w:rFonts w:hint="eastAsia"/>
                <w:color w:val="auto"/>
                <w:sz w:val="21"/>
                <w:szCs w:val="21"/>
                <w:highlight w:val="none"/>
                <w:lang w:val="en-US" w:eastAsia="zh-CN"/>
              </w:rPr>
              <w:t>（处理工艺为</w:t>
            </w:r>
            <w:r>
              <w:rPr>
                <w:rFonts w:hint="eastAsia" w:ascii="Times New Roman" w:hAnsi="Times New Roman"/>
                <w:color w:val="auto"/>
                <w:sz w:val="21"/>
                <w:szCs w:val="21"/>
                <w:highlight w:val="none"/>
                <w:lang w:val="en-US" w:eastAsia="zh-CN"/>
              </w:rPr>
              <w:t>“</w:t>
            </w:r>
            <w:r>
              <w:rPr>
                <w:rFonts w:hint="eastAsia"/>
                <w:color w:val="auto"/>
                <w:sz w:val="21"/>
                <w:szCs w:val="21"/>
                <w:highlight w:val="none"/>
                <w:lang w:val="en-US" w:eastAsia="zh-CN"/>
              </w:rPr>
              <w:t>生物接触氧化法+沉淀+消毒工艺</w:t>
            </w:r>
            <w:r>
              <w:rPr>
                <w:rFonts w:hint="eastAsia" w:ascii="Times New Roman" w:hAnsi="Times New Roman"/>
                <w:color w:val="auto"/>
                <w:sz w:val="21"/>
                <w:szCs w:val="21"/>
                <w:highlight w:val="none"/>
                <w:lang w:val="en-US" w:eastAsia="zh-CN"/>
              </w:rPr>
              <w:t>”</w:t>
            </w:r>
            <w:r>
              <w:rPr>
                <w:rFonts w:hint="eastAsia"/>
                <w:color w:val="auto"/>
                <w:sz w:val="21"/>
                <w:szCs w:val="21"/>
                <w:highlight w:val="none"/>
                <w:lang w:val="en-US" w:eastAsia="zh-CN"/>
              </w:rPr>
              <w:t>）</w:t>
            </w:r>
            <w:r>
              <w:rPr>
                <w:rFonts w:hint="eastAsia" w:ascii="Times New Roman" w:hAnsi="Times New Roman"/>
                <w:color w:val="auto"/>
                <w:sz w:val="21"/>
                <w:szCs w:val="21"/>
                <w:highlight w:val="none"/>
                <w:lang w:val="en-US" w:eastAsia="zh-CN"/>
              </w:rPr>
              <w:t>处理后，接市政污水管网</w:t>
            </w:r>
            <w:r>
              <w:rPr>
                <w:color w:val="auto"/>
                <w:szCs w:val="21"/>
                <w:highlight w:val="none"/>
              </w:rPr>
              <w:t>送往</w:t>
            </w:r>
            <w:r>
              <w:rPr>
                <w:rFonts w:hint="eastAsia"/>
                <w:color w:val="auto"/>
                <w:szCs w:val="21"/>
                <w:highlight w:val="none"/>
                <w:lang w:eastAsia="zh-CN"/>
              </w:rPr>
              <w:t>罗源城区污水处理厂</w:t>
            </w:r>
            <w:r>
              <w:rPr>
                <w:color w:val="auto"/>
                <w:szCs w:val="21"/>
                <w:highlight w:val="none"/>
              </w:rPr>
              <w:t>集中处理</w:t>
            </w:r>
          </w:p>
        </w:tc>
        <w:tc>
          <w:tcPr>
            <w:tcW w:w="3311" w:type="dxa"/>
            <w:vAlign w:val="center"/>
          </w:tcPr>
          <w:p w14:paraId="19F0C50F">
            <w:pPr>
              <w:pStyle w:val="48"/>
              <w:keepNext w:val="0"/>
              <w:keepLines w:val="0"/>
              <w:pageBreakBefore w:val="0"/>
              <w:widowControl w:val="0"/>
              <w:tabs>
                <w:tab w:val="left" w:pos="0"/>
              </w:tabs>
              <w:kinsoku/>
              <w:wordWrap/>
              <w:overflowPunct/>
              <w:topLinePunct w:val="0"/>
              <w:autoSpaceDE/>
              <w:autoSpaceDN/>
              <w:bidi w:val="0"/>
              <w:spacing w:line="240" w:lineRule="auto"/>
              <w:ind w:left="0" w:firstLine="0" w:firstLineChars="0"/>
              <w:textAlignment w:val="auto"/>
              <w:rPr>
                <w:rFonts w:hint="eastAsia" w:eastAsia="宋体"/>
                <w:color w:val="auto"/>
                <w:highlight w:val="none"/>
                <w:lang w:eastAsia="zh-CN"/>
              </w:rPr>
            </w:pPr>
            <w:r>
              <w:rPr>
                <w:rFonts w:hint="eastAsia"/>
                <w:color w:val="auto"/>
                <w:szCs w:val="21"/>
                <w:highlight w:val="none"/>
              </w:rPr>
              <w:t>《医疗机构水污染物排放标准》</w:t>
            </w:r>
            <w:r>
              <w:rPr>
                <w:rFonts w:hint="eastAsia"/>
                <w:color w:val="auto"/>
                <w:szCs w:val="21"/>
                <w:highlight w:val="none"/>
                <w:lang w:eastAsia="zh-CN"/>
              </w:rPr>
              <w:t>（</w:t>
            </w:r>
            <w:r>
              <w:rPr>
                <w:rFonts w:hint="eastAsia"/>
                <w:color w:val="auto"/>
                <w:szCs w:val="21"/>
                <w:highlight w:val="none"/>
              </w:rPr>
              <w:t>GB18466-2005</w:t>
            </w:r>
            <w:r>
              <w:rPr>
                <w:rFonts w:hint="eastAsia"/>
                <w:color w:val="auto"/>
                <w:szCs w:val="21"/>
                <w:highlight w:val="none"/>
                <w:lang w:eastAsia="zh-CN"/>
              </w:rPr>
              <w:t>）</w:t>
            </w:r>
            <w:r>
              <w:rPr>
                <w:rFonts w:hint="eastAsia"/>
                <w:color w:val="auto"/>
                <w:szCs w:val="21"/>
                <w:highlight w:val="none"/>
              </w:rPr>
              <w:t>中表2综合医疗机构和其他医疗机构水污染物排放限值的预处理标准</w:t>
            </w:r>
            <w:r>
              <w:rPr>
                <w:rFonts w:hint="eastAsia"/>
                <w:color w:val="auto"/>
                <w:szCs w:val="21"/>
                <w:highlight w:val="none"/>
                <w:lang w:eastAsia="zh-CN"/>
              </w:rPr>
              <w:t>，</w:t>
            </w:r>
            <w:r>
              <w:rPr>
                <w:rFonts w:hint="eastAsia" w:cs="宋体"/>
                <w:color w:val="auto"/>
                <w:highlight w:val="none"/>
                <w:lang w:val="en-US" w:eastAsia="zh-CN"/>
              </w:rPr>
              <w:t>其中氨氮执行</w:t>
            </w:r>
            <w:r>
              <w:rPr>
                <w:color w:val="auto"/>
                <w:szCs w:val="21"/>
                <w:highlight w:val="none"/>
              </w:rPr>
              <w:t>《污水排入城镇下水道水质标准》（GB/T 31962-2015）表1中B等级标准</w:t>
            </w:r>
          </w:p>
        </w:tc>
      </w:tr>
      <w:tr w14:paraId="133B67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60" w:type="dxa"/>
            <w:vAlign w:val="center"/>
          </w:tcPr>
          <w:p w14:paraId="523EC4C6">
            <w:pPr>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Fonts w:ascii="宋体" w:hAnsi="宋体" w:cs="宋体"/>
                <w:color w:val="auto"/>
                <w:szCs w:val="21"/>
                <w:highlight w:val="none"/>
              </w:rPr>
            </w:pPr>
            <w:r>
              <w:rPr>
                <w:rFonts w:hint="eastAsia" w:ascii="宋体" w:hAnsi="宋体" w:cs="宋体"/>
                <w:color w:val="auto"/>
                <w:szCs w:val="21"/>
                <w:highlight w:val="none"/>
              </w:rPr>
              <w:t>声环境</w:t>
            </w:r>
          </w:p>
        </w:tc>
        <w:tc>
          <w:tcPr>
            <w:tcW w:w="1350" w:type="dxa"/>
            <w:vAlign w:val="center"/>
          </w:tcPr>
          <w:p w14:paraId="21F50A24">
            <w:pPr>
              <w:pStyle w:val="48"/>
              <w:keepNext w:val="0"/>
              <w:keepLines w:val="0"/>
              <w:pageBreakBefore w:val="0"/>
              <w:widowControl w:val="0"/>
              <w:tabs>
                <w:tab w:val="left" w:pos="0"/>
              </w:tabs>
              <w:kinsoku/>
              <w:wordWrap/>
              <w:overflowPunct/>
              <w:topLinePunct w:val="0"/>
              <w:autoSpaceDE/>
              <w:autoSpaceDN/>
              <w:bidi w:val="0"/>
              <w:spacing w:line="240" w:lineRule="auto"/>
              <w:ind w:left="0" w:firstLine="0" w:firstLineChars="0"/>
              <w:textAlignment w:val="auto"/>
              <w:rPr>
                <w:rFonts w:ascii="宋体" w:hAnsi="宋体" w:cs="宋体"/>
                <w:color w:val="auto"/>
                <w:szCs w:val="21"/>
                <w:highlight w:val="none"/>
              </w:rPr>
            </w:pPr>
            <w:r>
              <w:rPr>
                <w:color w:val="auto"/>
                <w:highlight w:val="none"/>
              </w:rPr>
              <w:t>厂界噪声</w:t>
            </w:r>
          </w:p>
        </w:tc>
        <w:tc>
          <w:tcPr>
            <w:tcW w:w="1391" w:type="dxa"/>
            <w:vAlign w:val="center"/>
          </w:tcPr>
          <w:p w14:paraId="179281FB">
            <w:pPr>
              <w:pStyle w:val="48"/>
              <w:keepNext w:val="0"/>
              <w:keepLines w:val="0"/>
              <w:pageBreakBefore w:val="0"/>
              <w:widowControl w:val="0"/>
              <w:tabs>
                <w:tab w:val="left" w:pos="0"/>
              </w:tabs>
              <w:kinsoku/>
              <w:wordWrap/>
              <w:overflowPunct/>
              <w:topLinePunct w:val="0"/>
              <w:autoSpaceDE/>
              <w:autoSpaceDN/>
              <w:bidi w:val="0"/>
              <w:spacing w:line="240" w:lineRule="auto"/>
              <w:ind w:left="0" w:firstLine="0" w:firstLineChars="0"/>
              <w:textAlignment w:val="auto"/>
              <w:rPr>
                <w:rFonts w:ascii="宋体" w:hAnsi="宋体" w:cs="宋体"/>
                <w:color w:val="auto"/>
                <w:szCs w:val="21"/>
                <w:highlight w:val="none"/>
              </w:rPr>
            </w:pPr>
            <w:r>
              <w:rPr>
                <w:color w:val="auto"/>
                <w:highlight w:val="none"/>
              </w:rPr>
              <w:t>连续等效A声级</w:t>
            </w:r>
          </w:p>
        </w:tc>
        <w:tc>
          <w:tcPr>
            <w:tcW w:w="2059" w:type="dxa"/>
            <w:vAlign w:val="center"/>
          </w:tcPr>
          <w:p w14:paraId="284BC23D">
            <w:pPr>
              <w:pStyle w:val="48"/>
              <w:keepNext w:val="0"/>
              <w:keepLines w:val="0"/>
              <w:pageBreakBefore w:val="0"/>
              <w:widowControl w:val="0"/>
              <w:tabs>
                <w:tab w:val="left" w:pos="0"/>
              </w:tabs>
              <w:kinsoku/>
              <w:wordWrap/>
              <w:overflowPunct/>
              <w:topLinePunct w:val="0"/>
              <w:autoSpaceDE/>
              <w:autoSpaceDN/>
              <w:bidi w:val="0"/>
              <w:spacing w:line="240" w:lineRule="auto"/>
              <w:ind w:left="0" w:firstLine="0" w:firstLineChars="0"/>
              <w:textAlignment w:val="auto"/>
              <w:rPr>
                <w:rFonts w:ascii="宋体" w:hAnsi="宋体" w:cs="宋体"/>
                <w:color w:val="auto"/>
                <w:szCs w:val="21"/>
                <w:highlight w:val="none"/>
              </w:rPr>
            </w:pPr>
            <w:r>
              <w:rPr>
                <w:color w:val="auto"/>
                <w:highlight w:val="none"/>
              </w:rPr>
              <w:t>设备采取隔声降噪减振和消声等措施</w:t>
            </w:r>
          </w:p>
        </w:tc>
        <w:tc>
          <w:tcPr>
            <w:tcW w:w="3311" w:type="dxa"/>
            <w:vAlign w:val="center"/>
          </w:tcPr>
          <w:p w14:paraId="4E292D0B">
            <w:pPr>
              <w:pStyle w:val="48"/>
              <w:keepNext w:val="0"/>
              <w:keepLines w:val="0"/>
              <w:pageBreakBefore w:val="0"/>
              <w:widowControl w:val="0"/>
              <w:tabs>
                <w:tab w:val="left" w:pos="0"/>
              </w:tabs>
              <w:kinsoku/>
              <w:wordWrap/>
              <w:overflowPunct/>
              <w:topLinePunct w:val="0"/>
              <w:autoSpaceDE/>
              <w:autoSpaceDN/>
              <w:bidi w:val="0"/>
              <w:spacing w:line="240" w:lineRule="auto"/>
              <w:ind w:left="0" w:firstLine="0" w:firstLineChars="0"/>
              <w:jc w:val="center"/>
              <w:textAlignment w:val="auto"/>
              <w:rPr>
                <w:rFonts w:hint="default" w:ascii="宋体" w:hAnsi="宋体" w:eastAsia="宋体" w:cs="宋体"/>
                <w:color w:val="auto"/>
                <w:szCs w:val="21"/>
                <w:highlight w:val="none"/>
                <w:lang w:val="en-US" w:eastAsia="zh-CN"/>
              </w:rPr>
            </w:pPr>
            <w:r>
              <w:rPr>
                <w:rFonts w:hint="eastAsia"/>
                <w:color w:val="auto"/>
                <w:highlight w:val="none"/>
                <w:lang w:val="en-US" w:eastAsia="zh-CN"/>
              </w:rPr>
              <w:t>厂界执行</w:t>
            </w:r>
            <w:r>
              <w:rPr>
                <w:rFonts w:hint="eastAsia"/>
                <w:color w:val="auto"/>
                <w:highlight w:val="none"/>
                <w:lang w:eastAsia="zh-CN"/>
              </w:rPr>
              <w:t>《工业企业厂界环境噪声排放标准》（GB12348-2008）2类标准限值</w:t>
            </w:r>
          </w:p>
        </w:tc>
      </w:tr>
      <w:tr w14:paraId="7DF0BC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0" w:type="dxa"/>
            <w:vAlign w:val="center"/>
          </w:tcPr>
          <w:p w14:paraId="0B80C510">
            <w:pPr>
              <w:pageBreakBefore w:val="0"/>
              <w:kinsoku/>
              <w:overflowPunct/>
              <w:topLinePunct w:val="0"/>
              <w:bidi w:val="0"/>
              <w:adjustRightInd w:val="0"/>
              <w:snapToGrid w:val="0"/>
              <w:spacing w:line="240" w:lineRule="auto"/>
              <w:ind w:left="0" w:firstLine="0" w:firstLineChars="0"/>
              <w:jc w:val="center"/>
              <w:textAlignment w:val="auto"/>
              <w:rPr>
                <w:rFonts w:ascii="宋体" w:hAnsi="宋体" w:cs="宋体"/>
                <w:color w:val="auto"/>
                <w:szCs w:val="21"/>
                <w:highlight w:val="none"/>
              </w:rPr>
            </w:pPr>
            <w:r>
              <w:rPr>
                <w:rFonts w:hint="eastAsia" w:ascii="宋体" w:hAnsi="宋体" w:cs="宋体"/>
                <w:color w:val="auto"/>
                <w:szCs w:val="21"/>
                <w:highlight w:val="none"/>
              </w:rPr>
              <w:t>电磁</w:t>
            </w:r>
          </w:p>
          <w:p w14:paraId="678DBBF8">
            <w:pPr>
              <w:pageBreakBefore w:val="0"/>
              <w:kinsoku/>
              <w:overflowPunct/>
              <w:topLinePunct w:val="0"/>
              <w:bidi w:val="0"/>
              <w:adjustRightInd w:val="0"/>
              <w:snapToGrid w:val="0"/>
              <w:spacing w:line="240" w:lineRule="auto"/>
              <w:ind w:left="0" w:firstLine="0" w:firstLineChars="0"/>
              <w:jc w:val="center"/>
              <w:textAlignment w:val="auto"/>
              <w:rPr>
                <w:rFonts w:ascii="宋体" w:hAnsi="宋体" w:cs="宋体"/>
                <w:color w:val="auto"/>
                <w:szCs w:val="21"/>
                <w:highlight w:val="none"/>
              </w:rPr>
            </w:pPr>
            <w:r>
              <w:rPr>
                <w:rFonts w:hint="eastAsia" w:ascii="宋体" w:hAnsi="宋体" w:cs="宋体"/>
                <w:color w:val="auto"/>
                <w:szCs w:val="21"/>
                <w:highlight w:val="none"/>
              </w:rPr>
              <w:t>辐射</w:t>
            </w:r>
          </w:p>
        </w:tc>
        <w:tc>
          <w:tcPr>
            <w:tcW w:w="1350" w:type="dxa"/>
            <w:vAlign w:val="center"/>
          </w:tcPr>
          <w:p w14:paraId="41C17EA6">
            <w:pPr>
              <w:pageBreakBefore w:val="0"/>
              <w:kinsoku/>
              <w:overflowPunct/>
              <w:topLinePunct w:val="0"/>
              <w:bidi w:val="0"/>
              <w:adjustRightInd w:val="0"/>
              <w:snapToGrid w:val="0"/>
              <w:spacing w:line="240" w:lineRule="auto"/>
              <w:ind w:left="0" w:firstLine="0" w:firstLineChars="0"/>
              <w:jc w:val="center"/>
              <w:textAlignment w:val="auto"/>
              <w:rPr>
                <w:rFonts w:ascii="宋体" w:hAnsi="宋体" w:cs="宋体"/>
                <w:color w:val="auto"/>
                <w:szCs w:val="21"/>
                <w:highlight w:val="none"/>
              </w:rPr>
            </w:pPr>
            <w:r>
              <w:rPr>
                <w:rFonts w:hint="eastAsia" w:ascii="宋体" w:hAnsi="宋体" w:cs="宋体"/>
                <w:color w:val="auto"/>
                <w:szCs w:val="21"/>
                <w:highlight w:val="none"/>
              </w:rPr>
              <w:t>/</w:t>
            </w:r>
          </w:p>
        </w:tc>
        <w:tc>
          <w:tcPr>
            <w:tcW w:w="1391" w:type="dxa"/>
            <w:vAlign w:val="center"/>
          </w:tcPr>
          <w:p w14:paraId="4EE12921">
            <w:pPr>
              <w:pageBreakBefore w:val="0"/>
              <w:kinsoku/>
              <w:overflowPunct/>
              <w:topLinePunct w:val="0"/>
              <w:bidi w:val="0"/>
              <w:adjustRightInd w:val="0"/>
              <w:snapToGrid w:val="0"/>
              <w:spacing w:line="240" w:lineRule="auto"/>
              <w:ind w:left="0" w:firstLine="0" w:firstLineChars="0"/>
              <w:jc w:val="center"/>
              <w:textAlignment w:val="auto"/>
              <w:rPr>
                <w:rFonts w:ascii="宋体" w:hAnsi="宋体" w:cs="宋体"/>
                <w:color w:val="auto"/>
                <w:szCs w:val="21"/>
                <w:highlight w:val="none"/>
              </w:rPr>
            </w:pPr>
            <w:r>
              <w:rPr>
                <w:rFonts w:hint="eastAsia" w:ascii="宋体" w:hAnsi="宋体" w:cs="宋体"/>
                <w:color w:val="auto"/>
                <w:szCs w:val="21"/>
                <w:highlight w:val="none"/>
              </w:rPr>
              <w:t>/</w:t>
            </w:r>
          </w:p>
        </w:tc>
        <w:tc>
          <w:tcPr>
            <w:tcW w:w="2059" w:type="dxa"/>
            <w:vAlign w:val="center"/>
          </w:tcPr>
          <w:p w14:paraId="4C08E34A">
            <w:pPr>
              <w:pageBreakBefore w:val="0"/>
              <w:kinsoku/>
              <w:overflowPunct/>
              <w:topLinePunct w:val="0"/>
              <w:bidi w:val="0"/>
              <w:adjustRightInd w:val="0"/>
              <w:snapToGrid w:val="0"/>
              <w:spacing w:line="240" w:lineRule="auto"/>
              <w:ind w:left="0" w:firstLine="0" w:firstLineChars="0"/>
              <w:jc w:val="center"/>
              <w:textAlignment w:val="auto"/>
              <w:rPr>
                <w:rFonts w:ascii="宋体" w:hAnsi="宋体" w:cs="宋体"/>
                <w:color w:val="auto"/>
                <w:szCs w:val="21"/>
                <w:highlight w:val="none"/>
              </w:rPr>
            </w:pPr>
            <w:r>
              <w:rPr>
                <w:rFonts w:hint="eastAsia" w:ascii="宋体" w:hAnsi="宋体" w:cs="宋体"/>
                <w:color w:val="auto"/>
                <w:szCs w:val="21"/>
                <w:highlight w:val="none"/>
              </w:rPr>
              <w:t>/</w:t>
            </w:r>
          </w:p>
        </w:tc>
        <w:tc>
          <w:tcPr>
            <w:tcW w:w="3311" w:type="dxa"/>
            <w:vAlign w:val="center"/>
          </w:tcPr>
          <w:p w14:paraId="67E62D60">
            <w:pPr>
              <w:pageBreakBefore w:val="0"/>
              <w:kinsoku/>
              <w:overflowPunct/>
              <w:topLinePunct w:val="0"/>
              <w:bidi w:val="0"/>
              <w:adjustRightInd w:val="0"/>
              <w:snapToGrid w:val="0"/>
              <w:spacing w:line="240" w:lineRule="auto"/>
              <w:ind w:left="0" w:firstLine="0" w:firstLineChars="0"/>
              <w:jc w:val="center"/>
              <w:textAlignment w:val="auto"/>
              <w:rPr>
                <w:rFonts w:ascii="宋体" w:hAnsi="宋体" w:cs="宋体"/>
                <w:color w:val="auto"/>
                <w:szCs w:val="21"/>
                <w:highlight w:val="none"/>
              </w:rPr>
            </w:pPr>
            <w:r>
              <w:rPr>
                <w:rFonts w:hint="eastAsia" w:ascii="宋体" w:hAnsi="宋体" w:cs="宋体"/>
                <w:color w:val="auto"/>
                <w:szCs w:val="21"/>
                <w:highlight w:val="none"/>
              </w:rPr>
              <w:t>/</w:t>
            </w:r>
          </w:p>
        </w:tc>
      </w:tr>
      <w:tr w14:paraId="3E1266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79" w:hRule="atLeast"/>
          <w:jc w:val="center"/>
        </w:trPr>
        <w:tc>
          <w:tcPr>
            <w:tcW w:w="860" w:type="dxa"/>
            <w:vAlign w:val="center"/>
          </w:tcPr>
          <w:p w14:paraId="62EA6066">
            <w:pPr>
              <w:pageBreakBefore w:val="0"/>
              <w:kinsoku/>
              <w:overflowPunct/>
              <w:topLinePunct w:val="0"/>
              <w:bidi w:val="0"/>
              <w:adjustRightInd w:val="0"/>
              <w:snapToGrid w:val="0"/>
              <w:spacing w:line="240" w:lineRule="auto"/>
              <w:ind w:left="0" w:firstLine="0" w:firstLineChars="0"/>
              <w:jc w:val="center"/>
              <w:textAlignment w:val="auto"/>
              <w:rPr>
                <w:rFonts w:ascii="宋体" w:hAnsi="宋体" w:cs="宋体"/>
                <w:color w:val="auto"/>
                <w:szCs w:val="21"/>
                <w:highlight w:val="none"/>
              </w:rPr>
            </w:pPr>
            <w:r>
              <w:rPr>
                <w:rFonts w:hint="eastAsia" w:ascii="宋体" w:hAnsi="宋体" w:cs="宋体"/>
                <w:color w:val="auto"/>
                <w:szCs w:val="21"/>
                <w:highlight w:val="none"/>
              </w:rPr>
              <w:t>固体</w:t>
            </w:r>
          </w:p>
          <w:p w14:paraId="57C6AFF8">
            <w:pPr>
              <w:pageBreakBefore w:val="0"/>
              <w:kinsoku/>
              <w:overflowPunct/>
              <w:topLinePunct w:val="0"/>
              <w:bidi w:val="0"/>
              <w:adjustRightInd w:val="0"/>
              <w:snapToGrid w:val="0"/>
              <w:spacing w:line="240" w:lineRule="auto"/>
              <w:ind w:left="0" w:firstLine="0" w:firstLineChars="0"/>
              <w:jc w:val="center"/>
              <w:textAlignment w:val="auto"/>
              <w:rPr>
                <w:rFonts w:ascii="宋体" w:hAnsi="宋体" w:cs="宋体"/>
                <w:color w:val="auto"/>
                <w:szCs w:val="21"/>
                <w:highlight w:val="none"/>
              </w:rPr>
            </w:pPr>
            <w:r>
              <w:rPr>
                <w:rFonts w:hint="eastAsia" w:ascii="宋体" w:hAnsi="宋体" w:cs="宋体"/>
                <w:color w:val="auto"/>
                <w:szCs w:val="21"/>
                <w:highlight w:val="none"/>
              </w:rPr>
              <w:t>废物</w:t>
            </w:r>
          </w:p>
        </w:tc>
        <w:tc>
          <w:tcPr>
            <w:tcW w:w="8111" w:type="dxa"/>
            <w:gridSpan w:val="4"/>
            <w:vAlign w:val="center"/>
          </w:tcPr>
          <w:p w14:paraId="09254C48">
            <w:pPr>
              <w:pageBreakBefore w:val="0"/>
              <w:kinsoku/>
              <w:overflowPunct/>
              <w:topLinePunct w:val="0"/>
              <w:bidi w:val="0"/>
              <w:adjustRightInd w:val="0"/>
              <w:snapToGrid w:val="0"/>
              <w:spacing w:line="240" w:lineRule="auto"/>
              <w:ind w:left="0" w:firstLine="0" w:firstLineChars="0"/>
              <w:textAlignment w:val="auto"/>
              <w:rPr>
                <w:rFonts w:hint="eastAsia" w:cs="宋体"/>
                <w:color w:val="auto"/>
                <w:szCs w:val="21"/>
                <w:highlight w:val="none"/>
                <w:lang w:bidi="ar"/>
              </w:rPr>
            </w:pPr>
            <w:r>
              <w:rPr>
                <w:rFonts w:hint="eastAsia" w:cs="宋体"/>
                <w:b/>
                <w:bCs/>
                <w:color w:val="auto"/>
                <w:szCs w:val="21"/>
                <w:highlight w:val="none"/>
                <w:lang w:bidi="ar"/>
              </w:rPr>
              <w:t>一般工业固废</w:t>
            </w:r>
            <w:r>
              <w:rPr>
                <w:rFonts w:hint="eastAsia" w:cs="宋体"/>
                <w:color w:val="auto"/>
                <w:szCs w:val="21"/>
                <w:highlight w:val="none"/>
                <w:lang w:bidi="ar"/>
              </w:rPr>
              <w:t>：</w:t>
            </w:r>
            <w:r>
              <w:rPr>
                <w:rFonts w:hint="eastAsia" w:cs="宋体"/>
                <w:color w:val="auto"/>
                <w:szCs w:val="21"/>
                <w:highlight w:val="none"/>
                <w:lang w:val="en-US" w:eastAsia="zh-CN" w:bidi="ar"/>
              </w:rPr>
              <w:t>项目产生的一般工业固废为：废一般包装材料，拟</w:t>
            </w:r>
            <w:r>
              <w:rPr>
                <w:rFonts w:hint="eastAsia" w:cs="宋体"/>
                <w:color w:val="auto"/>
                <w:szCs w:val="21"/>
                <w:highlight w:val="none"/>
                <w:lang w:bidi="ar"/>
              </w:rPr>
              <w:t>设置一般工业固废暂存间，妥善分类收集后回用于生产或外售综合利用；满足</w:t>
            </w:r>
            <w:r>
              <w:rPr>
                <w:rFonts w:hint="eastAsia"/>
                <w:color w:val="auto"/>
                <w:highlight w:val="none"/>
              </w:rPr>
              <w:t>《一般工业固体废物贮存和填埋污染控制标准》（GB18599-2020）</w:t>
            </w:r>
            <w:r>
              <w:rPr>
                <w:rFonts w:hint="eastAsia" w:cs="宋体"/>
                <w:color w:val="auto"/>
                <w:szCs w:val="21"/>
                <w:highlight w:val="none"/>
                <w:lang w:bidi="ar"/>
              </w:rPr>
              <w:t>的相关要求；</w:t>
            </w:r>
          </w:p>
          <w:p w14:paraId="0E2C3838">
            <w:pPr>
              <w:pageBreakBefore w:val="0"/>
              <w:kinsoku/>
              <w:overflowPunct/>
              <w:topLinePunct w:val="0"/>
              <w:bidi w:val="0"/>
              <w:adjustRightInd w:val="0"/>
              <w:snapToGrid w:val="0"/>
              <w:spacing w:line="240" w:lineRule="auto"/>
              <w:ind w:left="0" w:firstLine="0" w:firstLineChars="0"/>
              <w:textAlignment w:val="auto"/>
              <w:rPr>
                <w:rFonts w:hint="eastAsia" w:cs="宋体"/>
                <w:color w:val="auto"/>
                <w:szCs w:val="21"/>
                <w:highlight w:val="none"/>
                <w:lang w:bidi="ar"/>
              </w:rPr>
            </w:pPr>
            <w:r>
              <w:rPr>
                <w:rFonts w:hint="eastAsia" w:cs="宋体"/>
                <w:b/>
                <w:bCs/>
                <w:color w:val="auto"/>
                <w:szCs w:val="21"/>
                <w:highlight w:val="none"/>
                <w:lang w:bidi="ar"/>
              </w:rPr>
              <w:t>危险废物</w:t>
            </w:r>
            <w:r>
              <w:rPr>
                <w:rFonts w:hint="eastAsia" w:cs="宋体"/>
                <w:color w:val="auto"/>
                <w:szCs w:val="21"/>
                <w:highlight w:val="none"/>
                <w:lang w:bidi="ar"/>
              </w:rPr>
              <w:t>：</w:t>
            </w:r>
            <w:r>
              <w:rPr>
                <w:rFonts w:hint="eastAsia" w:cs="宋体"/>
                <w:color w:val="auto"/>
                <w:szCs w:val="21"/>
                <w:highlight w:val="none"/>
                <w:lang w:val="en-US" w:eastAsia="zh-CN" w:bidi="ar"/>
              </w:rPr>
              <w:t>项目产生的危险废物为：废水处理污泥、废活性炭、医疗废物等，拟建设危废储存库1座</w:t>
            </w:r>
            <w:r>
              <w:rPr>
                <w:rFonts w:hint="eastAsia" w:cs="宋体"/>
                <w:color w:val="auto"/>
                <w:szCs w:val="21"/>
                <w:highlight w:val="none"/>
                <w:lang w:bidi="ar"/>
              </w:rPr>
              <w:t>。</w:t>
            </w:r>
            <w:r>
              <w:rPr>
                <w:rFonts w:hint="eastAsia" w:cs="宋体"/>
                <w:color w:val="auto"/>
                <w:szCs w:val="21"/>
                <w:highlight w:val="none"/>
                <w:lang w:val="en-US" w:eastAsia="zh-CN" w:bidi="ar"/>
              </w:rPr>
              <w:t>化粪池和污水处理站污泥属于危险废物，按照危险废物进行处理和处置，污泥清掏前应进行监测，污泥控制与处置应满足GB 18466-2005《医疗机构水污染物排放标准》的相关要求。</w:t>
            </w:r>
            <w:r>
              <w:rPr>
                <w:rFonts w:hint="eastAsia" w:cs="宋体"/>
                <w:color w:val="auto"/>
                <w:szCs w:val="21"/>
                <w:highlight w:val="none"/>
                <w:lang w:bidi="ar"/>
              </w:rPr>
              <w:t>危险废物分类收集，暂存在</w:t>
            </w:r>
            <w:r>
              <w:rPr>
                <w:rFonts w:hint="eastAsia" w:cs="宋体"/>
                <w:color w:val="auto"/>
                <w:szCs w:val="21"/>
                <w:highlight w:val="none"/>
                <w:lang w:eastAsia="zh-CN" w:bidi="ar"/>
              </w:rPr>
              <w:t>危废储存库</w:t>
            </w:r>
            <w:r>
              <w:rPr>
                <w:rFonts w:hint="eastAsia" w:cs="宋体"/>
                <w:color w:val="auto"/>
                <w:szCs w:val="21"/>
                <w:highlight w:val="none"/>
                <w:lang w:bidi="ar"/>
              </w:rPr>
              <w:t>，定期委托有资质单位处置，危险废物收集、暂存、装运等需满足《危险废物贮存污染控制标准》</w:t>
            </w:r>
            <w:r>
              <w:rPr>
                <w:rFonts w:hint="eastAsia" w:cs="宋体"/>
                <w:color w:val="auto"/>
                <w:szCs w:val="21"/>
                <w:highlight w:val="none"/>
                <w:lang w:eastAsia="zh-CN" w:bidi="ar"/>
              </w:rPr>
              <w:t>（</w:t>
            </w:r>
            <w:r>
              <w:rPr>
                <w:color w:val="auto"/>
                <w:szCs w:val="21"/>
                <w:highlight w:val="none"/>
                <w:lang w:bidi="ar"/>
              </w:rPr>
              <w:t>GB18597-20</w:t>
            </w:r>
            <w:r>
              <w:rPr>
                <w:rFonts w:hint="eastAsia"/>
                <w:color w:val="auto"/>
                <w:szCs w:val="21"/>
                <w:highlight w:val="none"/>
                <w:lang w:val="en-US" w:eastAsia="zh-CN" w:bidi="ar"/>
              </w:rPr>
              <w:t>23）</w:t>
            </w:r>
            <w:r>
              <w:rPr>
                <w:rFonts w:hint="eastAsia" w:cs="宋体"/>
                <w:color w:val="auto"/>
                <w:szCs w:val="21"/>
                <w:highlight w:val="none"/>
                <w:lang w:bidi="ar"/>
              </w:rPr>
              <w:t>。危废转移应严格按《危险废物转移联单管理办法》要求执行；</w:t>
            </w:r>
          </w:p>
          <w:p w14:paraId="4BC40822">
            <w:pPr>
              <w:pageBreakBefore w:val="0"/>
              <w:kinsoku/>
              <w:overflowPunct/>
              <w:topLinePunct w:val="0"/>
              <w:bidi w:val="0"/>
              <w:adjustRightInd w:val="0"/>
              <w:snapToGrid w:val="0"/>
              <w:spacing w:line="240" w:lineRule="auto"/>
              <w:ind w:left="0" w:firstLine="0" w:firstLineChars="0"/>
              <w:textAlignment w:val="auto"/>
              <w:rPr>
                <w:rFonts w:hint="eastAsia" w:ascii="宋体" w:hAnsi="宋体" w:eastAsia="宋体" w:cs="宋体"/>
                <w:color w:val="auto"/>
                <w:szCs w:val="21"/>
                <w:highlight w:val="none"/>
                <w:lang w:val="en-US" w:eastAsia="zh-CN"/>
              </w:rPr>
            </w:pPr>
            <w:r>
              <w:rPr>
                <w:rFonts w:hint="eastAsia"/>
                <w:b/>
                <w:bCs/>
                <w:color w:val="auto"/>
                <w:szCs w:val="21"/>
                <w:highlight w:val="none"/>
                <w:lang w:bidi="ar"/>
              </w:rPr>
              <w:t>生活垃圾</w:t>
            </w:r>
            <w:r>
              <w:rPr>
                <w:rFonts w:hint="eastAsia"/>
                <w:color w:val="auto"/>
                <w:szCs w:val="21"/>
                <w:highlight w:val="none"/>
                <w:lang w:bidi="ar"/>
              </w:rPr>
              <w:t>：由垃圾桶收集，由市政环卫部门统一清运处理</w:t>
            </w:r>
            <w:r>
              <w:rPr>
                <w:rFonts w:hint="eastAsia"/>
                <w:color w:val="auto"/>
                <w:szCs w:val="21"/>
                <w:highlight w:val="none"/>
                <w:lang w:val="en-US" w:eastAsia="zh-CN" w:bidi="ar"/>
              </w:rPr>
              <w:t>。</w:t>
            </w:r>
          </w:p>
        </w:tc>
      </w:tr>
      <w:tr w14:paraId="6E8765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860" w:type="dxa"/>
            <w:vAlign w:val="center"/>
          </w:tcPr>
          <w:p w14:paraId="59C0C4FE">
            <w:pPr>
              <w:pageBreakBefore w:val="0"/>
              <w:kinsoku/>
              <w:overflowPunct/>
              <w:topLinePunct w:val="0"/>
              <w:bidi w:val="0"/>
              <w:adjustRightInd w:val="0"/>
              <w:snapToGrid w:val="0"/>
              <w:spacing w:line="240" w:lineRule="auto"/>
              <w:ind w:left="0" w:firstLine="0" w:firstLineChars="0"/>
              <w:jc w:val="center"/>
              <w:textAlignment w:val="auto"/>
              <w:rPr>
                <w:rFonts w:ascii="宋体" w:hAnsi="宋体" w:cs="宋体"/>
                <w:color w:val="auto"/>
                <w:szCs w:val="21"/>
                <w:highlight w:val="none"/>
              </w:rPr>
            </w:pPr>
            <w:r>
              <w:rPr>
                <w:rFonts w:hint="eastAsia" w:ascii="宋体" w:hAnsi="宋体" w:cs="宋体"/>
                <w:color w:val="auto"/>
                <w:szCs w:val="21"/>
                <w:highlight w:val="none"/>
              </w:rPr>
              <w:t>土壤及地下水污染防治措施</w:t>
            </w:r>
          </w:p>
        </w:tc>
        <w:tc>
          <w:tcPr>
            <w:tcW w:w="8111" w:type="dxa"/>
            <w:gridSpan w:val="4"/>
            <w:vAlign w:val="center"/>
          </w:tcPr>
          <w:p w14:paraId="0EA343FB">
            <w:pPr>
              <w:pStyle w:val="46"/>
              <w:pageBreakBefore w:val="0"/>
              <w:kinsoku/>
              <w:overflowPunct/>
              <w:topLinePunct w:val="0"/>
              <w:bidi w:val="0"/>
              <w:spacing w:line="240" w:lineRule="auto"/>
              <w:ind w:left="0" w:leftChars="0" w:firstLine="0" w:firstLineChars="0"/>
              <w:textAlignment w:val="auto"/>
              <w:rPr>
                <w:rFonts w:ascii="宋体" w:hAnsi="宋体" w:cs="宋体"/>
                <w:color w:val="auto"/>
                <w:sz w:val="21"/>
                <w:szCs w:val="21"/>
                <w:highlight w:val="none"/>
              </w:rPr>
            </w:pPr>
            <w:r>
              <w:rPr>
                <w:color w:val="auto"/>
                <w:sz w:val="21"/>
                <w:szCs w:val="21"/>
                <w:highlight w:val="none"/>
              </w:rPr>
              <w:t>按照</w:t>
            </w:r>
            <w:r>
              <w:rPr>
                <w:rFonts w:hint="eastAsia"/>
                <w:color w:val="auto"/>
                <w:sz w:val="21"/>
                <w:szCs w:val="21"/>
                <w:highlight w:val="none"/>
                <w:lang w:eastAsia="zh-CN"/>
              </w:rPr>
              <w:t>“</w:t>
            </w:r>
            <w:r>
              <w:rPr>
                <w:color w:val="auto"/>
                <w:sz w:val="21"/>
                <w:szCs w:val="21"/>
                <w:highlight w:val="none"/>
              </w:rPr>
              <w:t>源头控制、分区防治、污染监控、应急响应</w:t>
            </w:r>
            <w:r>
              <w:rPr>
                <w:rFonts w:hint="eastAsia"/>
                <w:color w:val="auto"/>
                <w:sz w:val="21"/>
                <w:szCs w:val="21"/>
                <w:highlight w:val="none"/>
                <w:lang w:eastAsia="zh-CN"/>
              </w:rPr>
              <w:t>”</w:t>
            </w:r>
            <w:r>
              <w:rPr>
                <w:color w:val="auto"/>
                <w:sz w:val="21"/>
                <w:szCs w:val="21"/>
                <w:highlight w:val="none"/>
              </w:rPr>
              <w:t>相结合的原则全阶段进行控制</w:t>
            </w:r>
            <w:r>
              <w:rPr>
                <w:rFonts w:hint="eastAsia"/>
                <w:color w:val="auto"/>
                <w:sz w:val="21"/>
                <w:szCs w:val="21"/>
                <w:highlight w:val="none"/>
              </w:rPr>
              <w:t>。</w:t>
            </w:r>
          </w:p>
        </w:tc>
      </w:tr>
      <w:tr w14:paraId="53CE12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860" w:type="dxa"/>
            <w:vAlign w:val="center"/>
          </w:tcPr>
          <w:p w14:paraId="3551FFB8">
            <w:pPr>
              <w:pageBreakBefore w:val="0"/>
              <w:kinsoku/>
              <w:overflowPunct/>
              <w:topLinePunct w:val="0"/>
              <w:bidi w:val="0"/>
              <w:adjustRightInd w:val="0"/>
              <w:snapToGrid w:val="0"/>
              <w:spacing w:line="240" w:lineRule="auto"/>
              <w:ind w:left="0" w:firstLine="0" w:firstLineChars="0"/>
              <w:jc w:val="center"/>
              <w:textAlignment w:val="auto"/>
              <w:rPr>
                <w:rFonts w:ascii="宋体" w:hAnsi="宋体" w:cs="宋体"/>
                <w:color w:val="auto"/>
                <w:szCs w:val="21"/>
                <w:highlight w:val="none"/>
              </w:rPr>
            </w:pPr>
            <w:r>
              <w:rPr>
                <w:rFonts w:hint="eastAsia" w:ascii="宋体" w:hAnsi="宋体" w:cs="宋体"/>
                <w:color w:val="auto"/>
                <w:szCs w:val="21"/>
                <w:highlight w:val="none"/>
              </w:rPr>
              <w:t>生态保护措施</w:t>
            </w:r>
          </w:p>
        </w:tc>
        <w:tc>
          <w:tcPr>
            <w:tcW w:w="8111" w:type="dxa"/>
            <w:gridSpan w:val="4"/>
            <w:vAlign w:val="center"/>
          </w:tcPr>
          <w:p w14:paraId="413A9B69">
            <w:pPr>
              <w:pageBreakBefore w:val="0"/>
              <w:kinsoku/>
              <w:overflowPunct/>
              <w:topLinePunct w:val="0"/>
              <w:bidi w:val="0"/>
              <w:adjustRightInd w:val="0"/>
              <w:snapToGrid w:val="0"/>
              <w:spacing w:line="240" w:lineRule="auto"/>
              <w:ind w:left="0" w:firstLine="0" w:firstLineChars="0"/>
              <w:jc w:val="center"/>
              <w:textAlignment w:val="auto"/>
              <w:rPr>
                <w:rFonts w:ascii="宋体" w:hAnsi="宋体" w:cs="宋体"/>
                <w:color w:val="auto"/>
                <w:szCs w:val="21"/>
                <w:highlight w:val="none"/>
              </w:rPr>
            </w:pPr>
            <w:r>
              <w:rPr>
                <w:rFonts w:hint="eastAsia" w:ascii="宋体" w:hAnsi="宋体" w:cs="宋体"/>
                <w:color w:val="auto"/>
                <w:szCs w:val="21"/>
                <w:highlight w:val="none"/>
              </w:rPr>
              <w:t>/</w:t>
            </w:r>
          </w:p>
        </w:tc>
      </w:tr>
      <w:tr w14:paraId="2AED5C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0" w:type="dxa"/>
            <w:vAlign w:val="center"/>
          </w:tcPr>
          <w:p w14:paraId="7810AFC1">
            <w:pPr>
              <w:pageBreakBefore w:val="0"/>
              <w:kinsoku/>
              <w:overflowPunct/>
              <w:topLinePunct w:val="0"/>
              <w:bidi w:val="0"/>
              <w:adjustRightInd w:val="0"/>
              <w:snapToGrid w:val="0"/>
              <w:spacing w:line="240" w:lineRule="auto"/>
              <w:ind w:left="0" w:firstLine="0" w:firstLineChars="0"/>
              <w:jc w:val="center"/>
              <w:textAlignment w:val="auto"/>
              <w:rPr>
                <w:rFonts w:ascii="宋体" w:hAnsi="宋体" w:cs="宋体"/>
                <w:color w:val="auto"/>
                <w:spacing w:val="-8"/>
                <w:szCs w:val="21"/>
                <w:highlight w:val="none"/>
              </w:rPr>
            </w:pPr>
            <w:r>
              <w:rPr>
                <w:rFonts w:hint="eastAsia" w:ascii="宋体" w:hAnsi="宋体" w:cs="宋体"/>
                <w:color w:val="auto"/>
                <w:spacing w:val="-8"/>
                <w:szCs w:val="21"/>
                <w:highlight w:val="none"/>
              </w:rPr>
              <w:t>环境风险防范措施</w:t>
            </w:r>
          </w:p>
        </w:tc>
        <w:tc>
          <w:tcPr>
            <w:tcW w:w="8111" w:type="dxa"/>
            <w:gridSpan w:val="4"/>
            <w:vAlign w:val="center"/>
          </w:tcPr>
          <w:p w14:paraId="1FF21731">
            <w:pPr>
              <w:pStyle w:val="46"/>
              <w:pageBreakBefore w:val="0"/>
              <w:kinsoku/>
              <w:overflowPunct/>
              <w:topLinePunct w:val="0"/>
              <w:bidi w:val="0"/>
              <w:spacing w:line="240" w:lineRule="auto"/>
              <w:ind w:left="0" w:firstLine="0" w:firstLineChars="0"/>
              <w:textAlignment w:val="auto"/>
              <w:rPr>
                <w:rFonts w:hint="eastAsia"/>
                <w:color w:val="auto"/>
                <w:sz w:val="21"/>
                <w:szCs w:val="21"/>
                <w:highlight w:val="none"/>
              </w:rPr>
            </w:pPr>
            <w:r>
              <w:rPr>
                <w:rFonts w:hint="eastAsia"/>
                <w:color w:val="auto"/>
                <w:sz w:val="21"/>
                <w:szCs w:val="21"/>
                <w:highlight w:val="none"/>
              </w:rPr>
              <w:t>①</w:t>
            </w:r>
            <w:r>
              <w:rPr>
                <w:rFonts w:hint="eastAsia" w:cs="Times New Roman"/>
                <w:color w:val="auto"/>
                <w:sz w:val="21"/>
                <w:szCs w:val="21"/>
                <w:highlight w:val="none"/>
                <w:lang w:val="en-US" w:eastAsia="zh-CN"/>
              </w:rPr>
              <w:t>院内</w:t>
            </w:r>
            <w:r>
              <w:rPr>
                <w:rFonts w:ascii="Times New Roman" w:hAnsi="Times New Roman" w:eastAsia="宋体" w:cs="Times New Roman"/>
                <w:color w:val="auto"/>
                <w:sz w:val="21"/>
                <w:szCs w:val="21"/>
                <w:highlight w:val="none"/>
                <w:lang w:val="en-US" w:eastAsia="zh-CN"/>
              </w:rPr>
              <w:t>设置有消防设备</w:t>
            </w:r>
            <w:r>
              <w:rPr>
                <w:rFonts w:hint="eastAsia" w:ascii="Times New Roman" w:hAnsi="Times New Roman" w:cs="Times New Roman"/>
                <w:color w:val="auto"/>
                <w:sz w:val="21"/>
                <w:szCs w:val="21"/>
                <w:highlight w:val="none"/>
                <w:lang w:val="en-US" w:eastAsia="zh-CN"/>
              </w:rPr>
              <w:t>。</w:t>
            </w:r>
          </w:p>
          <w:p w14:paraId="022054A9">
            <w:pPr>
              <w:pStyle w:val="46"/>
              <w:pageBreakBefore w:val="0"/>
              <w:kinsoku/>
              <w:overflowPunct/>
              <w:topLinePunct w:val="0"/>
              <w:bidi w:val="0"/>
              <w:spacing w:line="240" w:lineRule="auto"/>
              <w:ind w:left="0" w:firstLine="0" w:firstLineChars="0"/>
              <w:textAlignment w:val="auto"/>
              <w:rPr>
                <w:color w:val="auto"/>
                <w:sz w:val="21"/>
                <w:szCs w:val="21"/>
                <w:highlight w:val="none"/>
              </w:rPr>
            </w:pPr>
            <w:r>
              <w:rPr>
                <w:rFonts w:hint="eastAsia"/>
                <w:color w:val="auto"/>
                <w:sz w:val="21"/>
                <w:szCs w:val="21"/>
                <w:highlight w:val="none"/>
              </w:rPr>
              <w:t>②</w:t>
            </w:r>
            <w:r>
              <w:rPr>
                <w:color w:val="auto"/>
                <w:sz w:val="21"/>
                <w:szCs w:val="21"/>
                <w:highlight w:val="none"/>
              </w:rPr>
              <w:t>加强职工管理，进行必要的安全消防教育，并做好个人防护。</w:t>
            </w:r>
          </w:p>
          <w:p w14:paraId="1A7EC05B">
            <w:pPr>
              <w:pStyle w:val="46"/>
              <w:pageBreakBefore w:val="0"/>
              <w:kinsoku/>
              <w:overflowPunct/>
              <w:topLinePunct w:val="0"/>
              <w:bidi w:val="0"/>
              <w:spacing w:line="240" w:lineRule="auto"/>
              <w:ind w:left="0" w:firstLine="0" w:firstLineChars="0"/>
              <w:textAlignment w:val="auto"/>
              <w:rPr>
                <w:color w:val="auto"/>
                <w:sz w:val="21"/>
                <w:szCs w:val="21"/>
                <w:highlight w:val="none"/>
              </w:rPr>
            </w:pPr>
            <w:r>
              <w:rPr>
                <w:rFonts w:hint="eastAsia"/>
                <w:color w:val="auto"/>
                <w:sz w:val="21"/>
                <w:szCs w:val="21"/>
                <w:highlight w:val="none"/>
              </w:rPr>
              <w:t>③</w:t>
            </w:r>
            <w:r>
              <w:rPr>
                <w:color w:val="auto"/>
                <w:sz w:val="21"/>
                <w:szCs w:val="21"/>
                <w:highlight w:val="none"/>
              </w:rPr>
              <w:t>企业应加强设备管理，确保设备完好，并制定严格的操作、管理制度，工作人员应培训上岗，定期对池体进行检查，杜绝“跑、冒、滴、漏”的发生。</w:t>
            </w:r>
          </w:p>
          <w:p w14:paraId="391EB2C8">
            <w:pPr>
              <w:pStyle w:val="46"/>
              <w:pageBreakBefore w:val="0"/>
              <w:kinsoku/>
              <w:overflowPunct/>
              <w:topLinePunct w:val="0"/>
              <w:bidi w:val="0"/>
              <w:spacing w:line="240" w:lineRule="auto"/>
              <w:ind w:left="0" w:firstLine="0" w:firstLineChars="0"/>
              <w:textAlignment w:val="auto"/>
              <w:rPr>
                <w:rFonts w:hint="default" w:eastAsia="宋体"/>
                <w:color w:val="auto"/>
                <w:sz w:val="21"/>
                <w:szCs w:val="21"/>
                <w:highlight w:val="none"/>
                <w:lang w:val="en-US" w:eastAsia="zh-CN"/>
              </w:rPr>
            </w:pPr>
            <w:r>
              <w:rPr>
                <w:rFonts w:hint="eastAsia"/>
                <w:color w:val="auto"/>
                <w:sz w:val="21"/>
                <w:szCs w:val="21"/>
                <w:highlight w:val="none"/>
              </w:rPr>
              <w:t>④</w:t>
            </w:r>
            <w:r>
              <w:rPr>
                <w:rFonts w:hint="eastAsia" w:cs="Times New Roman"/>
                <w:color w:val="auto"/>
                <w:sz w:val="21"/>
                <w:szCs w:val="21"/>
                <w:highlight w:val="none"/>
                <w:lang w:val="en-US" w:eastAsia="zh-CN"/>
              </w:rPr>
              <w:t>院内</w:t>
            </w:r>
            <w:r>
              <w:rPr>
                <w:rFonts w:ascii="Times New Roman" w:hAnsi="Times New Roman" w:eastAsia="宋体" w:cs="Times New Roman"/>
                <w:color w:val="auto"/>
                <w:sz w:val="21"/>
                <w:szCs w:val="21"/>
                <w:highlight w:val="none"/>
                <w:lang w:val="en-US" w:eastAsia="zh-CN"/>
              </w:rPr>
              <w:t>应进行地面硬化，确保项目</w:t>
            </w:r>
            <w:r>
              <w:rPr>
                <w:rFonts w:hint="eastAsia" w:cs="Times New Roman"/>
                <w:color w:val="auto"/>
                <w:sz w:val="21"/>
                <w:szCs w:val="21"/>
                <w:highlight w:val="none"/>
                <w:lang w:val="en-US" w:eastAsia="zh-CN"/>
              </w:rPr>
              <w:t>医疗设备</w:t>
            </w:r>
            <w:r>
              <w:rPr>
                <w:rFonts w:ascii="Times New Roman" w:hAnsi="Times New Roman" w:eastAsia="宋体" w:cs="Times New Roman"/>
                <w:color w:val="auto"/>
                <w:sz w:val="21"/>
                <w:szCs w:val="21"/>
                <w:highlight w:val="none"/>
                <w:lang w:val="en-US" w:eastAsia="zh-CN"/>
              </w:rPr>
              <w:t>等发生</w:t>
            </w:r>
            <w:r>
              <w:rPr>
                <w:rFonts w:hint="eastAsia" w:ascii="Times New Roman" w:hAnsi="Times New Roman" w:eastAsia="宋体" w:cs="Times New Roman"/>
                <w:color w:val="auto"/>
                <w:sz w:val="21"/>
                <w:szCs w:val="21"/>
                <w:highlight w:val="none"/>
                <w:lang w:val="en-US" w:eastAsia="zh-CN"/>
              </w:rPr>
              <w:t>泄漏</w:t>
            </w:r>
            <w:r>
              <w:rPr>
                <w:rFonts w:ascii="Times New Roman" w:hAnsi="Times New Roman" w:eastAsia="宋体" w:cs="Times New Roman"/>
                <w:color w:val="auto"/>
                <w:sz w:val="21"/>
                <w:szCs w:val="21"/>
                <w:highlight w:val="none"/>
                <w:lang w:val="en-US" w:eastAsia="zh-CN"/>
              </w:rPr>
              <w:t>，物料不会对土壤及地下水造成污染；</w:t>
            </w:r>
            <w:r>
              <w:rPr>
                <w:rFonts w:hint="eastAsia"/>
                <w:color w:val="auto"/>
                <w:sz w:val="21"/>
                <w:szCs w:val="21"/>
                <w:highlight w:val="none"/>
                <w:lang w:val="en-US" w:eastAsia="zh-CN"/>
              </w:rPr>
              <w:t>危废储存库</w:t>
            </w:r>
            <w:r>
              <w:rPr>
                <w:color w:val="auto"/>
                <w:sz w:val="21"/>
                <w:szCs w:val="21"/>
                <w:highlight w:val="none"/>
              </w:rPr>
              <w:t>应涂上环氧树脂防渗材料。</w:t>
            </w:r>
          </w:p>
        </w:tc>
      </w:tr>
      <w:tr w14:paraId="2283D4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60" w:type="dxa"/>
            <w:vAlign w:val="center"/>
          </w:tcPr>
          <w:p w14:paraId="06EDC64D">
            <w:pPr>
              <w:pageBreakBefore w:val="0"/>
              <w:kinsoku/>
              <w:overflowPunct/>
              <w:topLinePunct w:val="0"/>
              <w:bidi w:val="0"/>
              <w:adjustRightInd w:val="0"/>
              <w:snapToGrid w:val="0"/>
              <w:spacing w:line="240" w:lineRule="auto"/>
              <w:ind w:left="0" w:firstLine="0" w:firstLineChars="0"/>
              <w:jc w:val="center"/>
              <w:textAlignment w:val="auto"/>
              <w:rPr>
                <w:rFonts w:ascii="宋体" w:hAnsi="宋体" w:cs="宋体"/>
                <w:color w:val="auto"/>
                <w:spacing w:val="-8"/>
                <w:szCs w:val="21"/>
                <w:highlight w:val="none"/>
              </w:rPr>
            </w:pPr>
            <w:r>
              <w:rPr>
                <w:rFonts w:hint="eastAsia" w:ascii="宋体" w:hAnsi="宋体" w:cs="宋体"/>
                <w:color w:val="auto"/>
                <w:spacing w:val="-8"/>
                <w:szCs w:val="21"/>
                <w:highlight w:val="none"/>
              </w:rPr>
              <w:t>其他环境管理要求</w:t>
            </w:r>
          </w:p>
        </w:tc>
        <w:tc>
          <w:tcPr>
            <w:tcW w:w="8111" w:type="dxa"/>
            <w:gridSpan w:val="4"/>
            <w:vAlign w:val="center"/>
          </w:tcPr>
          <w:p w14:paraId="267CA015">
            <w:pPr>
              <w:pStyle w:val="46"/>
              <w:pageBreakBefore w:val="0"/>
              <w:kinsoku/>
              <w:overflowPunct/>
              <w:topLinePunct w:val="0"/>
              <w:bidi w:val="0"/>
              <w:spacing w:line="240" w:lineRule="auto"/>
              <w:ind w:left="0" w:firstLine="0" w:firstLineChars="0"/>
              <w:textAlignment w:val="auto"/>
              <w:rPr>
                <w:rFonts w:hint="eastAsia"/>
                <w:color w:val="auto"/>
                <w:kern w:val="0"/>
                <w:sz w:val="21"/>
                <w:szCs w:val="21"/>
                <w:highlight w:val="none"/>
                <w:lang w:val="en-US" w:eastAsia="zh-CN"/>
              </w:rPr>
            </w:pPr>
            <w:r>
              <w:rPr>
                <w:rFonts w:hint="eastAsia"/>
                <w:color w:val="auto"/>
                <w:kern w:val="0"/>
                <w:sz w:val="21"/>
                <w:szCs w:val="21"/>
                <w:highlight w:val="none"/>
                <w:lang w:val="en-US" w:eastAsia="zh-CN"/>
              </w:rPr>
              <w:t>①根据《固定污染源排污许可分类管理名录（2019年版）》相关内容可知，本项目需执行登记管理，项目竣工后应当在全国排污许可证管理信息平台填报。</w:t>
            </w:r>
          </w:p>
          <w:p w14:paraId="4491E7F3">
            <w:pPr>
              <w:pStyle w:val="46"/>
              <w:pageBreakBefore w:val="0"/>
              <w:kinsoku/>
              <w:overflowPunct/>
              <w:topLinePunct w:val="0"/>
              <w:bidi w:val="0"/>
              <w:spacing w:line="240" w:lineRule="auto"/>
              <w:ind w:left="0" w:firstLine="0" w:firstLineChars="0"/>
              <w:textAlignment w:val="auto"/>
              <w:rPr>
                <w:rFonts w:hint="eastAsia"/>
                <w:color w:val="auto"/>
                <w:kern w:val="0"/>
                <w:sz w:val="21"/>
                <w:szCs w:val="21"/>
                <w:highlight w:val="none"/>
                <w:lang w:val="en-US" w:eastAsia="zh-CN"/>
              </w:rPr>
            </w:pPr>
            <w:r>
              <w:rPr>
                <w:rFonts w:hint="eastAsia"/>
                <w:color w:val="auto"/>
                <w:kern w:val="0"/>
                <w:sz w:val="21"/>
                <w:szCs w:val="21"/>
                <w:highlight w:val="none"/>
                <w:lang w:val="en-US" w:eastAsia="zh-CN"/>
              </w:rPr>
              <w:t>②项目需按《建设项目竣工环境保护验收技术指南污染影响类》（生态环境部令第9号）要求完成竣工环保验收。</w:t>
            </w:r>
          </w:p>
          <w:p w14:paraId="6D16601E">
            <w:pPr>
              <w:pStyle w:val="46"/>
              <w:pageBreakBefore w:val="0"/>
              <w:kinsoku/>
              <w:overflowPunct/>
              <w:topLinePunct w:val="0"/>
              <w:bidi w:val="0"/>
              <w:spacing w:line="240" w:lineRule="auto"/>
              <w:ind w:left="0" w:firstLine="0" w:firstLineChars="0"/>
              <w:textAlignment w:val="auto"/>
              <w:rPr>
                <w:rFonts w:hint="eastAsia"/>
                <w:color w:val="auto"/>
                <w:kern w:val="0"/>
                <w:sz w:val="21"/>
                <w:szCs w:val="21"/>
                <w:highlight w:val="none"/>
                <w:lang w:val="en-US" w:eastAsia="zh-CN"/>
              </w:rPr>
            </w:pPr>
            <w:r>
              <w:rPr>
                <w:rFonts w:hint="eastAsia"/>
                <w:color w:val="auto"/>
                <w:kern w:val="0"/>
                <w:sz w:val="21"/>
                <w:szCs w:val="21"/>
                <w:highlight w:val="none"/>
                <w:lang w:val="en-US" w:eastAsia="zh-CN"/>
              </w:rPr>
              <w:t>③项目竣工后，应当根据建设实际情况对院内进行应急预案编制。</w:t>
            </w:r>
          </w:p>
          <w:p w14:paraId="0B93BBC4">
            <w:pPr>
              <w:pStyle w:val="46"/>
              <w:pageBreakBefore w:val="0"/>
              <w:kinsoku/>
              <w:overflowPunct/>
              <w:topLinePunct w:val="0"/>
              <w:bidi w:val="0"/>
              <w:spacing w:line="240" w:lineRule="auto"/>
              <w:ind w:left="0" w:firstLine="0" w:firstLineChars="0"/>
              <w:textAlignment w:val="auto"/>
              <w:rPr>
                <w:rFonts w:hint="eastAsia"/>
                <w:color w:val="auto"/>
                <w:kern w:val="0"/>
                <w:sz w:val="21"/>
                <w:szCs w:val="21"/>
                <w:highlight w:val="none"/>
                <w:lang w:val="en-US" w:eastAsia="zh-CN"/>
              </w:rPr>
            </w:pPr>
            <w:r>
              <w:rPr>
                <w:rFonts w:hint="eastAsia"/>
                <w:color w:val="auto"/>
                <w:sz w:val="21"/>
                <w:szCs w:val="21"/>
                <w:highlight w:val="none"/>
              </w:rPr>
              <w:t>④</w:t>
            </w:r>
            <w:r>
              <w:rPr>
                <w:rFonts w:hint="eastAsia"/>
                <w:color w:val="auto"/>
                <w:kern w:val="0"/>
                <w:sz w:val="21"/>
                <w:szCs w:val="21"/>
                <w:highlight w:val="none"/>
                <w:lang w:val="en-US" w:eastAsia="zh-CN"/>
              </w:rPr>
              <w:t>环保投资估算：</w:t>
            </w:r>
          </w:p>
          <w:p w14:paraId="33BEE586">
            <w:pPr>
              <w:pStyle w:val="6"/>
              <w:pageBreakBefore w:val="0"/>
              <w:numPr>
                <w:ilvl w:val="4"/>
                <w:numId w:val="0"/>
              </w:numPr>
              <w:kinsoku/>
              <w:overflowPunct/>
              <w:topLinePunct w:val="0"/>
              <w:bidi w:val="0"/>
              <w:spacing w:before="0" w:after="0" w:line="240" w:lineRule="auto"/>
              <w:ind w:left="0" w:firstLine="0" w:firstLineChars="0"/>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eastAsia" w:ascii="Times New Roman" w:hAnsi="Times New Roman" w:eastAsia="宋体" w:cs="Times New Roman"/>
                <w:b/>
                <w:bCs/>
                <w:color w:val="auto"/>
                <w:kern w:val="2"/>
                <w:sz w:val="21"/>
                <w:szCs w:val="21"/>
                <w:highlight w:val="none"/>
                <w:lang w:val="en-US" w:eastAsia="zh-CN" w:bidi="ar-SA"/>
              </w:rPr>
              <w:t xml:space="preserve">表5.1-1 </w:t>
            </w:r>
            <w:r>
              <w:rPr>
                <w:rFonts w:hint="default" w:ascii="Times New Roman" w:hAnsi="Times New Roman" w:eastAsia="宋体" w:cs="Times New Roman"/>
                <w:b/>
                <w:bCs/>
                <w:color w:val="auto"/>
                <w:kern w:val="2"/>
                <w:sz w:val="21"/>
                <w:szCs w:val="21"/>
                <w:highlight w:val="none"/>
                <w:lang w:val="en-US" w:eastAsia="zh-CN" w:bidi="ar-SA"/>
              </w:rPr>
              <w:t xml:space="preserve"> 项目环保投资估算表</w:t>
            </w:r>
          </w:p>
          <w:tbl>
            <w:tblPr>
              <w:tblStyle w:val="35"/>
              <w:tblW w:w="4998" w:type="pct"/>
              <w:tblInd w:w="0" w:type="dxa"/>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Layout w:type="autofit"/>
              <w:tblCellMar>
                <w:top w:w="0" w:type="dxa"/>
                <w:left w:w="108" w:type="dxa"/>
                <w:bottom w:w="0" w:type="dxa"/>
                <w:right w:w="108" w:type="dxa"/>
              </w:tblCellMar>
            </w:tblPr>
            <w:tblGrid>
              <w:gridCol w:w="1214"/>
              <w:gridCol w:w="2000"/>
              <w:gridCol w:w="2704"/>
              <w:gridCol w:w="1974"/>
            </w:tblGrid>
            <w:tr w14:paraId="467B1C4F">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PrEx>
              <w:tc>
                <w:tcPr>
                  <w:tcW w:w="769" w:type="pct"/>
                  <w:tcBorders>
                    <w:bottom w:val="single" w:color="000000" w:sz="12" w:space="0"/>
                    <w:tl2br w:val="nil"/>
                    <w:tr2bl w:val="nil"/>
                  </w:tcBorders>
                  <w:vAlign w:val="center"/>
                </w:tcPr>
                <w:p w14:paraId="12E8F5E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ascii="Times New Roman" w:hAnsi="Times New Roman" w:eastAsia="宋体"/>
                      <w:b w:val="0"/>
                      <w:bCs w:val="0"/>
                      <w:iCs/>
                      <w:color w:val="auto"/>
                      <w:sz w:val="21"/>
                      <w:szCs w:val="21"/>
                      <w:highlight w:val="none"/>
                      <w:lang w:val="en-US" w:eastAsia="zh-CN"/>
                    </w:rPr>
                    <w:t>类型</w:t>
                  </w:r>
                </w:p>
              </w:tc>
              <w:tc>
                <w:tcPr>
                  <w:tcW w:w="1267" w:type="pct"/>
                  <w:tcBorders>
                    <w:bottom w:val="single" w:color="000000" w:sz="12" w:space="0"/>
                    <w:tl2br w:val="nil"/>
                    <w:tr2bl w:val="nil"/>
                  </w:tcBorders>
                  <w:vAlign w:val="center"/>
                </w:tcPr>
                <w:p w14:paraId="7818130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ascii="Times New Roman" w:hAnsi="Times New Roman" w:eastAsia="宋体"/>
                      <w:b w:val="0"/>
                      <w:bCs w:val="0"/>
                      <w:iCs/>
                      <w:color w:val="auto"/>
                      <w:sz w:val="21"/>
                      <w:szCs w:val="21"/>
                      <w:highlight w:val="none"/>
                      <w:lang w:val="en-US" w:eastAsia="zh-CN"/>
                    </w:rPr>
                    <w:t>处理对象</w:t>
                  </w:r>
                </w:p>
              </w:tc>
              <w:tc>
                <w:tcPr>
                  <w:tcW w:w="1713" w:type="pct"/>
                  <w:tcBorders>
                    <w:bottom w:val="single" w:color="000000" w:sz="12" w:space="0"/>
                    <w:tl2br w:val="nil"/>
                    <w:tr2bl w:val="nil"/>
                  </w:tcBorders>
                  <w:vAlign w:val="center"/>
                </w:tcPr>
                <w:p w14:paraId="45E8332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ascii="Times New Roman" w:hAnsi="Times New Roman" w:eastAsia="宋体"/>
                      <w:b w:val="0"/>
                      <w:bCs w:val="0"/>
                      <w:iCs/>
                      <w:color w:val="auto"/>
                      <w:sz w:val="21"/>
                      <w:szCs w:val="21"/>
                      <w:highlight w:val="none"/>
                      <w:lang w:val="en-US" w:eastAsia="zh-CN"/>
                    </w:rPr>
                    <w:t>处理措施/设备</w:t>
                  </w:r>
                </w:p>
              </w:tc>
              <w:tc>
                <w:tcPr>
                  <w:tcW w:w="1250" w:type="pct"/>
                  <w:tcBorders>
                    <w:bottom w:val="single" w:color="000000" w:sz="12" w:space="0"/>
                    <w:tl2br w:val="nil"/>
                    <w:tr2bl w:val="nil"/>
                  </w:tcBorders>
                  <w:vAlign w:val="center"/>
                </w:tcPr>
                <w:p w14:paraId="05AFBC5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ascii="Times New Roman" w:hAnsi="Times New Roman" w:eastAsia="宋体"/>
                      <w:b w:val="0"/>
                      <w:bCs w:val="0"/>
                      <w:iCs/>
                      <w:color w:val="auto"/>
                      <w:sz w:val="21"/>
                      <w:szCs w:val="21"/>
                      <w:highlight w:val="none"/>
                      <w:lang w:val="en-US" w:eastAsia="zh-CN"/>
                    </w:rPr>
                    <w:t>投资（万元）</w:t>
                  </w:r>
                </w:p>
              </w:tc>
            </w:tr>
            <w:tr w14:paraId="1D56E911">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c>
                <w:tcPr>
                  <w:tcW w:w="769" w:type="pct"/>
                  <w:tcBorders>
                    <w:top w:val="single" w:color="000000" w:sz="12" w:space="0"/>
                    <w:tl2br w:val="nil"/>
                    <w:tr2bl w:val="nil"/>
                  </w:tcBorders>
                  <w:vAlign w:val="center"/>
                </w:tcPr>
                <w:p w14:paraId="7027078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ascii="Times New Roman" w:hAnsi="Times New Roman" w:eastAsia="宋体"/>
                      <w:b w:val="0"/>
                      <w:bCs w:val="0"/>
                      <w:iCs/>
                      <w:color w:val="auto"/>
                      <w:sz w:val="21"/>
                      <w:szCs w:val="21"/>
                      <w:highlight w:val="none"/>
                      <w:lang w:val="en-US" w:eastAsia="zh-CN"/>
                    </w:rPr>
                    <w:t>废气</w:t>
                  </w:r>
                </w:p>
              </w:tc>
              <w:tc>
                <w:tcPr>
                  <w:tcW w:w="1267" w:type="pct"/>
                  <w:tcBorders>
                    <w:top w:val="single" w:color="000000" w:sz="12" w:space="0"/>
                    <w:tl2br w:val="nil"/>
                    <w:tr2bl w:val="nil"/>
                  </w:tcBorders>
                  <w:shd w:val="clear" w:color="auto" w:fill="auto"/>
                  <w:vAlign w:val="center"/>
                </w:tcPr>
                <w:p w14:paraId="6F14FB28">
                  <w:pPr>
                    <w:pStyle w:val="115"/>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s="宋体"/>
                      <w:color w:val="auto"/>
                      <w:kern w:val="2"/>
                      <w:sz w:val="21"/>
                      <w:szCs w:val="24"/>
                      <w:lang w:val="en-US" w:eastAsia="zh-CN" w:bidi="ar-SA"/>
                    </w:rPr>
                  </w:pPr>
                  <w:r>
                    <w:rPr>
                      <w:rFonts w:hint="eastAsia" w:ascii="Times New Roman" w:hAnsi="Times New Roman" w:cs="宋体"/>
                      <w:color w:val="auto"/>
                      <w:kern w:val="2"/>
                      <w:sz w:val="21"/>
                      <w:szCs w:val="24"/>
                      <w:lang w:val="en-US" w:eastAsia="zh-CN" w:bidi="ar-SA"/>
                    </w:rPr>
                    <w:t>污水处理设施废气</w:t>
                  </w:r>
                </w:p>
              </w:tc>
              <w:tc>
                <w:tcPr>
                  <w:tcW w:w="1713" w:type="pct"/>
                  <w:tcBorders>
                    <w:top w:val="single" w:color="000000" w:sz="12" w:space="0"/>
                    <w:tl2br w:val="nil"/>
                    <w:tr2bl w:val="nil"/>
                  </w:tcBorders>
                  <w:vAlign w:val="center"/>
                </w:tcPr>
                <w:p w14:paraId="19F6111A">
                  <w:pPr>
                    <w:pStyle w:val="115"/>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olor w:val="auto"/>
                      <w:spacing w:val="6"/>
                      <w:sz w:val="21"/>
                      <w:lang w:val="en-US" w:eastAsia="zh-CN"/>
                    </w:rPr>
                  </w:pPr>
                  <w:r>
                    <w:rPr>
                      <w:rFonts w:hint="eastAsia" w:ascii="Times New Roman" w:hAnsi="Times New Roman"/>
                      <w:color w:val="auto"/>
                      <w:spacing w:val="6"/>
                      <w:sz w:val="21"/>
                      <w:lang w:val="en-US" w:eastAsia="zh-CN"/>
                    </w:rPr>
                    <w:t>活性炭吸附+15m排气筒</w:t>
                  </w:r>
                </w:p>
              </w:tc>
              <w:tc>
                <w:tcPr>
                  <w:tcW w:w="1250" w:type="pct"/>
                  <w:tcBorders>
                    <w:top w:val="single" w:color="000000" w:sz="12" w:space="0"/>
                    <w:tl2br w:val="nil"/>
                    <w:tr2bl w:val="nil"/>
                  </w:tcBorders>
                  <w:vAlign w:val="center"/>
                </w:tcPr>
                <w:p w14:paraId="3D9DE18A">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b w:val="0"/>
                      <w:bCs w:val="0"/>
                      <w:iCs/>
                      <w:color w:val="auto"/>
                      <w:sz w:val="21"/>
                      <w:szCs w:val="21"/>
                      <w:highlight w:val="none"/>
                      <w:lang w:val="en-US" w:eastAsia="zh-CN"/>
                    </w:rPr>
                    <w:t>5</w:t>
                  </w:r>
                </w:p>
              </w:tc>
            </w:tr>
            <w:tr w14:paraId="448C3CA9">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1351" w:hRule="atLeast"/>
              </w:trPr>
              <w:tc>
                <w:tcPr>
                  <w:tcW w:w="769" w:type="pct"/>
                  <w:tcBorders>
                    <w:tl2br w:val="nil"/>
                    <w:tr2bl w:val="nil"/>
                  </w:tcBorders>
                  <w:vAlign w:val="center"/>
                </w:tcPr>
                <w:p w14:paraId="584F229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ascii="Times New Roman" w:hAnsi="Times New Roman" w:eastAsia="宋体"/>
                      <w:b w:val="0"/>
                      <w:bCs w:val="0"/>
                      <w:iCs/>
                      <w:color w:val="auto"/>
                      <w:sz w:val="21"/>
                      <w:szCs w:val="21"/>
                      <w:highlight w:val="none"/>
                      <w:lang w:val="en-US" w:eastAsia="zh-CN"/>
                    </w:rPr>
                    <w:t>废水</w:t>
                  </w:r>
                </w:p>
              </w:tc>
              <w:tc>
                <w:tcPr>
                  <w:tcW w:w="1267" w:type="pct"/>
                  <w:tcBorders>
                    <w:tl2br w:val="nil"/>
                    <w:tr2bl w:val="nil"/>
                  </w:tcBorders>
                  <w:shd w:val="clear" w:color="auto" w:fill="auto"/>
                  <w:vAlign w:val="center"/>
                </w:tcPr>
                <w:p w14:paraId="7933ADD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b w:val="0"/>
                      <w:bCs w:val="0"/>
                      <w:iCs/>
                      <w:color w:val="auto"/>
                      <w:kern w:val="2"/>
                      <w:sz w:val="21"/>
                      <w:szCs w:val="21"/>
                      <w:highlight w:val="none"/>
                      <w:lang w:val="en-US" w:eastAsia="zh-CN" w:bidi="ar-SA"/>
                    </w:rPr>
                  </w:pPr>
                  <w:r>
                    <w:rPr>
                      <w:rFonts w:hint="default" w:ascii="Times New Roman" w:hAnsi="Times New Roman" w:eastAsia="宋体" w:cs="Times New Roman"/>
                      <w:b w:val="0"/>
                      <w:bCs w:val="0"/>
                      <w:iCs/>
                      <w:color w:val="auto"/>
                      <w:kern w:val="2"/>
                      <w:sz w:val="21"/>
                      <w:szCs w:val="21"/>
                      <w:highlight w:val="none"/>
                      <w:lang w:val="en-US" w:eastAsia="zh-CN" w:bidi="ar-SA"/>
                    </w:rPr>
                    <w:t>生活污水</w:t>
                  </w:r>
                  <w:r>
                    <w:rPr>
                      <w:rFonts w:hint="eastAsia" w:cs="Times New Roman"/>
                      <w:b w:val="0"/>
                      <w:bCs w:val="0"/>
                      <w:iCs/>
                      <w:color w:val="auto"/>
                      <w:kern w:val="2"/>
                      <w:sz w:val="21"/>
                      <w:szCs w:val="21"/>
                      <w:highlight w:val="none"/>
                      <w:lang w:val="en-US" w:eastAsia="zh-CN" w:bidi="ar-SA"/>
                    </w:rPr>
                    <w:t>、</w:t>
                  </w:r>
                </w:p>
                <w:p w14:paraId="32831B9E">
                  <w:pPr>
                    <w:pStyle w:val="115"/>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eastAsia" w:ascii="Times New Roman" w:hAnsi="Times New Roman" w:eastAsia="宋体" w:cs="宋体"/>
                      <w:color w:val="auto"/>
                      <w:kern w:val="2"/>
                      <w:sz w:val="21"/>
                      <w:szCs w:val="24"/>
                      <w:lang w:val="en-US" w:eastAsia="zh-CN" w:bidi="ar-SA"/>
                    </w:rPr>
                  </w:pPr>
                  <w:r>
                    <w:rPr>
                      <w:rFonts w:hint="eastAsia" w:ascii="Times New Roman" w:hAnsi="Times New Roman"/>
                      <w:color w:val="auto"/>
                      <w:spacing w:val="6"/>
                      <w:sz w:val="21"/>
                      <w:lang w:eastAsia="zh-CN"/>
                    </w:rPr>
                    <w:t>医疗废水</w:t>
                  </w:r>
                </w:p>
              </w:tc>
              <w:tc>
                <w:tcPr>
                  <w:tcW w:w="1713" w:type="pct"/>
                  <w:tcBorders>
                    <w:tl2br w:val="nil"/>
                    <w:tr2bl w:val="nil"/>
                  </w:tcBorders>
                  <w:shd w:val="clear" w:color="auto" w:fill="auto"/>
                  <w:vAlign w:val="center"/>
                </w:tcPr>
                <w:p w14:paraId="13702B0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宋体"/>
                      <w:color w:val="auto"/>
                      <w:kern w:val="2"/>
                      <w:sz w:val="21"/>
                      <w:szCs w:val="24"/>
                      <w:lang w:val="en-US" w:eastAsia="zh-CN" w:bidi="ar-SA"/>
                    </w:rPr>
                  </w:pPr>
                  <w:r>
                    <w:rPr>
                      <w:rFonts w:hint="eastAsia" w:cs="Times New Roman"/>
                      <w:b w:val="0"/>
                      <w:bCs w:val="0"/>
                      <w:iCs/>
                      <w:color w:val="auto"/>
                      <w:kern w:val="2"/>
                      <w:sz w:val="21"/>
                      <w:szCs w:val="21"/>
                      <w:highlight w:val="none"/>
                      <w:lang w:val="en-US" w:eastAsia="zh-CN" w:bidi="ar-SA"/>
                    </w:rPr>
                    <w:t>生活污水、医疗废水</w:t>
                  </w:r>
                  <w:r>
                    <w:rPr>
                      <w:rFonts w:hint="default" w:ascii="Times New Roman" w:hAnsi="Times New Roman" w:eastAsia="宋体" w:cs="Times New Roman"/>
                      <w:b w:val="0"/>
                      <w:bCs w:val="0"/>
                      <w:iCs/>
                      <w:color w:val="auto"/>
                      <w:kern w:val="2"/>
                      <w:sz w:val="21"/>
                      <w:szCs w:val="21"/>
                      <w:highlight w:val="none"/>
                      <w:lang w:val="en-US" w:eastAsia="zh-CN" w:bidi="ar-SA"/>
                    </w:rPr>
                    <w:t>经化粪池处理后</w:t>
                  </w:r>
                  <w:r>
                    <w:rPr>
                      <w:rFonts w:hint="eastAsia" w:cs="Times New Roman"/>
                      <w:b w:val="0"/>
                      <w:bCs w:val="0"/>
                      <w:iCs/>
                      <w:color w:val="auto"/>
                      <w:kern w:val="2"/>
                      <w:sz w:val="21"/>
                      <w:szCs w:val="21"/>
                      <w:highlight w:val="none"/>
                      <w:lang w:val="en-US" w:eastAsia="zh-CN" w:bidi="ar-SA"/>
                    </w:rPr>
                    <w:t>，</w:t>
                  </w:r>
                  <w:r>
                    <w:rPr>
                      <w:rFonts w:ascii="Times New Roman" w:hAnsi="Times New Roman" w:eastAsia="宋体"/>
                      <w:color w:val="auto"/>
                      <w:spacing w:val="6"/>
                      <w:position w:val="1"/>
                      <w:sz w:val="21"/>
                    </w:rPr>
                    <w:t>经</w:t>
                  </w:r>
                  <w:r>
                    <w:rPr>
                      <w:rFonts w:hint="eastAsia"/>
                      <w:color w:val="auto"/>
                      <w:spacing w:val="6"/>
                      <w:position w:val="1"/>
                      <w:sz w:val="21"/>
                      <w:lang w:val="en-US" w:eastAsia="zh-CN"/>
                    </w:rPr>
                    <w:t>污水处理设施（</w:t>
                  </w:r>
                  <w:r>
                    <w:rPr>
                      <w:rFonts w:ascii="Times New Roman" w:hAnsi="Times New Roman" w:eastAsia="宋体"/>
                      <w:color w:val="auto"/>
                      <w:spacing w:val="6"/>
                      <w:position w:val="1"/>
                      <w:sz w:val="21"/>
                    </w:rPr>
                    <w:t>“</w:t>
                  </w:r>
                  <w:r>
                    <w:rPr>
                      <w:rFonts w:hint="eastAsia" w:ascii="Times New Roman" w:hAnsi="Times New Roman"/>
                      <w:color w:val="auto"/>
                      <w:spacing w:val="6"/>
                      <w:position w:val="1"/>
                      <w:sz w:val="21"/>
                      <w:lang w:eastAsia="zh-CN"/>
                    </w:rPr>
                    <w:t>生物接触氧化法+沉淀+消毒工艺</w:t>
                  </w:r>
                  <w:r>
                    <w:rPr>
                      <w:rFonts w:ascii="Times New Roman" w:hAnsi="Times New Roman" w:eastAsia="宋体"/>
                      <w:color w:val="auto"/>
                      <w:spacing w:val="6"/>
                      <w:position w:val="1"/>
                      <w:sz w:val="21"/>
                    </w:rPr>
                    <w:t>”</w:t>
                  </w:r>
                  <w:r>
                    <w:rPr>
                      <w:rFonts w:hint="eastAsia"/>
                      <w:color w:val="auto"/>
                      <w:spacing w:val="6"/>
                      <w:position w:val="1"/>
                      <w:sz w:val="21"/>
                      <w:lang w:eastAsia="zh-CN"/>
                    </w:rPr>
                    <w:t>）</w:t>
                  </w:r>
                  <w:r>
                    <w:rPr>
                      <w:rFonts w:ascii="Times New Roman" w:hAnsi="Times New Roman" w:eastAsia="宋体"/>
                      <w:color w:val="auto"/>
                      <w:spacing w:val="6"/>
                      <w:position w:val="1"/>
                      <w:sz w:val="21"/>
                    </w:rPr>
                    <w:t>处理后，</w:t>
                  </w:r>
                  <w:r>
                    <w:rPr>
                      <w:rFonts w:hint="eastAsia"/>
                      <w:color w:val="auto"/>
                      <w:spacing w:val="6"/>
                      <w:position w:val="1"/>
                      <w:sz w:val="21"/>
                      <w:lang w:eastAsia="zh-CN"/>
                    </w:rPr>
                    <w:t>接入</w:t>
                  </w:r>
                  <w:r>
                    <w:rPr>
                      <w:rFonts w:ascii="Times New Roman" w:hAnsi="Times New Roman" w:eastAsia="宋体"/>
                      <w:color w:val="auto"/>
                      <w:spacing w:val="7"/>
                      <w:sz w:val="21"/>
                    </w:rPr>
                    <w:t>市政污水管网</w:t>
                  </w:r>
                  <w:r>
                    <w:rPr>
                      <w:rFonts w:hint="eastAsia"/>
                      <w:color w:val="auto"/>
                      <w:spacing w:val="7"/>
                      <w:sz w:val="21"/>
                      <w:lang w:eastAsia="zh-CN"/>
                    </w:rPr>
                    <w:t>（</w:t>
                  </w:r>
                  <w:r>
                    <w:rPr>
                      <w:rFonts w:hint="eastAsia"/>
                      <w:color w:val="auto"/>
                      <w:spacing w:val="7"/>
                      <w:sz w:val="21"/>
                      <w:lang w:val="en-US" w:eastAsia="zh-CN"/>
                    </w:rPr>
                    <w:t>利用现有）</w:t>
                  </w:r>
                </w:p>
              </w:tc>
              <w:tc>
                <w:tcPr>
                  <w:tcW w:w="1250" w:type="pct"/>
                  <w:tcBorders>
                    <w:tl2br w:val="nil"/>
                    <w:tr2bl w:val="nil"/>
                  </w:tcBorders>
                  <w:shd w:val="clear" w:color="auto" w:fill="auto"/>
                  <w:vAlign w:val="center"/>
                </w:tcPr>
                <w:p w14:paraId="5246FFC2">
                  <w:pPr>
                    <w:keepNext w:val="0"/>
                    <w:keepLines w:val="0"/>
                    <w:pageBreakBefore w:val="0"/>
                    <w:widowControl w:val="0"/>
                    <w:kinsoku/>
                    <w:wordWrap/>
                    <w:overflowPunct/>
                    <w:topLinePunct w:val="0"/>
                    <w:autoSpaceDE/>
                    <w:autoSpaceDN/>
                    <w:bidi w:val="0"/>
                    <w:adjustRightInd/>
                    <w:snapToGrid/>
                    <w:spacing w:line="240" w:lineRule="auto"/>
                    <w:ind w:left="0" w:leftChars="0" w:right="0" w:firstLine="0"/>
                    <w:jc w:val="center"/>
                    <w:textAlignment w:val="auto"/>
                    <w:rPr>
                      <w:rFonts w:hint="default" w:ascii="Times New Roman" w:hAnsi="Times New Roman" w:eastAsia="宋体" w:cs="Times New Roman"/>
                      <w:color w:val="auto"/>
                      <w:kern w:val="2"/>
                      <w:sz w:val="21"/>
                      <w:szCs w:val="20"/>
                      <w:lang w:val="en-US" w:eastAsia="zh-CN" w:bidi="ar-SA"/>
                    </w:rPr>
                  </w:pPr>
                  <w:r>
                    <w:rPr>
                      <w:rFonts w:hint="eastAsia"/>
                      <w:b w:val="0"/>
                      <w:bCs w:val="0"/>
                      <w:iCs/>
                      <w:color w:val="auto"/>
                      <w:sz w:val="21"/>
                      <w:szCs w:val="21"/>
                      <w:highlight w:val="none"/>
                      <w:lang w:val="en-US" w:eastAsia="zh-CN"/>
                    </w:rPr>
                    <w:t>/</w:t>
                  </w:r>
                </w:p>
              </w:tc>
            </w:tr>
            <w:tr w14:paraId="7DFC4DB1">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c>
                <w:tcPr>
                  <w:tcW w:w="769" w:type="pct"/>
                  <w:tcBorders>
                    <w:tl2br w:val="nil"/>
                    <w:tr2bl w:val="nil"/>
                  </w:tcBorders>
                  <w:vAlign w:val="center"/>
                </w:tcPr>
                <w:p w14:paraId="701D65C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ascii="Times New Roman" w:hAnsi="Times New Roman" w:eastAsia="宋体"/>
                      <w:b w:val="0"/>
                      <w:bCs w:val="0"/>
                      <w:iCs/>
                      <w:color w:val="auto"/>
                      <w:sz w:val="21"/>
                      <w:szCs w:val="21"/>
                      <w:highlight w:val="none"/>
                      <w:lang w:val="en-US" w:eastAsia="zh-CN"/>
                    </w:rPr>
                    <w:t>噪声</w:t>
                  </w:r>
                </w:p>
              </w:tc>
              <w:tc>
                <w:tcPr>
                  <w:tcW w:w="1267" w:type="pct"/>
                  <w:tcBorders>
                    <w:tl2br w:val="nil"/>
                    <w:tr2bl w:val="nil"/>
                  </w:tcBorders>
                  <w:vAlign w:val="center"/>
                </w:tcPr>
                <w:p w14:paraId="3CCC01B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ascii="Times New Roman" w:hAnsi="Times New Roman" w:eastAsia="宋体"/>
                      <w:b w:val="0"/>
                      <w:bCs w:val="0"/>
                      <w:iCs/>
                      <w:color w:val="auto"/>
                      <w:sz w:val="21"/>
                      <w:szCs w:val="21"/>
                      <w:highlight w:val="none"/>
                      <w:lang w:val="en-US" w:eastAsia="zh-CN"/>
                    </w:rPr>
                    <w:t>设备</w:t>
                  </w:r>
                </w:p>
              </w:tc>
              <w:tc>
                <w:tcPr>
                  <w:tcW w:w="1713" w:type="pct"/>
                  <w:tcBorders>
                    <w:tl2br w:val="nil"/>
                    <w:tr2bl w:val="nil"/>
                  </w:tcBorders>
                  <w:vAlign w:val="center"/>
                </w:tcPr>
                <w:p w14:paraId="63C984F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ascii="Times New Roman" w:hAnsi="Times New Roman" w:eastAsia="宋体"/>
                      <w:b w:val="0"/>
                      <w:bCs w:val="0"/>
                      <w:iCs/>
                      <w:color w:val="auto"/>
                      <w:sz w:val="21"/>
                      <w:szCs w:val="21"/>
                      <w:highlight w:val="none"/>
                      <w:lang w:val="en-US" w:eastAsia="zh-CN"/>
                    </w:rPr>
                    <w:t>降噪减震</w:t>
                  </w:r>
                </w:p>
              </w:tc>
              <w:tc>
                <w:tcPr>
                  <w:tcW w:w="1250" w:type="pct"/>
                  <w:tcBorders>
                    <w:tl2br w:val="nil"/>
                    <w:tr2bl w:val="nil"/>
                  </w:tcBorders>
                  <w:vAlign w:val="center"/>
                </w:tcPr>
                <w:p w14:paraId="583EFA1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b w:val="0"/>
                      <w:bCs w:val="0"/>
                      <w:iCs/>
                      <w:color w:val="auto"/>
                      <w:sz w:val="21"/>
                      <w:szCs w:val="21"/>
                      <w:highlight w:val="none"/>
                      <w:lang w:val="en-US" w:eastAsia="zh-CN"/>
                    </w:rPr>
                    <w:t>3</w:t>
                  </w:r>
                </w:p>
              </w:tc>
            </w:tr>
            <w:tr w14:paraId="694DB0FE">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c>
                <w:tcPr>
                  <w:tcW w:w="769" w:type="pct"/>
                  <w:vMerge w:val="restart"/>
                  <w:tcBorders>
                    <w:tl2br w:val="nil"/>
                    <w:tr2bl w:val="nil"/>
                  </w:tcBorders>
                  <w:vAlign w:val="center"/>
                </w:tcPr>
                <w:p w14:paraId="22271CC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ascii="Times New Roman" w:hAnsi="Times New Roman" w:eastAsia="宋体"/>
                      <w:b w:val="0"/>
                      <w:bCs w:val="0"/>
                      <w:iCs/>
                      <w:color w:val="auto"/>
                      <w:sz w:val="21"/>
                      <w:szCs w:val="21"/>
                      <w:highlight w:val="none"/>
                      <w:lang w:val="en-US" w:eastAsia="zh-CN"/>
                    </w:rPr>
                    <w:t>固废</w:t>
                  </w:r>
                </w:p>
              </w:tc>
              <w:tc>
                <w:tcPr>
                  <w:tcW w:w="1267" w:type="pct"/>
                  <w:tcBorders>
                    <w:tl2br w:val="nil"/>
                    <w:tr2bl w:val="nil"/>
                  </w:tcBorders>
                  <w:vAlign w:val="center"/>
                </w:tcPr>
                <w:p w14:paraId="7F2E084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ascii="Times New Roman" w:hAnsi="Times New Roman" w:eastAsia="宋体"/>
                      <w:b w:val="0"/>
                      <w:bCs w:val="0"/>
                      <w:iCs/>
                      <w:color w:val="auto"/>
                      <w:sz w:val="21"/>
                      <w:szCs w:val="21"/>
                      <w:highlight w:val="none"/>
                      <w:lang w:val="en-US" w:eastAsia="zh-CN"/>
                    </w:rPr>
                    <w:t>一般固废</w:t>
                  </w:r>
                </w:p>
              </w:tc>
              <w:tc>
                <w:tcPr>
                  <w:tcW w:w="1713" w:type="pct"/>
                  <w:tcBorders>
                    <w:tl2br w:val="nil"/>
                    <w:tr2bl w:val="nil"/>
                  </w:tcBorders>
                  <w:vAlign w:val="center"/>
                </w:tcPr>
                <w:p w14:paraId="5FAE694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ascii="Times New Roman" w:hAnsi="Times New Roman" w:eastAsia="宋体"/>
                      <w:b w:val="0"/>
                      <w:bCs w:val="0"/>
                      <w:iCs/>
                      <w:color w:val="auto"/>
                      <w:sz w:val="21"/>
                      <w:szCs w:val="21"/>
                      <w:highlight w:val="none"/>
                      <w:lang w:val="en-US" w:eastAsia="zh-CN"/>
                    </w:rPr>
                    <w:t>一般固废间</w:t>
                  </w:r>
                </w:p>
              </w:tc>
              <w:tc>
                <w:tcPr>
                  <w:tcW w:w="1250" w:type="pct"/>
                  <w:tcBorders>
                    <w:tl2br w:val="nil"/>
                    <w:tr2bl w:val="nil"/>
                  </w:tcBorders>
                  <w:vAlign w:val="center"/>
                </w:tcPr>
                <w:p w14:paraId="553D7D5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ascii="Times New Roman" w:hAnsi="Times New Roman" w:eastAsia="宋体"/>
                      <w:b w:val="0"/>
                      <w:bCs w:val="0"/>
                      <w:iCs/>
                      <w:color w:val="auto"/>
                      <w:sz w:val="21"/>
                      <w:szCs w:val="21"/>
                      <w:highlight w:val="none"/>
                      <w:lang w:val="en-US" w:eastAsia="zh-CN"/>
                    </w:rPr>
                    <w:t>2</w:t>
                  </w:r>
                </w:p>
              </w:tc>
            </w:tr>
            <w:tr w14:paraId="2084DAC2">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c>
                <w:tcPr>
                  <w:tcW w:w="769" w:type="pct"/>
                  <w:vMerge w:val="continue"/>
                  <w:tcBorders>
                    <w:tl2br w:val="nil"/>
                    <w:tr2bl w:val="nil"/>
                  </w:tcBorders>
                  <w:vAlign w:val="center"/>
                </w:tcPr>
                <w:p w14:paraId="6ACA8C8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eastAsia" w:ascii="Times New Roman" w:hAnsi="Times New Roman" w:eastAsia="宋体"/>
                      <w:b w:val="0"/>
                      <w:bCs w:val="0"/>
                      <w:iCs/>
                      <w:color w:val="auto"/>
                      <w:sz w:val="21"/>
                      <w:szCs w:val="21"/>
                      <w:highlight w:val="none"/>
                      <w:lang w:val="en-US" w:eastAsia="zh-CN"/>
                    </w:rPr>
                  </w:pPr>
                </w:p>
              </w:tc>
              <w:tc>
                <w:tcPr>
                  <w:tcW w:w="1267" w:type="pct"/>
                  <w:tcBorders>
                    <w:tl2br w:val="nil"/>
                    <w:tr2bl w:val="nil"/>
                  </w:tcBorders>
                  <w:vAlign w:val="center"/>
                </w:tcPr>
                <w:p w14:paraId="18648AD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ascii="Times New Roman" w:hAnsi="Times New Roman" w:eastAsia="宋体"/>
                      <w:b w:val="0"/>
                      <w:bCs w:val="0"/>
                      <w:iCs/>
                      <w:color w:val="auto"/>
                      <w:sz w:val="21"/>
                      <w:szCs w:val="21"/>
                      <w:highlight w:val="none"/>
                      <w:lang w:val="en-US" w:eastAsia="zh-CN"/>
                    </w:rPr>
                    <w:t>危险废物</w:t>
                  </w:r>
                </w:p>
              </w:tc>
              <w:tc>
                <w:tcPr>
                  <w:tcW w:w="1713" w:type="pct"/>
                  <w:tcBorders>
                    <w:tl2br w:val="nil"/>
                    <w:tr2bl w:val="nil"/>
                  </w:tcBorders>
                  <w:vAlign w:val="center"/>
                </w:tcPr>
                <w:p w14:paraId="69563CF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b w:val="0"/>
                      <w:bCs w:val="0"/>
                      <w:iCs/>
                      <w:color w:val="auto"/>
                      <w:sz w:val="21"/>
                      <w:szCs w:val="21"/>
                      <w:highlight w:val="none"/>
                      <w:lang w:val="en-US" w:eastAsia="zh-CN"/>
                    </w:rPr>
                    <w:t>危废储存库</w:t>
                  </w:r>
                  <w:r>
                    <w:rPr>
                      <w:rFonts w:hint="eastAsia" w:ascii="Times New Roman" w:hAnsi="Times New Roman" w:eastAsia="宋体"/>
                      <w:b w:val="0"/>
                      <w:bCs w:val="0"/>
                      <w:iCs/>
                      <w:color w:val="auto"/>
                      <w:sz w:val="21"/>
                      <w:szCs w:val="21"/>
                      <w:highlight w:val="none"/>
                      <w:lang w:val="en-US" w:eastAsia="zh-CN"/>
                    </w:rPr>
                    <w:t>、</w:t>
                  </w:r>
                  <w:r>
                    <w:rPr>
                      <w:rFonts w:hint="eastAsia"/>
                      <w:b w:val="0"/>
                      <w:bCs w:val="0"/>
                      <w:iCs/>
                      <w:color w:val="auto"/>
                      <w:sz w:val="21"/>
                      <w:szCs w:val="21"/>
                      <w:highlight w:val="none"/>
                      <w:lang w:val="en-US" w:eastAsia="zh-CN"/>
                    </w:rPr>
                    <w:t>危废</w:t>
                  </w:r>
                  <w:r>
                    <w:rPr>
                      <w:rFonts w:hint="eastAsia" w:ascii="Times New Roman" w:hAnsi="Times New Roman" w:eastAsia="宋体"/>
                      <w:b w:val="0"/>
                      <w:bCs w:val="0"/>
                      <w:iCs/>
                      <w:color w:val="auto"/>
                      <w:sz w:val="21"/>
                      <w:szCs w:val="21"/>
                      <w:highlight w:val="none"/>
                      <w:lang w:val="en-US" w:eastAsia="zh-CN"/>
                    </w:rPr>
                    <w:t>委托有资质单位处置</w:t>
                  </w:r>
                </w:p>
              </w:tc>
              <w:tc>
                <w:tcPr>
                  <w:tcW w:w="1250" w:type="pct"/>
                  <w:tcBorders>
                    <w:tl2br w:val="nil"/>
                    <w:tr2bl w:val="nil"/>
                  </w:tcBorders>
                  <w:vAlign w:val="center"/>
                </w:tcPr>
                <w:p w14:paraId="363AF6B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ascii="Times New Roman" w:hAnsi="Times New Roman" w:eastAsia="宋体"/>
                      <w:b w:val="0"/>
                      <w:bCs w:val="0"/>
                      <w:iCs/>
                      <w:color w:val="auto"/>
                      <w:sz w:val="21"/>
                      <w:szCs w:val="21"/>
                      <w:highlight w:val="none"/>
                      <w:lang w:val="en-US" w:eastAsia="zh-CN"/>
                    </w:rPr>
                    <w:t>3</w:t>
                  </w:r>
                </w:p>
              </w:tc>
            </w:tr>
            <w:tr w14:paraId="68D7F063">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rPr>
                <w:trHeight w:val="90" w:hRule="atLeast"/>
              </w:trPr>
              <w:tc>
                <w:tcPr>
                  <w:tcW w:w="769" w:type="pct"/>
                  <w:tcBorders>
                    <w:tl2br w:val="nil"/>
                    <w:tr2bl w:val="nil"/>
                  </w:tcBorders>
                  <w:vAlign w:val="center"/>
                </w:tcPr>
                <w:p w14:paraId="49E759C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ascii="Times New Roman" w:hAnsi="Times New Roman" w:eastAsia="宋体"/>
                      <w:b w:val="0"/>
                      <w:bCs w:val="0"/>
                      <w:iCs/>
                      <w:color w:val="auto"/>
                      <w:sz w:val="21"/>
                      <w:szCs w:val="21"/>
                      <w:highlight w:val="none"/>
                      <w:lang w:val="en-US" w:eastAsia="zh-CN"/>
                    </w:rPr>
                    <w:t>风险</w:t>
                  </w:r>
                </w:p>
              </w:tc>
              <w:tc>
                <w:tcPr>
                  <w:tcW w:w="1267" w:type="pct"/>
                  <w:tcBorders>
                    <w:tl2br w:val="nil"/>
                    <w:tr2bl w:val="nil"/>
                  </w:tcBorders>
                  <w:vAlign w:val="center"/>
                </w:tcPr>
                <w:p w14:paraId="6B6BF35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ascii="Times New Roman" w:hAnsi="Times New Roman" w:eastAsia="宋体"/>
                      <w:b w:val="0"/>
                      <w:bCs w:val="0"/>
                      <w:iCs/>
                      <w:color w:val="auto"/>
                      <w:sz w:val="21"/>
                      <w:szCs w:val="21"/>
                      <w:highlight w:val="none"/>
                      <w:lang w:val="en-US" w:eastAsia="zh-CN"/>
                    </w:rPr>
                    <w:t>防渗</w:t>
                  </w:r>
                </w:p>
              </w:tc>
              <w:tc>
                <w:tcPr>
                  <w:tcW w:w="1713" w:type="pct"/>
                  <w:tcBorders>
                    <w:tl2br w:val="nil"/>
                    <w:tr2bl w:val="nil"/>
                  </w:tcBorders>
                  <w:vAlign w:val="center"/>
                </w:tcPr>
                <w:p w14:paraId="50030E3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ascii="Times New Roman" w:hAnsi="Times New Roman" w:eastAsia="宋体"/>
                      <w:b w:val="0"/>
                      <w:bCs w:val="0"/>
                      <w:iCs/>
                      <w:color w:val="auto"/>
                      <w:sz w:val="21"/>
                      <w:szCs w:val="21"/>
                      <w:highlight w:val="none"/>
                      <w:lang w:val="en-US" w:eastAsia="zh-CN"/>
                    </w:rPr>
                    <w:t>地面防渗措施</w:t>
                  </w:r>
                </w:p>
              </w:tc>
              <w:tc>
                <w:tcPr>
                  <w:tcW w:w="1250" w:type="pct"/>
                  <w:tcBorders>
                    <w:tl2br w:val="nil"/>
                    <w:tr2bl w:val="nil"/>
                  </w:tcBorders>
                  <w:vAlign w:val="center"/>
                </w:tcPr>
                <w:p w14:paraId="06C7851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b w:val="0"/>
                      <w:bCs w:val="0"/>
                      <w:iCs/>
                      <w:color w:val="auto"/>
                      <w:sz w:val="21"/>
                      <w:szCs w:val="21"/>
                      <w:highlight w:val="none"/>
                      <w:lang w:val="en-US" w:eastAsia="zh-CN"/>
                    </w:rPr>
                    <w:t>2</w:t>
                  </w:r>
                </w:p>
              </w:tc>
            </w:tr>
            <w:tr w14:paraId="2DC9F7A0">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c>
                <w:tcPr>
                  <w:tcW w:w="769" w:type="pct"/>
                  <w:tcBorders>
                    <w:tl2br w:val="nil"/>
                    <w:tr2bl w:val="nil"/>
                  </w:tcBorders>
                  <w:vAlign w:val="center"/>
                </w:tcPr>
                <w:p w14:paraId="36F5721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ascii="Times New Roman" w:hAnsi="Times New Roman" w:eastAsia="宋体"/>
                      <w:b w:val="0"/>
                      <w:bCs w:val="0"/>
                      <w:iCs/>
                      <w:color w:val="auto"/>
                      <w:sz w:val="21"/>
                      <w:szCs w:val="21"/>
                      <w:highlight w:val="none"/>
                      <w:lang w:val="en-US" w:eastAsia="zh-CN"/>
                    </w:rPr>
                    <w:t>自行监测</w:t>
                  </w:r>
                </w:p>
              </w:tc>
              <w:tc>
                <w:tcPr>
                  <w:tcW w:w="1267" w:type="pct"/>
                  <w:tcBorders>
                    <w:tl2br w:val="nil"/>
                    <w:tr2bl w:val="nil"/>
                  </w:tcBorders>
                  <w:vAlign w:val="center"/>
                </w:tcPr>
                <w:p w14:paraId="45B66F4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ascii="Times New Roman" w:hAnsi="Times New Roman" w:eastAsia="宋体"/>
                      <w:b w:val="0"/>
                      <w:bCs w:val="0"/>
                      <w:iCs/>
                      <w:color w:val="auto"/>
                      <w:sz w:val="21"/>
                      <w:szCs w:val="21"/>
                      <w:highlight w:val="none"/>
                      <w:lang w:val="en-US" w:eastAsia="zh-CN"/>
                    </w:rPr>
                    <w:t>废气、废水、噪声</w:t>
                  </w:r>
                </w:p>
              </w:tc>
              <w:tc>
                <w:tcPr>
                  <w:tcW w:w="1713" w:type="pct"/>
                  <w:tcBorders>
                    <w:tl2br w:val="nil"/>
                    <w:tr2bl w:val="nil"/>
                  </w:tcBorders>
                  <w:vAlign w:val="center"/>
                </w:tcPr>
                <w:p w14:paraId="1D21678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ascii="Times New Roman" w:hAnsi="Times New Roman" w:eastAsia="宋体"/>
                      <w:b w:val="0"/>
                      <w:bCs w:val="0"/>
                      <w:iCs/>
                      <w:color w:val="auto"/>
                      <w:sz w:val="21"/>
                      <w:szCs w:val="21"/>
                      <w:highlight w:val="none"/>
                      <w:lang w:val="en-US" w:eastAsia="zh-CN"/>
                    </w:rPr>
                    <w:t>自行监测</w:t>
                  </w:r>
                </w:p>
              </w:tc>
              <w:tc>
                <w:tcPr>
                  <w:tcW w:w="1250" w:type="pct"/>
                  <w:tcBorders>
                    <w:tl2br w:val="nil"/>
                    <w:tr2bl w:val="nil"/>
                  </w:tcBorders>
                  <w:vAlign w:val="center"/>
                </w:tcPr>
                <w:p w14:paraId="0F8A8DB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ascii="Times New Roman" w:hAnsi="Times New Roman" w:eastAsia="宋体"/>
                      <w:b w:val="0"/>
                      <w:bCs w:val="0"/>
                      <w:iCs/>
                      <w:color w:val="auto"/>
                      <w:sz w:val="21"/>
                      <w:szCs w:val="21"/>
                      <w:highlight w:val="none"/>
                      <w:lang w:val="en-US" w:eastAsia="zh-CN"/>
                    </w:rPr>
                    <w:t>5</w:t>
                  </w:r>
                </w:p>
              </w:tc>
            </w:tr>
            <w:tr w14:paraId="2FF97678">
              <w:tblPrEx>
                <w:tblBorders>
                  <w:top w:val="single" w:color="auto" w:sz="12" w:space="0"/>
                  <w:left w:val="none" w:color="auto" w:sz="0" w:space="0"/>
                  <w:bottom w:val="single" w:color="auto" w:sz="12" w:space="0"/>
                  <w:right w:val="none" w:color="auto" w:sz="0" w:space="0"/>
                  <w:insideH w:val="single" w:color="auto" w:sz="8" w:space="0"/>
                  <w:insideV w:val="single" w:color="auto" w:sz="4" w:space="0"/>
                </w:tblBorders>
                <w:tblCellMar>
                  <w:top w:w="0" w:type="dxa"/>
                  <w:left w:w="108" w:type="dxa"/>
                  <w:bottom w:w="0" w:type="dxa"/>
                  <w:right w:w="108" w:type="dxa"/>
                </w:tblCellMar>
              </w:tblPrEx>
              <w:tc>
                <w:tcPr>
                  <w:tcW w:w="3749" w:type="pct"/>
                  <w:gridSpan w:val="3"/>
                  <w:tcBorders>
                    <w:tl2br w:val="nil"/>
                    <w:tr2bl w:val="nil"/>
                  </w:tcBorders>
                  <w:vAlign w:val="center"/>
                </w:tcPr>
                <w:p w14:paraId="270A65E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ascii="Times New Roman" w:hAnsi="Times New Roman" w:eastAsia="宋体"/>
                      <w:b w:val="0"/>
                      <w:bCs w:val="0"/>
                      <w:iCs/>
                      <w:color w:val="auto"/>
                      <w:sz w:val="21"/>
                      <w:szCs w:val="21"/>
                      <w:highlight w:val="none"/>
                      <w:lang w:val="en-US" w:eastAsia="zh-CN"/>
                    </w:rPr>
                    <w:t>合计</w:t>
                  </w:r>
                </w:p>
              </w:tc>
              <w:tc>
                <w:tcPr>
                  <w:tcW w:w="1250" w:type="pct"/>
                  <w:tcBorders>
                    <w:tl2br w:val="nil"/>
                    <w:tr2bl w:val="nil"/>
                  </w:tcBorders>
                  <w:vAlign w:val="center"/>
                </w:tcPr>
                <w:p w14:paraId="19D4D1D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b w:val="0"/>
                      <w:bCs w:val="0"/>
                      <w:iCs/>
                      <w:color w:val="auto"/>
                      <w:sz w:val="21"/>
                      <w:szCs w:val="21"/>
                      <w:highlight w:val="none"/>
                      <w:lang w:val="en-US" w:eastAsia="zh-CN"/>
                    </w:rPr>
                  </w:pPr>
                  <w:r>
                    <w:rPr>
                      <w:rFonts w:hint="eastAsia"/>
                      <w:b w:val="0"/>
                      <w:bCs w:val="0"/>
                      <w:iCs/>
                      <w:color w:val="auto"/>
                      <w:sz w:val="21"/>
                      <w:szCs w:val="21"/>
                      <w:highlight w:val="none"/>
                      <w:lang w:val="en-US" w:eastAsia="zh-CN"/>
                    </w:rPr>
                    <w:t>20</w:t>
                  </w:r>
                </w:p>
              </w:tc>
            </w:tr>
          </w:tbl>
          <w:p w14:paraId="551262BD">
            <w:pPr>
              <w:pStyle w:val="46"/>
              <w:pageBreakBefore w:val="0"/>
              <w:kinsoku/>
              <w:overflowPunct/>
              <w:topLinePunct w:val="0"/>
              <w:bidi w:val="0"/>
              <w:spacing w:line="240" w:lineRule="auto"/>
              <w:ind w:left="0" w:firstLine="0" w:firstLineChars="0"/>
              <w:textAlignment w:val="auto"/>
              <w:rPr>
                <w:rFonts w:hint="default"/>
                <w:color w:val="auto"/>
                <w:kern w:val="0"/>
                <w:sz w:val="21"/>
                <w:szCs w:val="21"/>
                <w:highlight w:val="none"/>
                <w:lang w:val="en-US" w:eastAsia="zh-CN"/>
              </w:rPr>
            </w:pPr>
          </w:p>
        </w:tc>
      </w:tr>
    </w:tbl>
    <w:p w14:paraId="2B0C03CD">
      <w:pPr>
        <w:pStyle w:val="2"/>
        <w:numPr>
          <w:ilvl w:val="0"/>
          <w:numId w:val="0"/>
        </w:numPr>
        <w:tabs>
          <w:tab w:val="left" w:pos="0"/>
        </w:tabs>
        <w:ind w:left="432" w:leftChars="0" w:hanging="432" w:firstLineChars="0"/>
        <w:outlineLvl w:val="9"/>
        <w:rPr>
          <w:snapToGrid w:val="0"/>
          <w:color w:val="auto"/>
          <w:highlight w:val="none"/>
        </w:rPr>
        <w:sectPr>
          <w:pgSz w:w="11905" w:h="16838"/>
          <w:pgMar w:top="1417" w:right="1417" w:bottom="1417" w:left="1417" w:header="851" w:footer="1077" w:gutter="0"/>
          <w:pgBorders>
            <w:top w:val="none" w:sz="0" w:space="0"/>
            <w:left w:val="none" w:sz="0" w:space="0"/>
            <w:bottom w:val="none" w:sz="0" w:space="0"/>
            <w:right w:val="none" w:sz="0" w:space="0"/>
          </w:pgBorders>
          <w:pgNumType w:fmt="decimal"/>
          <w:cols w:space="0" w:num="1"/>
          <w:docGrid w:linePitch="312" w:charSpace="0"/>
        </w:sectPr>
      </w:pPr>
    </w:p>
    <w:p w14:paraId="5508BAA6">
      <w:pPr>
        <w:pStyle w:val="2"/>
        <w:numPr>
          <w:ilvl w:val="0"/>
          <w:numId w:val="1"/>
        </w:numPr>
        <w:bidi w:val="0"/>
        <w:ind w:left="432" w:leftChars="0" w:hanging="432" w:firstLineChars="0"/>
        <w:rPr>
          <w:rFonts w:hint="eastAsia" w:ascii="Times New Roman" w:hAnsi="Times New Roman" w:eastAsia="宋体"/>
          <w:color w:val="auto"/>
          <w:highlight w:val="none"/>
        </w:rPr>
      </w:pPr>
      <w:bookmarkStart w:id="61" w:name="_Toc17753"/>
      <w:bookmarkStart w:id="62" w:name="_Toc15523"/>
      <w:bookmarkStart w:id="63" w:name="_Toc14873"/>
      <w:bookmarkStart w:id="64" w:name="_Toc288"/>
      <w:bookmarkStart w:id="65" w:name="_Toc4502"/>
      <w:bookmarkStart w:id="66" w:name="_Toc8552"/>
      <w:bookmarkStart w:id="67" w:name="_Toc846"/>
      <w:bookmarkStart w:id="68" w:name="_Toc22600"/>
      <w:bookmarkStart w:id="69" w:name="_Toc15365"/>
      <w:bookmarkStart w:id="70" w:name="_Toc3022"/>
      <w:r>
        <w:rPr>
          <w:rFonts w:hint="eastAsia" w:ascii="Times New Roman" w:hAnsi="Times New Roman" w:eastAsia="宋体"/>
          <w:color w:val="auto"/>
          <w:highlight w:val="none"/>
        </w:rPr>
        <w:drawing>
          <wp:anchor distT="0" distB="0" distL="114300" distR="114300" simplePos="0" relativeHeight="251664384" behindDoc="0" locked="0" layoutInCell="1" allowOverlap="1">
            <wp:simplePos x="0" y="0"/>
            <wp:positionH relativeFrom="column">
              <wp:posOffset>-20320</wp:posOffset>
            </wp:positionH>
            <wp:positionV relativeFrom="paragraph">
              <wp:posOffset>-95250</wp:posOffset>
            </wp:positionV>
            <wp:extent cx="6189980" cy="8755380"/>
            <wp:effectExtent l="0" t="0" r="1270" b="7620"/>
            <wp:wrapNone/>
            <wp:docPr id="230" name="图片 230" descr="doc00838120260604165414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30" descr="doc00838120260604165414_10"/>
                    <pic:cNvPicPr>
                      <a:picLocks noChangeAspect="1"/>
                    </pic:cNvPicPr>
                  </pic:nvPicPr>
                  <pic:blipFill>
                    <a:blip r:embed="rId34"/>
                    <a:stretch>
                      <a:fillRect/>
                    </a:stretch>
                  </pic:blipFill>
                  <pic:spPr>
                    <a:xfrm>
                      <a:off x="0" y="0"/>
                      <a:ext cx="6189980" cy="8755380"/>
                    </a:xfrm>
                    <a:prstGeom prst="rect">
                      <a:avLst/>
                    </a:prstGeom>
                  </pic:spPr>
                </pic:pic>
              </a:graphicData>
            </a:graphic>
          </wp:anchor>
        </w:drawing>
      </w:r>
      <w:r>
        <w:rPr>
          <w:rFonts w:hint="eastAsia" w:ascii="Times New Roman" w:hAnsi="Times New Roman" w:eastAsia="宋体"/>
          <w:color w:val="auto"/>
          <w:highlight w:val="none"/>
        </w:rPr>
        <w:t>结论</w:t>
      </w:r>
      <w:bookmarkEnd w:id="61"/>
      <w:bookmarkEnd w:id="62"/>
      <w:bookmarkEnd w:id="63"/>
      <w:bookmarkEnd w:id="64"/>
      <w:bookmarkEnd w:id="65"/>
    </w:p>
    <w:tbl>
      <w:tblPr>
        <w:tblStyle w:val="34"/>
        <w:tblW w:w="886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7EBD89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vAlign w:val="top"/>
          </w:tcPr>
          <w:p w14:paraId="12FCBB37">
            <w:pPr>
              <w:pStyle w:val="157"/>
              <w:keepNext w:val="0"/>
              <w:keepLines w:val="0"/>
              <w:pageBreakBefore w:val="0"/>
              <w:widowControl w:val="0"/>
              <w:kinsoku/>
              <w:wordWrap/>
              <w:overflowPunct/>
              <w:topLinePunct w:val="0"/>
              <w:autoSpaceDE w:val="0"/>
              <w:autoSpaceDN w:val="0"/>
              <w:bidi w:val="0"/>
              <w:adjustRightInd w:val="0"/>
              <w:snapToGrid w:val="0"/>
              <w:spacing w:after="0" w:line="360" w:lineRule="auto"/>
              <w:ind w:left="0" w:leftChars="0" w:firstLine="0" w:firstLineChars="0"/>
              <w:jc w:val="left"/>
              <w:textAlignment w:val="baseline"/>
              <w:outlineLvl w:val="1"/>
              <w:rPr>
                <w:rFonts w:hint="eastAsia" w:ascii="Times New Roman" w:hAnsi="Times New Roman" w:eastAsia="宋体" w:cs="Times New Roman"/>
                <w:color w:val="auto"/>
                <w:sz w:val="28"/>
                <w:szCs w:val="28"/>
                <w:highlight w:val="none"/>
                <w:lang w:eastAsia="zh-CN"/>
              </w:rPr>
            </w:pPr>
            <w:bookmarkStart w:id="71" w:name="_Toc18917"/>
            <w:bookmarkStart w:id="72" w:name="_Toc22364"/>
            <w:bookmarkStart w:id="73" w:name="_Toc4427"/>
            <w:bookmarkStart w:id="74" w:name="_Toc8175"/>
            <w:r>
              <w:rPr>
                <w:rFonts w:hint="default" w:ascii="Times New Roman" w:hAnsi="Times New Roman" w:eastAsia="宋体" w:cs="Times New Roman"/>
                <w:b/>
                <w:color w:val="auto"/>
                <w:sz w:val="28"/>
                <w:szCs w:val="28"/>
                <w:highlight w:val="none"/>
                <w:lang w:val="en-US" w:eastAsia="zh-CN"/>
              </w:rPr>
              <w:t>6.1</w:t>
            </w:r>
            <w:r>
              <w:rPr>
                <w:rFonts w:hint="default" w:ascii="Times New Roman" w:hAnsi="Times New Roman" w:eastAsia="宋体" w:cs="Times New Roman"/>
                <w:b/>
                <w:color w:val="auto"/>
                <w:sz w:val="28"/>
                <w:szCs w:val="28"/>
                <w:highlight w:val="none"/>
              </w:rPr>
              <w:t xml:space="preserve"> 总结论</w:t>
            </w:r>
            <w:bookmarkEnd w:id="71"/>
            <w:bookmarkEnd w:id="72"/>
            <w:bookmarkEnd w:id="73"/>
            <w:bookmarkEnd w:id="74"/>
          </w:p>
          <w:p w14:paraId="3DE50672">
            <w:pPr>
              <w:pStyle w:val="46"/>
              <w:keepNext w:val="0"/>
              <w:keepLines w:val="0"/>
              <w:pageBreakBefore w:val="0"/>
              <w:widowControl w:val="0"/>
              <w:kinsoku/>
              <w:wordWrap/>
              <w:overflowPunct/>
              <w:topLinePunct w:val="0"/>
              <w:autoSpaceDE w:val="0"/>
              <w:autoSpaceDN w:val="0"/>
              <w:bidi w:val="0"/>
              <w:adjustRightInd/>
              <w:snapToGrid/>
              <w:ind w:firstLine="480"/>
              <w:textAlignment w:val="auto"/>
              <w:rPr>
                <w:color w:val="auto"/>
              </w:rPr>
            </w:pPr>
            <w:r>
              <w:rPr>
                <w:rFonts w:hint="eastAsia"/>
                <w:color w:val="auto"/>
                <w:szCs w:val="21"/>
                <w:highlight w:val="none"/>
                <w:lang w:eastAsia="zh-CN"/>
              </w:rPr>
              <w:t>罗源县总医院中医分院病房改造及综合能力提升项目</w:t>
            </w:r>
            <w:r>
              <w:rPr>
                <w:rFonts w:ascii="Times New Roman" w:hAnsi="Times New Roman" w:eastAsia="宋体"/>
                <w:color w:val="auto"/>
                <w:highlight w:val="none"/>
              </w:rPr>
              <w:t>的建设符合国家有关产业政策，项目选址合理</w:t>
            </w:r>
            <w:r>
              <w:rPr>
                <w:rFonts w:ascii="Times New Roman" w:hAnsi="Times New Roman" w:eastAsia="宋体"/>
                <w:color w:val="auto"/>
                <w:highlight w:val="none"/>
                <w:lang w:val="zh-CN"/>
              </w:rPr>
              <w:t>，</w:t>
            </w:r>
            <w:r>
              <w:rPr>
                <w:rFonts w:hint="eastAsia" w:ascii="Times New Roman" w:hAnsi="Times New Roman" w:eastAsia="宋体"/>
                <w:color w:val="auto"/>
                <w:highlight w:val="none"/>
              </w:rPr>
              <w:t>平面布局可行。经核查，项目选址位于</w:t>
            </w:r>
            <w:r>
              <w:rPr>
                <w:rFonts w:hint="eastAsia"/>
                <w:color w:val="auto"/>
                <w:lang w:val="en-US" w:eastAsia="zh-CN"/>
              </w:rPr>
              <w:t>福建省福州市罗源县凤山镇</w:t>
            </w:r>
            <w:r>
              <w:rPr>
                <w:rFonts w:hint="eastAsia" w:ascii="Times New Roman" w:hAnsi="Times New Roman" w:eastAsia="宋体"/>
                <w:color w:val="auto"/>
                <w:highlight w:val="none"/>
              </w:rPr>
              <w:t>，符合该区域实施的</w:t>
            </w:r>
            <w:r>
              <w:rPr>
                <w:spacing w:val="-1"/>
                <w:sz w:val="24"/>
                <w:szCs w:val="24"/>
              </w:rPr>
              <w:t>《</w:t>
            </w:r>
            <w:r>
              <w:rPr>
                <w:spacing w:val="7"/>
              </w:rPr>
              <w:t>罗源县国土空间总体规划</w:t>
            </w:r>
            <w:r>
              <w:rPr>
                <w:rFonts w:hint="eastAsia"/>
                <w:spacing w:val="7"/>
                <w:lang w:eastAsia="zh-CN"/>
              </w:rPr>
              <w:t>（</w:t>
            </w:r>
            <w:r>
              <w:rPr>
                <w:spacing w:val="-1"/>
                <w:sz w:val="24"/>
                <w:szCs w:val="24"/>
              </w:rPr>
              <w:t>20</w:t>
            </w:r>
            <w:r>
              <w:rPr>
                <w:rFonts w:hint="eastAsia"/>
                <w:spacing w:val="-1"/>
                <w:sz w:val="24"/>
                <w:szCs w:val="24"/>
                <w:lang w:val="en-US" w:eastAsia="zh-CN"/>
              </w:rPr>
              <w:t>21</w:t>
            </w:r>
            <w:r>
              <w:rPr>
                <w:spacing w:val="-1"/>
                <w:sz w:val="24"/>
                <w:szCs w:val="24"/>
              </w:rPr>
              <w:t>-20</w:t>
            </w:r>
            <w:r>
              <w:rPr>
                <w:rFonts w:hint="eastAsia"/>
                <w:spacing w:val="-1"/>
                <w:sz w:val="24"/>
                <w:szCs w:val="24"/>
                <w:lang w:val="en-US" w:eastAsia="zh-CN"/>
              </w:rPr>
              <w:t>35</w:t>
            </w:r>
            <w:r>
              <w:rPr>
                <w:spacing w:val="-1"/>
                <w:sz w:val="24"/>
                <w:szCs w:val="24"/>
              </w:rPr>
              <w:t>年</w:t>
            </w:r>
            <w:r>
              <w:rPr>
                <w:rFonts w:hint="eastAsia"/>
                <w:spacing w:val="-1"/>
                <w:sz w:val="24"/>
                <w:szCs w:val="24"/>
                <w:lang w:eastAsia="zh-CN"/>
              </w:rPr>
              <w:t>）</w:t>
            </w:r>
            <w:r>
              <w:rPr>
                <w:spacing w:val="-1"/>
                <w:sz w:val="24"/>
                <w:szCs w:val="24"/>
              </w:rPr>
              <w:t>》</w:t>
            </w:r>
            <w:r>
              <w:rPr>
                <w:rFonts w:hint="eastAsia" w:ascii="Times New Roman" w:hAnsi="Times New Roman" w:eastAsia="宋体"/>
                <w:color w:val="auto"/>
                <w:highlight w:val="none"/>
              </w:rPr>
              <w:t>的要求及定位、环境功能区划和空间布局等要求。同时，项目符合</w:t>
            </w:r>
            <w:r>
              <w:rPr>
                <w:rFonts w:hint="eastAsia"/>
                <w:color w:val="auto"/>
                <w:highlight w:val="none"/>
                <w:lang w:val="en-US" w:eastAsia="zh-CN"/>
              </w:rPr>
              <w:t>福建省</w:t>
            </w:r>
            <w:r>
              <w:rPr>
                <w:rFonts w:hint="eastAsia" w:ascii="Times New Roman" w:hAnsi="Times New Roman" w:eastAsia="宋体"/>
                <w:color w:val="auto"/>
                <w:highlight w:val="none"/>
              </w:rPr>
              <w:t>生态环境分区管控（“三线一单”）要求，本项目所在地管控单位类别为重点管控单元（环境管控单元编码：</w:t>
            </w:r>
            <w:r>
              <w:rPr>
                <w:rFonts w:hint="eastAsia"/>
                <w:color w:val="auto"/>
                <w:highlight w:val="none"/>
                <w:lang w:val="en-US" w:eastAsia="zh-CN"/>
              </w:rPr>
              <w:t>ZH35012320011</w:t>
            </w:r>
            <w:r>
              <w:rPr>
                <w:rFonts w:hint="eastAsia" w:ascii="Times New Roman" w:hAnsi="Times New Roman" w:eastAsia="宋体"/>
                <w:color w:val="auto"/>
                <w:highlight w:val="none"/>
              </w:rPr>
              <w:t>）的许可范围内，其规模、</w:t>
            </w:r>
            <w:r>
              <w:rPr>
                <w:rFonts w:hint="eastAsia"/>
                <w:color w:val="auto"/>
                <w:highlight w:val="none"/>
                <w:lang w:val="en-US" w:eastAsia="zh-CN"/>
              </w:rPr>
              <w:t>诊疗流程、</w:t>
            </w:r>
            <w:r>
              <w:rPr>
                <w:rFonts w:hint="eastAsia" w:ascii="Times New Roman" w:hAnsi="Times New Roman" w:eastAsia="宋体"/>
                <w:color w:val="auto"/>
                <w:highlight w:val="none"/>
              </w:rPr>
              <w:t>污染物排放控制符合该单元的生态环境准入清单规定，选址具有环境可行性，布局合理。</w:t>
            </w:r>
            <w:r>
              <w:rPr>
                <w:rFonts w:ascii="Times New Roman" w:hAnsi="Times New Roman" w:eastAsia="宋体"/>
                <w:color w:val="auto"/>
                <w:highlight w:val="none"/>
              </w:rPr>
              <w:t>项目运营后产生的</w:t>
            </w:r>
            <w:r>
              <w:rPr>
                <w:rFonts w:hint="eastAsia"/>
                <w:color w:val="auto"/>
                <w:highlight w:val="none"/>
                <w:lang w:val="en-US" w:eastAsia="zh-CN"/>
              </w:rPr>
              <w:t>废</w:t>
            </w:r>
            <w:r>
              <w:rPr>
                <w:rFonts w:ascii="Times New Roman" w:hAnsi="Times New Roman" w:eastAsia="宋体"/>
                <w:color w:val="auto"/>
                <w:highlight w:val="none"/>
              </w:rPr>
              <w:t>水、废气、噪声、固废通过采取相应的措施治理，能够实现污染物的达标排放。在工程建设中，严格执行“三同时”制度，项目</w:t>
            </w:r>
            <w:r>
              <w:rPr>
                <w:rFonts w:hint="eastAsia"/>
                <w:color w:val="auto"/>
                <w:highlight w:val="none"/>
                <w:lang w:val="en-US" w:eastAsia="zh-CN"/>
              </w:rPr>
              <w:t>运营</w:t>
            </w:r>
            <w:r>
              <w:rPr>
                <w:rFonts w:ascii="Times New Roman" w:hAnsi="Times New Roman" w:eastAsia="宋体"/>
                <w:color w:val="auto"/>
                <w:highlight w:val="none"/>
              </w:rPr>
              <w:t>后，严格</w:t>
            </w:r>
            <w:r>
              <w:rPr>
                <w:rFonts w:hint="eastAsia" w:ascii="Times New Roman" w:hAnsi="Times New Roman" w:eastAsia="宋体"/>
                <w:color w:val="auto"/>
                <w:highlight w:val="none"/>
              </w:rPr>
              <w:t>遵守</w:t>
            </w:r>
            <w:r>
              <w:rPr>
                <w:rFonts w:ascii="Times New Roman" w:hAnsi="Times New Roman" w:eastAsia="宋体"/>
                <w:color w:val="auto"/>
                <w:highlight w:val="none"/>
              </w:rPr>
              <w:t>国家有关法律法规</w:t>
            </w:r>
            <w:r>
              <w:rPr>
                <w:rFonts w:hint="eastAsia" w:ascii="Times New Roman" w:hAnsi="Times New Roman" w:eastAsia="宋体"/>
                <w:color w:val="auto"/>
                <w:highlight w:val="none"/>
              </w:rPr>
              <w:t>，严格执行相关标准和</w:t>
            </w:r>
            <w:r>
              <w:rPr>
                <w:rFonts w:ascii="Times New Roman" w:hAnsi="Times New Roman" w:eastAsia="宋体"/>
                <w:color w:val="auto"/>
                <w:highlight w:val="none"/>
              </w:rPr>
              <w:t>技术规范，</w:t>
            </w:r>
            <w:r>
              <w:rPr>
                <w:rFonts w:hint="eastAsia" w:ascii="Times New Roman" w:hAnsi="Times New Roman" w:eastAsia="宋体"/>
                <w:color w:val="auto"/>
                <w:highlight w:val="none"/>
              </w:rPr>
              <w:t>严格</w:t>
            </w:r>
            <w:r>
              <w:rPr>
                <w:rFonts w:ascii="Times New Roman" w:hAnsi="Times New Roman" w:eastAsia="宋体"/>
                <w:color w:val="auto"/>
                <w:highlight w:val="none"/>
              </w:rPr>
              <w:t>落实各项环境风险防范措施，确保污染物排放总量控制在经</w:t>
            </w:r>
            <w:r>
              <w:rPr>
                <w:rFonts w:hint="eastAsia" w:ascii="Times New Roman" w:hAnsi="Times New Roman" w:eastAsia="宋体"/>
                <w:color w:val="auto"/>
                <w:highlight w:val="none"/>
                <w:lang w:val="en-US" w:eastAsia="zh-CN"/>
              </w:rPr>
              <w:t>生态环境</w:t>
            </w:r>
            <w:r>
              <w:rPr>
                <w:rFonts w:ascii="Times New Roman" w:hAnsi="Times New Roman" w:eastAsia="宋体"/>
                <w:color w:val="auto"/>
                <w:highlight w:val="none"/>
              </w:rPr>
              <w:t>主管部门核定的范围内</w:t>
            </w:r>
            <w:r>
              <w:rPr>
                <w:rFonts w:hint="eastAsia"/>
                <w:color w:val="auto"/>
                <w:highlight w:val="none"/>
                <w:lang w:eastAsia="zh-CN"/>
              </w:rPr>
              <w:t>，在</w:t>
            </w:r>
            <w:r>
              <w:rPr>
                <w:rFonts w:ascii="Times New Roman" w:hAnsi="Times New Roman" w:eastAsia="宋体"/>
                <w:color w:val="auto"/>
                <w:highlight w:val="none"/>
              </w:rPr>
              <w:t>污染物达标排放的前提下，对周边环境影响较小，</w:t>
            </w:r>
            <w:r>
              <w:rPr>
                <w:rFonts w:hint="eastAsia" w:ascii="Times New Roman" w:hAnsi="Times New Roman" w:eastAsia="宋体"/>
                <w:color w:val="auto"/>
                <w:highlight w:val="none"/>
              </w:rPr>
              <w:t>该项目可实现经济效益、环境效益的协调性发展。</w:t>
            </w:r>
            <w:r>
              <w:rPr>
                <w:rFonts w:hint="eastAsia" w:ascii="Times New Roman" w:hAnsi="Times New Roman" w:eastAsia="宋体"/>
                <w:color w:val="auto"/>
                <w:highlight w:val="none"/>
                <w:lang w:val="zh-CN" w:eastAsia="zh-CN"/>
              </w:rPr>
              <w:t>在严格落实各项生态环境保护和污染防治措施后</w:t>
            </w:r>
            <w:r>
              <w:rPr>
                <w:rFonts w:hint="eastAsia" w:ascii="Times New Roman" w:hAnsi="Times New Roman" w:eastAsia="宋体"/>
                <w:color w:val="auto"/>
                <w:highlight w:val="none"/>
                <w:lang w:val="en-US" w:eastAsia="zh-CN"/>
              </w:rPr>
              <w:t>，从环境影响角度分析，项目建设可行</w:t>
            </w:r>
            <w:r>
              <w:rPr>
                <w:rFonts w:ascii="Times New Roman" w:hAnsi="Times New Roman" w:eastAsia="宋体"/>
                <w:color w:val="auto"/>
                <w:highlight w:val="none"/>
              </w:rPr>
              <w:t>。</w:t>
            </w:r>
          </w:p>
          <w:p w14:paraId="61455653">
            <w:pPr>
              <w:pStyle w:val="157"/>
              <w:keepNext w:val="0"/>
              <w:keepLines w:val="0"/>
              <w:pageBreakBefore w:val="0"/>
              <w:widowControl w:val="0"/>
              <w:kinsoku/>
              <w:wordWrap/>
              <w:overflowPunct/>
              <w:topLinePunct w:val="0"/>
              <w:autoSpaceDE w:val="0"/>
              <w:autoSpaceDN w:val="0"/>
              <w:bidi w:val="0"/>
              <w:adjustRightInd w:val="0"/>
              <w:snapToGrid w:val="0"/>
              <w:spacing w:after="0" w:line="360" w:lineRule="auto"/>
              <w:ind w:left="0" w:leftChars="0" w:firstLine="0" w:firstLineChars="0"/>
              <w:jc w:val="left"/>
              <w:textAlignment w:val="baseline"/>
              <w:outlineLvl w:val="1"/>
              <w:rPr>
                <w:rFonts w:hint="default" w:ascii="Times New Roman" w:hAnsi="Times New Roman" w:eastAsia="宋体" w:cs="Times New Roman"/>
                <w:b/>
                <w:color w:val="auto"/>
                <w:sz w:val="28"/>
                <w:szCs w:val="28"/>
                <w:highlight w:val="none"/>
              </w:rPr>
            </w:pPr>
            <w:bookmarkStart w:id="75" w:name="_Toc11017"/>
            <w:bookmarkStart w:id="76" w:name="_Toc29899"/>
            <w:bookmarkStart w:id="77" w:name="_Toc29401"/>
            <w:bookmarkStart w:id="78" w:name="_Toc29585"/>
            <w:r>
              <w:rPr>
                <w:rFonts w:hint="default" w:ascii="Times New Roman" w:hAnsi="Times New Roman" w:eastAsia="宋体" w:cs="Times New Roman"/>
                <w:b/>
                <w:color w:val="auto"/>
                <w:sz w:val="28"/>
                <w:szCs w:val="28"/>
                <w:highlight w:val="none"/>
                <w:lang w:val="en-US" w:eastAsia="zh-CN"/>
              </w:rPr>
              <w:t>6.2</w:t>
            </w:r>
            <w:r>
              <w:rPr>
                <w:rFonts w:hint="default" w:ascii="Times New Roman" w:hAnsi="Times New Roman" w:eastAsia="宋体" w:cs="Times New Roman"/>
                <w:b/>
                <w:color w:val="auto"/>
                <w:sz w:val="28"/>
                <w:szCs w:val="28"/>
                <w:highlight w:val="none"/>
              </w:rPr>
              <w:t xml:space="preserve"> 建议</w:t>
            </w:r>
            <w:bookmarkEnd w:id="75"/>
            <w:bookmarkEnd w:id="76"/>
            <w:bookmarkEnd w:id="77"/>
            <w:bookmarkEnd w:id="78"/>
          </w:p>
          <w:p w14:paraId="1B153F6F">
            <w:pPr>
              <w:pStyle w:val="13"/>
              <w:keepNext w:val="0"/>
              <w:keepLines w:val="0"/>
              <w:pageBreakBefore w:val="0"/>
              <w:widowControl w:val="0"/>
              <w:kinsoku/>
              <w:wordWrap/>
              <w:overflowPunct/>
              <w:topLinePunct w:val="0"/>
              <w:autoSpaceDE w:val="0"/>
              <w:autoSpaceDN w:val="0"/>
              <w:bidi w:val="0"/>
              <w:adjustRightInd w:val="0"/>
              <w:snapToGrid w:val="0"/>
              <w:spacing w:line="360" w:lineRule="auto"/>
              <w:ind w:firstLine="480"/>
              <w:jc w:val="left"/>
              <w:rPr>
                <w:rFonts w:hint="default"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1</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加强管理，保证</w:t>
            </w:r>
            <w:r>
              <w:rPr>
                <w:rFonts w:hint="eastAsia" w:ascii="Times New Roman" w:hAnsi="Times New Roman" w:cs="Times New Roman"/>
                <w:color w:val="auto"/>
                <w:sz w:val="24"/>
                <w:szCs w:val="24"/>
                <w:highlight w:val="none"/>
                <w:lang w:eastAsia="zh-CN"/>
              </w:rPr>
              <w:t>医疗设备</w:t>
            </w:r>
            <w:r>
              <w:rPr>
                <w:rFonts w:hint="default" w:ascii="Times New Roman" w:hAnsi="Times New Roman" w:eastAsia="宋体" w:cs="Times New Roman"/>
                <w:color w:val="auto"/>
                <w:sz w:val="24"/>
                <w:szCs w:val="24"/>
                <w:highlight w:val="none"/>
                <w:lang w:eastAsia="zh-CN"/>
              </w:rPr>
              <w:t>正常运行，防止设备带故障使用，防止异常噪声的产生。</w:t>
            </w:r>
          </w:p>
          <w:p w14:paraId="71BE1CF7">
            <w:pPr>
              <w:pStyle w:val="13"/>
              <w:keepNext w:val="0"/>
              <w:keepLines w:val="0"/>
              <w:pageBreakBefore w:val="0"/>
              <w:widowControl w:val="0"/>
              <w:kinsoku/>
              <w:wordWrap/>
              <w:overflowPunct/>
              <w:topLinePunct w:val="0"/>
              <w:autoSpaceDE w:val="0"/>
              <w:autoSpaceDN w:val="0"/>
              <w:bidi w:val="0"/>
              <w:adjustRightInd w:val="0"/>
              <w:snapToGrid w:val="0"/>
              <w:spacing w:line="360" w:lineRule="auto"/>
              <w:ind w:firstLine="480"/>
              <w:jc w:val="left"/>
              <w:rPr>
                <w:rFonts w:hint="default"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由</w:t>
            </w:r>
            <w:r>
              <w:rPr>
                <w:rFonts w:hint="eastAsia" w:ascii="Times New Roman" w:hAnsi="Times New Roman" w:cs="Times New Roman"/>
                <w:color w:val="auto"/>
                <w:sz w:val="24"/>
                <w:szCs w:val="24"/>
                <w:highlight w:val="none"/>
                <w:lang w:val="en-US" w:eastAsia="zh-CN"/>
              </w:rPr>
              <w:t>院</w:t>
            </w:r>
            <w:r>
              <w:rPr>
                <w:rFonts w:hint="default" w:ascii="Times New Roman" w:hAnsi="Times New Roman" w:eastAsia="宋体" w:cs="Times New Roman"/>
                <w:color w:val="auto"/>
                <w:sz w:val="24"/>
                <w:szCs w:val="24"/>
                <w:highlight w:val="none"/>
                <w:lang w:eastAsia="zh-CN"/>
              </w:rPr>
              <w:t>内技术管理人员兼职环保工作负责环保设施的运行、检查、维护等工作。</w:t>
            </w:r>
          </w:p>
          <w:p w14:paraId="7A382C9A">
            <w:pPr>
              <w:pStyle w:val="13"/>
              <w:keepNext w:val="0"/>
              <w:keepLines w:val="0"/>
              <w:pageBreakBefore w:val="0"/>
              <w:widowControl w:val="0"/>
              <w:kinsoku/>
              <w:wordWrap/>
              <w:overflowPunct/>
              <w:topLinePunct w:val="0"/>
              <w:autoSpaceDE w:val="0"/>
              <w:autoSpaceDN w:val="0"/>
              <w:bidi w:val="0"/>
              <w:adjustRightInd w:val="0"/>
              <w:snapToGrid w:val="0"/>
              <w:spacing w:line="360" w:lineRule="auto"/>
              <w:ind w:firstLine="480"/>
              <w:jc w:val="left"/>
              <w:rPr>
                <w:rFonts w:hint="default"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3</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加强职工的环保、安全教育，</w:t>
            </w:r>
            <w:r>
              <w:rPr>
                <w:rFonts w:hint="eastAsia" w:ascii="Times New Roman" w:hAnsi="Times New Roman" w:cs="Times New Roman"/>
                <w:color w:val="auto"/>
                <w:sz w:val="24"/>
                <w:szCs w:val="24"/>
                <w:highlight w:val="none"/>
                <w:lang w:eastAsia="zh-CN"/>
              </w:rPr>
              <w:t>增强</w:t>
            </w:r>
            <w:r>
              <w:rPr>
                <w:rFonts w:hint="default" w:ascii="Times New Roman" w:hAnsi="Times New Roman" w:eastAsia="宋体" w:cs="Times New Roman"/>
                <w:color w:val="auto"/>
                <w:sz w:val="24"/>
                <w:szCs w:val="24"/>
                <w:highlight w:val="none"/>
                <w:lang w:eastAsia="zh-CN"/>
              </w:rPr>
              <w:t>环保意识和安全生产意识。</w:t>
            </w:r>
          </w:p>
          <w:p w14:paraId="1C92EA89">
            <w:pPr>
              <w:pStyle w:val="13"/>
              <w:keepNext w:val="0"/>
              <w:keepLines w:val="0"/>
              <w:pageBreakBefore w:val="0"/>
              <w:widowControl w:val="0"/>
              <w:kinsoku/>
              <w:wordWrap/>
              <w:overflowPunct/>
              <w:topLinePunct w:val="0"/>
              <w:autoSpaceDE w:val="0"/>
              <w:autoSpaceDN w:val="0"/>
              <w:bidi w:val="0"/>
              <w:adjustRightInd w:val="0"/>
              <w:snapToGrid w:val="0"/>
              <w:spacing w:line="360" w:lineRule="auto"/>
              <w:ind w:firstLine="480"/>
              <w:jc w:val="left"/>
              <w:rPr>
                <w:rFonts w:hint="default" w:ascii="Times New Roman" w:hAnsi="Times New Roman" w:eastAsia="宋体" w:cs="Times New Roman"/>
                <w:color w:val="auto"/>
                <w:sz w:val="24"/>
                <w:szCs w:val="24"/>
                <w:highlight w:val="none"/>
                <w:lang w:eastAsia="zh-CN"/>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4</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遵守国家关于</w:t>
            </w:r>
            <w:r>
              <w:rPr>
                <w:rFonts w:hint="eastAsia" w:ascii="Times New Roman" w:hAnsi="Times New Roman" w:cs="Times New Roman"/>
                <w:color w:val="auto"/>
                <w:sz w:val="24"/>
                <w:szCs w:val="24"/>
                <w:highlight w:val="none"/>
                <w:lang w:eastAsia="zh-CN"/>
              </w:rPr>
              <w:t>环境治理</w:t>
            </w:r>
            <w:r>
              <w:rPr>
                <w:rFonts w:hint="default" w:ascii="Times New Roman" w:hAnsi="Times New Roman" w:eastAsia="宋体" w:cs="Times New Roman"/>
                <w:color w:val="auto"/>
                <w:sz w:val="24"/>
                <w:szCs w:val="24"/>
                <w:highlight w:val="none"/>
                <w:lang w:eastAsia="zh-CN"/>
              </w:rPr>
              <w:t>措施管理的规定，定期提交设施运行及监测报告，接受环保管理部门的监督。</w:t>
            </w:r>
          </w:p>
          <w:p w14:paraId="1451EA50">
            <w:pPr>
              <w:pStyle w:val="18"/>
              <w:ind w:firstLine="480" w:firstLineChars="200"/>
              <w:rPr>
                <w:rFonts w:ascii="Times New Roman" w:hAnsi="Times New Roman" w:eastAsia="宋体"/>
                <w:color w:val="auto"/>
                <w:sz w:val="24"/>
                <w:szCs w:val="24"/>
                <w:highlight w:val="none"/>
              </w:rPr>
            </w:pP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5</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eastAsia="zh-CN"/>
              </w:rPr>
              <w:t>加强环保工作的管理，要认真落实环保“三同时”制度。</w:t>
            </w:r>
          </w:p>
          <w:p w14:paraId="5A340E04">
            <w:pPr>
              <w:jc w:val="right"/>
              <w:rPr>
                <w:rFonts w:ascii="Times New Roman" w:hAnsi="Times New Roman" w:eastAsia="宋体"/>
                <w:b/>
                <w:bCs/>
                <w:color w:val="auto"/>
                <w:sz w:val="24"/>
                <w:highlight w:val="none"/>
              </w:rPr>
            </w:pPr>
            <w:r>
              <w:rPr>
                <w:rFonts w:hint="eastAsia" w:ascii="Times New Roman" w:hAnsi="Times New Roman" w:eastAsia="宋体"/>
                <w:b/>
                <w:bCs/>
                <w:color w:val="auto"/>
                <w:sz w:val="24"/>
                <w:highlight w:val="none"/>
              </w:rPr>
              <w:t>福州朴诚至信环保科技有限公</w:t>
            </w:r>
            <w:r>
              <w:rPr>
                <w:rFonts w:ascii="Times New Roman" w:hAnsi="Times New Roman" w:eastAsia="宋体"/>
                <w:b/>
                <w:bCs/>
                <w:color w:val="auto"/>
                <w:sz w:val="24"/>
                <w:highlight w:val="none"/>
              </w:rPr>
              <w:t>司</w:t>
            </w:r>
          </w:p>
          <w:p w14:paraId="5520FD9C">
            <w:pPr>
              <w:wordWrap w:val="0"/>
              <w:jc w:val="right"/>
              <w:rPr>
                <w:rFonts w:ascii="Times New Roman" w:hAnsi="Times New Roman" w:eastAsia="宋体" w:cs="宋体"/>
                <w:color w:val="auto"/>
                <w:sz w:val="24"/>
                <w:highlight w:val="none"/>
              </w:rPr>
            </w:pPr>
            <w:r>
              <w:rPr>
                <w:rFonts w:ascii="Times New Roman" w:hAnsi="Times New Roman" w:eastAsia="宋体"/>
                <w:b/>
                <w:bCs/>
                <w:color w:val="auto"/>
                <w:sz w:val="24"/>
                <w:highlight w:val="none"/>
                <w:lang w:val="zh-CN"/>
              </w:rPr>
              <w:t>202</w:t>
            </w:r>
            <w:r>
              <w:rPr>
                <w:rFonts w:hint="eastAsia"/>
                <w:b/>
                <w:bCs/>
                <w:color w:val="auto"/>
                <w:sz w:val="24"/>
                <w:highlight w:val="none"/>
                <w:lang w:val="en-US" w:eastAsia="zh-CN"/>
              </w:rPr>
              <w:t>6</w:t>
            </w:r>
            <w:r>
              <w:rPr>
                <w:rFonts w:ascii="Times New Roman" w:hAnsi="Times New Roman" w:eastAsia="宋体"/>
                <w:b/>
                <w:bCs/>
                <w:color w:val="auto"/>
                <w:sz w:val="24"/>
                <w:highlight w:val="none"/>
                <w:lang w:val="zh-CN"/>
              </w:rPr>
              <w:t>年</w:t>
            </w:r>
            <w:r>
              <w:rPr>
                <w:rFonts w:hint="eastAsia"/>
                <w:b/>
                <w:bCs/>
                <w:color w:val="auto"/>
                <w:sz w:val="24"/>
                <w:highlight w:val="none"/>
                <w:lang w:val="en-US" w:eastAsia="zh-CN"/>
              </w:rPr>
              <w:t>4</w:t>
            </w:r>
            <w:r>
              <w:rPr>
                <w:rFonts w:ascii="Times New Roman" w:hAnsi="Times New Roman" w:eastAsia="宋体"/>
                <w:b/>
                <w:bCs/>
                <w:color w:val="auto"/>
                <w:sz w:val="24"/>
                <w:highlight w:val="none"/>
                <w:lang w:val="zh-CN"/>
              </w:rPr>
              <w:t>月</w:t>
            </w:r>
          </w:p>
        </w:tc>
      </w:tr>
    </w:tbl>
    <w:p w14:paraId="1F2D1637">
      <w:pPr>
        <w:rPr>
          <w:rFonts w:hint="eastAsia" w:ascii="宋体" w:eastAsia="宋体"/>
          <w:color w:val="auto"/>
          <w:highlight w:val="none"/>
          <w:lang w:eastAsia="zh-CN"/>
        </w:rPr>
        <w:sectPr>
          <w:pgSz w:w="11905" w:h="16838"/>
          <w:pgMar w:top="1417" w:right="1417" w:bottom="1417" w:left="1417" w:header="851" w:footer="1077" w:gutter="0"/>
          <w:pgBorders>
            <w:top w:val="none" w:sz="0" w:space="0"/>
            <w:left w:val="none" w:sz="0" w:space="0"/>
            <w:bottom w:val="none" w:sz="0" w:space="0"/>
            <w:right w:val="none" w:sz="0" w:space="0"/>
          </w:pgBorders>
          <w:pgNumType w:fmt="decimal"/>
          <w:cols w:space="0" w:num="1"/>
          <w:docGrid w:linePitch="312" w:charSpace="0"/>
        </w:sectPr>
      </w:pPr>
    </w:p>
    <w:p w14:paraId="67090E33">
      <w:pPr>
        <w:pStyle w:val="30"/>
        <w:adjustRightInd w:val="0"/>
        <w:snapToGrid w:val="0"/>
        <w:spacing w:before="0" w:beforeAutospacing="0" w:after="0" w:afterAutospacing="0"/>
        <w:outlineLvl w:val="0"/>
        <w:rPr>
          <w:rFonts w:ascii="黑体" w:hAnsi="黑体" w:eastAsia="黑体"/>
          <w:snapToGrid w:val="0"/>
          <w:color w:val="auto"/>
          <w:sz w:val="32"/>
          <w:szCs w:val="32"/>
          <w:highlight w:val="none"/>
        </w:rPr>
      </w:pPr>
      <w:r>
        <w:rPr>
          <w:rFonts w:hint="eastAsia" w:ascii="黑体" w:hAnsi="黑体" w:eastAsia="黑体"/>
          <w:snapToGrid w:val="0"/>
          <w:color w:val="auto"/>
          <w:sz w:val="32"/>
          <w:szCs w:val="32"/>
          <w:highlight w:val="none"/>
        </w:rPr>
        <w:t>附表</w:t>
      </w:r>
      <w:bookmarkEnd w:id="66"/>
      <w:bookmarkEnd w:id="67"/>
      <w:bookmarkEnd w:id="68"/>
      <w:bookmarkEnd w:id="69"/>
      <w:bookmarkEnd w:id="70"/>
    </w:p>
    <w:p w14:paraId="7800CB12">
      <w:pPr>
        <w:pStyle w:val="30"/>
        <w:adjustRightInd w:val="0"/>
        <w:snapToGrid w:val="0"/>
        <w:spacing w:before="0" w:beforeAutospacing="0" w:after="0" w:afterAutospacing="0"/>
        <w:jc w:val="center"/>
        <w:outlineLvl w:val="0"/>
        <w:rPr>
          <w:rFonts w:ascii="方正小标宋_GBK" w:hAnsi="黑体" w:eastAsia="方正小标宋_GBK"/>
          <w:snapToGrid w:val="0"/>
          <w:color w:val="auto"/>
          <w:sz w:val="32"/>
          <w:szCs w:val="32"/>
          <w:highlight w:val="none"/>
        </w:rPr>
      </w:pPr>
      <w:bookmarkStart w:id="79" w:name="_Toc3813"/>
      <w:bookmarkStart w:id="80" w:name="_Toc29555"/>
      <w:bookmarkStart w:id="81" w:name="_Toc27685"/>
      <w:bookmarkStart w:id="82" w:name="_Toc2648"/>
      <w:bookmarkStart w:id="83" w:name="_Toc297"/>
      <w:r>
        <w:rPr>
          <w:rFonts w:hint="eastAsia" w:ascii="方正小标宋_GBK" w:hAnsi="黑体" w:eastAsia="方正小标宋_GBK"/>
          <w:snapToGrid w:val="0"/>
          <w:color w:val="auto"/>
          <w:sz w:val="32"/>
          <w:szCs w:val="32"/>
          <w:highlight w:val="none"/>
        </w:rPr>
        <w:t>建设项目</w:t>
      </w:r>
      <w:r>
        <w:rPr>
          <w:rFonts w:hint="eastAsia" w:ascii="方正小标宋_GBK" w:hAnsi="黑体" w:eastAsia="方正小标宋_GBK"/>
          <w:b w:val="0"/>
          <w:bCs w:val="0"/>
          <w:snapToGrid w:val="0"/>
          <w:color w:val="auto"/>
          <w:sz w:val="32"/>
          <w:szCs w:val="32"/>
          <w:highlight w:val="none"/>
        </w:rPr>
        <w:t>污染物排放量汇总</w:t>
      </w:r>
      <w:r>
        <w:rPr>
          <w:rFonts w:hint="eastAsia" w:ascii="方正小标宋_GBK" w:hAnsi="黑体" w:eastAsia="方正小标宋_GBK"/>
          <w:snapToGrid w:val="0"/>
          <w:color w:val="auto"/>
          <w:sz w:val="32"/>
          <w:szCs w:val="32"/>
          <w:highlight w:val="none"/>
        </w:rPr>
        <w:t>表</w:t>
      </w:r>
      <w:bookmarkEnd w:id="79"/>
      <w:bookmarkEnd w:id="80"/>
      <w:bookmarkEnd w:id="81"/>
      <w:bookmarkEnd w:id="82"/>
      <w:bookmarkEnd w:id="83"/>
    </w:p>
    <w:tbl>
      <w:tblPr>
        <w:tblStyle w:val="34"/>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2"/>
        <w:gridCol w:w="2421"/>
        <w:gridCol w:w="1983"/>
        <w:gridCol w:w="1255"/>
        <w:gridCol w:w="1486"/>
        <w:gridCol w:w="1514"/>
        <w:gridCol w:w="1418"/>
        <w:gridCol w:w="1562"/>
        <w:gridCol w:w="1337"/>
      </w:tblGrid>
      <w:tr w14:paraId="190DEC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40" w:hRule="atLeast"/>
        </w:trPr>
        <w:tc>
          <w:tcPr>
            <w:tcW w:w="812" w:type="dxa"/>
            <w:tcBorders>
              <w:tl2br w:val="single" w:color="auto" w:sz="4" w:space="0"/>
            </w:tcBorders>
            <w:tcMar>
              <w:left w:w="28" w:type="dxa"/>
              <w:right w:w="28" w:type="dxa"/>
            </w:tcMar>
            <w:vAlign w:val="center"/>
          </w:tcPr>
          <w:p w14:paraId="44E2047A">
            <w:pPr>
              <w:pStyle w:val="51"/>
              <w:keepNext w:val="0"/>
              <w:keepLines w:val="0"/>
              <w:pageBreakBefore w:val="0"/>
              <w:kinsoku/>
              <w:wordWrap/>
              <w:overflowPunct/>
              <w:topLinePunct w:val="0"/>
              <w:autoSpaceDE/>
              <w:autoSpaceDN/>
              <w:bidi w:val="0"/>
              <w:spacing w:beforeLines="0" w:afterLines="0" w:line="240" w:lineRule="auto"/>
              <w:ind w:left="0"/>
              <w:rPr>
                <w:rFonts w:ascii="Times New Roman" w:hAnsi="Times New Roman" w:eastAsia="宋体"/>
                <w:snapToGrid w:val="0"/>
                <w:color w:val="auto"/>
                <w:spacing w:val="-6"/>
                <w:kern w:val="21"/>
                <w:sz w:val="21"/>
                <w:szCs w:val="21"/>
                <w:highlight w:val="none"/>
              </w:rPr>
            </w:pPr>
            <w:r>
              <w:rPr>
                <w:rFonts w:hint="eastAsia" w:ascii="Times New Roman"/>
                <w:snapToGrid w:val="0"/>
                <w:color w:val="auto"/>
                <w:spacing w:val="-6"/>
                <w:kern w:val="21"/>
                <w:sz w:val="21"/>
                <w:szCs w:val="21"/>
                <w:highlight w:val="none"/>
                <w:lang w:val="en-US" w:eastAsia="zh-CN"/>
              </w:rPr>
              <w:t xml:space="preserve">  </w:t>
            </w:r>
            <w:r>
              <w:rPr>
                <w:rFonts w:ascii="Times New Roman" w:hAnsi="Times New Roman" w:eastAsia="宋体"/>
                <w:snapToGrid w:val="0"/>
                <w:color w:val="auto"/>
                <w:spacing w:val="-6"/>
                <w:kern w:val="21"/>
                <w:sz w:val="21"/>
                <w:szCs w:val="21"/>
                <w:highlight w:val="none"/>
              </w:rPr>
              <w:t>项目</w:t>
            </w:r>
          </w:p>
          <w:p w14:paraId="239172E1">
            <w:pPr>
              <w:pStyle w:val="51"/>
              <w:keepNext w:val="0"/>
              <w:keepLines w:val="0"/>
              <w:pageBreakBefore w:val="0"/>
              <w:kinsoku/>
              <w:wordWrap/>
              <w:overflowPunct/>
              <w:topLinePunct w:val="0"/>
              <w:autoSpaceDE/>
              <w:autoSpaceDN/>
              <w:bidi w:val="0"/>
              <w:spacing w:beforeLines="0" w:afterLines="0" w:line="240" w:lineRule="auto"/>
              <w:ind w:left="0"/>
              <w:jc w:val="both"/>
              <w:rPr>
                <w:rFonts w:ascii="Times New Roman" w:hAnsi="Times New Roman" w:eastAsia="宋体"/>
                <w:snapToGrid w:val="0"/>
                <w:color w:val="auto"/>
                <w:spacing w:val="-6"/>
                <w:kern w:val="21"/>
                <w:sz w:val="21"/>
                <w:szCs w:val="21"/>
                <w:highlight w:val="none"/>
              </w:rPr>
            </w:pPr>
            <w:r>
              <w:rPr>
                <w:rFonts w:ascii="Times New Roman" w:hAnsi="Times New Roman" w:eastAsia="宋体"/>
                <w:snapToGrid w:val="0"/>
                <w:color w:val="auto"/>
                <w:spacing w:val="-6"/>
                <w:kern w:val="21"/>
                <w:sz w:val="21"/>
                <w:szCs w:val="21"/>
                <w:highlight w:val="none"/>
              </w:rPr>
              <w:t>分类</w:t>
            </w:r>
          </w:p>
        </w:tc>
        <w:tc>
          <w:tcPr>
            <w:tcW w:w="2421" w:type="dxa"/>
            <w:tcMar>
              <w:left w:w="28" w:type="dxa"/>
              <w:right w:w="28" w:type="dxa"/>
            </w:tcMar>
            <w:vAlign w:val="center"/>
          </w:tcPr>
          <w:p w14:paraId="2377E934">
            <w:pPr>
              <w:pStyle w:val="51"/>
              <w:keepNext w:val="0"/>
              <w:keepLines w:val="0"/>
              <w:pageBreakBefore w:val="0"/>
              <w:kinsoku/>
              <w:wordWrap/>
              <w:overflowPunct/>
              <w:topLinePunct w:val="0"/>
              <w:autoSpaceDE/>
              <w:autoSpaceDN/>
              <w:bidi w:val="0"/>
              <w:spacing w:beforeLines="0" w:afterLines="0" w:line="240" w:lineRule="auto"/>
              <w:ind w:left="0"/>
              <w:rPr>
                <w:rFonts w:ascii="Times New Roman" w:hAnsi="Times New Roman" w:eastAsia="宋体"/>
                <w:snapToGrid w:val="0"/>
                <w:color w:val="auto"/>
                <w:spacing w:val="-6"/>
                <w:kern w:val="21"/>
                <w:sz w:val="21"/>
                <w:szCs w:val="21"/>
                <w:highlight w:val="none"/>
              </w:rPr>
            </w:pPr>
            <w:r>
              <w:rPr>
                <w:rFonts w:ascii="Times New Roman" w:hAnsi="Times New Roman" w:eastAsia="宋体"/>
                <w:snapToGrid w:val="0"/>
                <w:color w:val="auto"/>
                <w:spacing w:val="-6"/>
                <w:kern w:val="21"/>
                <w:sz w:val="21"/>
                <w:szCs w:val="21"/>
                <w:highlight w:val="none"/>
              </w:rPr>
              <w:t>污染物名称</w:t>
            </w:r>
          </w:p>
        </w:tc>
        <w:tc>
          <w:tcPr>
            <w:tcW w:w="1983" w:type="dxa"/>
            <w:tcMar>
              <w:left w:w="28" w:type="dxa"/>
              <w:right w:w="28" w:type="dxa"/>
            </w:tcMar>
            <w:vAlign w:val="center"/>
          </w:tcPr>
          <w:p w14:paraId="431203FA">
            <w:pPr>
              <w:pStyle w:val="51"/>
              <w:keepNext w:val="0"/>
              <w:keepLines w:val="0"/>
              <w:pageBreakBefore w:val="0"/>
              <w:kinsoku/>
              <w:wordWrap/>
              <w:overflowPunct/>
              <w:topLinePunct w:val="0"/>
              <w:autoSpaceDE/>
              <w:autoSpaceDN/>
              <w:bidi w:val="0"/>
              <w:spacing w:beforeLines="0" w:afterLines="0" w:line="240" w:lineRule="auto"/>
              <w:ind w:left="0"/>
              <w:rPr>
                <w:rFonts w:ascii="Times New Roman" w:hAnsi="Times New Roman" w:eastAsia="宋体"/>
                <w:snapToGrid w:val="0"/>
                <w:color w:val="auto"/>
                <w:spacing w:val="-6"/>
                <w:kern w:val="21"/>
                <w:sz w:val="21"/>
                <w:szCs w:val="21"/>
                <w:highlight w:val="none"/>
              </w:rPr>
            </w:pPr>
            <w:r>
              <w:rPr>
                <w:rFonts w:ascii="Times New Roman" w:hAnsi="Times New Roman" w:eastAsia="宋体"/>
                <w:snapToGrid w:val="0"/>
                <w:color w:val="auto"/>
                <w:spacing w:val="-6"/>
                <w:kern w:val="21"/>
                <w:sz w:val="21"/>
                <w:szCs w:val="21"/>
                <w:highlight w:val="none"/>
              </w:rPr>
              <w:t>现有工程</w:t>
            </w:r>
          </w:p>
          <w:p w14:paraId="476AC260">
            <w:pPr>
              <w:pStyle w:val="51"/>
              <w:keepNext w:val="0"/>
              <w:keepLines w:val="0"/>
              <w:pageBreakBefore w:val="0"/>
              <w:kinsoku/>
              <w:wordWrap/>
              <w:overflowPunct/>
              <w:topLinePunct w:val="0"/>
              <w:autoSpaceDE/>
              <w:autoSpaceDN/>
              <w:bidi w:val="0"/>
              <w:spacing w:beforeLines="0" w:afterLines="0" w:line="240" w:lineRule="auto"/>
              <w:ind w:left="0"/>
              <w:rPr>
                <w:rFonts w:ascii="Times New Roman" w:hAnsi="Times New Roman" w:eastAsia="宋体"/>
                <w:snapToGrid w:val="0"/>
                <w:color w:val="auto"/>
                <w:spacing w:val="-6"/>
                <w:kern w:val="21"/>
                <w:sz w:val="21"/>
                <w:szCs w:val="21"/>
                <w:highlight w:val="none"/>
              </w:rPr>
            </w:pPr>
            <w:r>
              <w:rPr>
                <w:rFonts w:ascii="Times New Roman" w:hAnsi="Times New Roman" w:eastAsia="宋体"/>
                <w:snapToGrid w:val="0"/>
                <w:color w:val="auto"/>
                <w:spacing w:val="-6"/>
                <w:kern w:val="21"/>
                <w:sz w:val="21"/>
                <w:szCs w:val="21"/>
                <w:highlight w:val="none"/>
              </w:rPr>
              <w:t>排放量（固体废物产生量）</w:t>
            </w:r>
            <w:r>
              <w:rPr>
                <w:rFonts w:ascii="Times New Roman" w:hAnsi="Times New Roman" w:eastAsia="宋体"/>
                <w:snapToGrid w:val="0"/>
                <w:color w:val="auto"/>
                <w:spacing w:val="-6"/>
                <w:kern w:val="21"/>
                <w:sz w:val="21"/>
                <w:szCs w:val="21"/>
                <w:highlight w:val="none"/>
              </w:rPr>
              <w:fldChar w:fldCharType="begin"/>
            </w:r>
            <w:r>
              <w:rPr>
                <w:rFonts w:ascii="Times New Roman" w:hAnsi="Times New Roman" w:eastAsia="宋体"/>
                <w:snapToGrid w:val="0"/>
                <w:color w:val="auto"/>
                <w:spacing w:val="-6"/>
                <w:kern w:val="21"/>
                <w:sz w:val="21"/>
                <w:szCs w:val="21"/>
                <w:highlight w:val="none"/>
              </w:rPr>
              <w:instrText xml:space="preserve">=1\*GB3\*MERGEFORMAT</w:instrText>
            </w:r>
            <w:r>
              <w:rPr>
                <w:rFonts w:ascii="Times New Roman" w:hAnsi="Times New Roman" w:eastAsia="宋体"/>
                <w:snapToGrid w:val="0"/>
                <w:color w:val="auto"/>
                <w:spacing w:val="-6"/>
                <w:kern w:val="21"/>
                <w:sz w:val="21"/>
                <w:szCs w:val="21"/>
                <w:highlight w:val="none"/>
              </w:rPr>
              <w:fldChar w:fldCharType="separate"/>
            </w:r>
            <w:r>
              <w:rPr>
                <w:rFonts w:ascii="Times New Roman" w:hAnsi="Times New Roman" w:eastAsia="宋体"/>
                <w:color w:val="auto"/>
                <w:kern w:val="2"/>
                <w:sz w:val="21"/>
                <w:szCs w:val="21"/>
                <w:highlight w:val="none"/>
              </w:rPr>
              <w:t>①</w:t>
            </w:r>
            <w:r>
              <w:rPr>
                <w:rFonts w:ascii="Times New Roman" w:hAnsi="Times New Roman" w:eastAsia="宋体"/>
                <w:snapToGrid w:val="0"/>
                <w:color w:val="auto"/>
                <w:spacing w:val="-6"/>
                <w:kern w:val="21"/>
                <w:sz w:val="21"/>
                <w:szCs w:val="21"/>
                <w:highlight w:val="none"/>
              </w:rPr>
              <w:fldChar w:fldCharType="end"/>
            </w:r>
          </w:p>
        </w:tc>
        <w:tc>
          <w:tcPr>
            <w:tcW w:w="1255" w:type="dxa"/>
            <w:tcMar>
              <w:left w:w="28" w:type="dxa"/>
              <w:right w:w="28" w:type="dxa"/>
            </w:tcMar>
            <w:vAlign w:val="center"/>
          </w:tcPr>
          <w:p w14:paraId="2E15EDED">
            <w:pPr>
              <w:pStyle w:val="51"/>
              <w:keepNext w:val="0"/>
              <w:keepLines w:val="0"/>
              <w:pageBreakBefore w:val="0"/>
              <w:kinsoku/>
              <w:wordWrap/>
              <w:overflowPunct/>
              <w:topLinePunct w:val="0"/>
              <w:autoSpaceDE/>
              <w:autoSpaceDN/>
              <w:bidi w:val="0"/>
              <w:spacing w:beforeLines="0" w:afterLines="0" w:line="240" w:lineRule="auto"/>
              <w:ind w:left="0"/>
              <w:rPr>
                <w:rFonts w:ascii="Times New Roman" w:hAnsi="Times New Roman" w:eastAsia="宋体"/>
                <w:snapToGrid w:val="0"/>
                <w:color w:val="auto"/>
                <w:spacing w:val="-6"/>
                <w:kern w:val="21"/>
                <w:sz w:val="21"/>
                <w:szCs w:val="21"/>
                <w:highlight w:val="none"/>
              </w:rPr>
            </w:pPr>
            <w:r>
              <w:rPr>
                <w:rFonts w:ascii="Times New Roman" w:hAnsi="Times New Roman" w:eastAsia="宋体"/>
                <w:snapToGrid w:val="0"/>
                <w:color w:val="auto"/>
                <w:spacing w:val="-6"/>
                <w:kern w:val="21"/>
                <w:sz w:val="21"/>
                <w:szCs w:val="21"/>
                <w:highlight w:val="none"/>
              </w:rPr>
              <w:t>现有工程</w:t>
            </w:r>
          </w:p>
          <w:p w14:paraId="3977DA5A">
            <w:pPr>
              <w:pStyle w:val="51"/>
              <w:keepNext w:val="0"/>
              <w:keepLines w:val="0"/>
              <w:pageBreakBefore w:val="0"/>
              <w:kinsoku/>
              <w:wordWrap/>
              <w:overflowPunct/>
              <w:topLinePunct w:val="0"/>
              <w:autoSpaceDE/>
              <w:autoSpaceDN/>
              <w:bidi w:val="0"/>
              <w:spacing w:beforeLines="0" w:afterLines="0" w:line="240" w:lineRule="auto"/>
              <w:ind w:left="0"/>
              <w:rPr>
                <w:rFonts w:ascii="Times New Roman" w:hAnsi="Times New Roman" w:eastAsia="宋体"/>
                <w:snapToGrid w:val="0"/>
                <w:color w:val="auto"/>
                <w:spacing w:val="-6"/>
                <w:kern w:val="21"/>
                <w:sz w:val="21"/>
                <w:szCs w:val="21"/>
                <w:highlight w:val="none"/>
              </w:rPr>
            </w:pPr>
            <w:r>
              <w:rPr>
                <w:rFonts w:ascii="Times New Roman" w:hAnsi="Times New Roman" w:eastAsia="宋体"/>
                <w:snapToGrid w:val="0"/>
                <w:color w:val="auto"/>
                <w:spacing w:val="-6"/>
                <w:kern w:val="21"/>
                <w:sz w:val="21"/>
                <w:szCs w:val="21"/>
                <w:highlight w:val="none"/>
              </w:rPr>
              <w:t>许可排放量</w:t>
            </w:r>
          </w:p>
          <w:p w14:paraId="5BF9077A">
            <w:pPr>
              <w:pStyle w:val="51"/>
              <w:keepNext w:val="0"/>
              <w:keepLines w:val="0"/>
              <w:pageBreakBefore w:val="0"/>
              <w:kinsoku/>
              <w:wordWrap/>
              <w:overflowPunct/>
              <w:topLinePunct w:val="0"/>
              <w:autoSpaceDE/>
              <w:autoSpaceDN/>
              <w:bidi w:val="0"/>
              <w:spacing w:beforeLines="0" w:afterLines="0" w:line="240" w:lineRule="auto"/>
              <w:ind w:left="0"/>
              <w:rPr>
                <w:rFonts w:ascii="Times New Roman" w:hAnsi="Times New Roman" w:eastAsia="宋体"/>
                <w:snapToGrid w:val="0"/>
                <w:color w:val="auto"/>
                <w:spacing w:val="-6"/>
                <w:kern w:val="21"/>
                <w:sz w:val="21"/>
                <w:szCs w:val="21"/>
                <w:highlight w:val="none"/>
              </w:rPr>
            </w:pPr>
            <w:r>
              <w:rPr>
                <w:rFonts w:ascii="Times New Roman" w:hAnsi="Times New Roman" w:eastAsia="宋体"/>
                <w:snapToGrid w:val="0"/>
                <w:color w:val="auto"/>
                <w:spacing w:val="-6"/>
                <w:kern w:val="21"/>
                <w:sz w:val="21"/>
                <w:szCs w:val="21"/>
                <w:highlight w:val="none"/>
              </w:rPr>
              <w:fldChar w:fldCharType="begin"/>
            </w:r>
            <w:r>
              <w:rPr>
                <w:rFonts w:ascii="Times New Roman" w:hAnsi="Times New Roman" w:eastAsia="宋体"/>
                <w:snapToGrid w:val="0"/>
                <w:color w:val="auto"/>
                <w:spacing w:val="-6"/>
                <w:kern w:val="21"/>
                <w:sz w:val="21"/>
                <w:szCs w:val="21"/>
                <w:highlight w:val="none"/>
              </w:rPr>
              <w:instrText xml:space="preserve">=2\*GB3\*MERGEFORMAT</w:instrText>
            </w:r>
            <w:r>
              <w:rPr>
                <w:rFonts w:ascii="Times New Roman" w:hAnsi="Times New Roman" w:eastAsia="宋体"/>
                <w:snapToGrid w:val="0"/>
                <w:color w:val="auto"/>
                <w:spacing w:val="-6"/>
                <w:kern w:val="21"/>
                <w:sz w:val="21"/>
                <w:szCs w:val="21"/>
                <w:highlight w:val="none"/>
              </w:rPr>
              <w:fldChar w:fldCharType="separate"/>
            </w:r>
            <w:r>
              <w:rPr>
                <w:rFonts w:ascii="Times New Roman" w:hAnsi="Times New Roman" w:eastAsia="宋体"/>
                <w:snapToGrid w:val="0"/>
                <w:color w:val="auto"/>
                <w:spacing w:val="-6"/>
                <w:kern w:val="21"/>
                <w:sz w:val="21"/>
                <w:szCs w:val="21"/>
                <w:highlight w:val="none"/>
              </w:rPr>
              <w:t>②</w:t>
            </w:r>
            <w:r>
              <w:rPr>
                <w:rFonts w:ascii="Times New Roman" w:hAnsi="Times New Roman" w:eastAsia="宋体"/>
                <w:snapToGrid w:val="0"/>
                <w:color w:val="auto"/>
                <w:spacing w:val="-6"/>
                <w:kern w:val="21"/>
                <w:sz w:val="21"/>
                <w:szCs w:val="21"/>
                <w:highlight w:val="none"/>
              </w:rPr>
              <w:fldChar w:fldCharType="end"/>
            </w:r>
          </w:p>
        </w:tc>
        <w:tc>
          <w:tcPr>
            <w:tcW w:w="1486" w:type="dxa"/>
            <w:tcMar>
              <w:left w:w="28" w:type="dxa"/>
              <w:right w:w="28" w:type="dxa"/>
            </w:tcMar>
            <w:vAlign w:val="center"/>
          </w:tcPr>
          <w:p w14:paraId="41FDD007">
            <w:pPr>
              <w:pStyle w:val="51"/>
              <w:keepNext w:val="0"/>
              <w:keepLines w:val="0"/>
              <w:pageBreakBefore w:val="0"/>
              <w:kinsoku/>
              <w:wordWrap/>
              <w:overflowPunct/>
              <w:topLinePunct w:val="0"/>
              <w:autoSpaceDE/>
              <w:autoSpaceDN/>
              <w:bidi w:val="0"/>
              <w:spacing w:beforeLines="0" w:afterLines="0" w:line="240" w:lineRule="auto"/>
              <w:ind w:left="0"/>
              <w:rPr>
                <w:rFonts w:ascii="Times New Roman" w:hAnsi="Times New Roman" w:eastAsia="宋体"/>
                <w:snapToGrid w:val="0"/>
                <w:color w:val="auto"/>
                <w:spacing w:val="-6"/>
                <w:kern w:val="21"/>
                <w:sz w:val="21"/>
                <w:szCs w:val="21"/>
                <w:highlight w:val="none"/>
              </w:rPr>
            </w:pPr>
            <w:r>
              <w:rPr>
                <w:rFonts w:ascii="Times New Roman" w:hAnsi="Times New Roman" w:eastAsia="宋体"/>
                <w:snapToGrid w:val="0"/>
                <w:color w:val="auto"/>
                <w:spacing w:val="-6"/>
                <w:kern w:val="21"/>
                <w:sz w:val="21"/>
                <w:szCs w:val="21"/>
                <w:highlight w:val="none"/>
              </w:rPr>
              <w:t>在建工程</w:t>
            </w:r>
          </w:p>
          <w:p w14:paraId="26B3DAF8">
            <w:pPr>
              <w:pStyle w:val="51"/>
              <w:keepNext w:val="0"/>
              <w:keepLines w:val="0"/>
              <w:pageBreakBefore w:val="0"/>
              <w:kinsoku/>
              <w:wordWrap/>
              <w:overflowPunct/>
              <w:topLinePunct w:val="0"/>
              <w:autoSpaceDE/>
              <w:autoSpaceDN/>
              <w:bidi w:val="0"/>
              <w:spacing w:beforeLines="0" w:afterLines="0" w:line="240" w:lineRule="auto"/>
              <w:ind w:left="0"/>
              <w:rPr>
                <w:rFonts w:ascii="Times New Roman" w:hAnsi="Times New Roman" w:eastAsia="宋体"/>
                <w:snapToGrid w:val="0"/>
                <w:color w:val="auto"/>
                <w:spacing w:val="-6"/>
                <w:kern w:val="21"/>
                <w:sz w:val="21"/>
                <w:szCs w:val="21"/>
                <w:highlight w:val="none"/>
              </w:rPr>
            </w:pPr>
            <w:r>
              <w:rPr>
                <w:rFonts w:ascii="Times New Roman" w:hAnsi="Times New Roman" w:eastAsia="宋体"/>
                <w:snapToGrid w:val="0"/>
                <w:color w:val="auto"/>
                <w:spacing w:val="-6"/>
                <w:kern w:val="21"/>
                <w:sz w:val="21"/>
                <w:szCs w:val="21"/>
                <w:highlight w:val="none"/>
              </w:rPr>
              <w:t>排放量（固体废物产生量）</w:t>
            </w:r>
            <w:r>
              <w:rPr>
                <w:rFonts w:ascii="Times New Roman" w:hAnsi="Times New Roman" w:eastAsia="宋体"/>
                <w:snapToGrid w:val="0"/>
                <w:color w:val="auto"/>
                <w:spacing w:val="-6"/>
                <w:kern w:val="21"/>
                <w:sz w:val="21"/>
                <w:szCs w:val="21"/>
                <w:highlight w:val="none"/>
              </w:rPr>
              <w:fldChar w:fldCharType="begin"/>
            </w:r>
            <w:r>
              <w:rPr>
                <w:rFonts w:ascii="Times New Roman" w:hAnsi="Times New Roman" w:eastAsia="宋体"/>
                <w:snapToGrid w:val="0"/>
                <w:color w:val="auto"/>
                <w:spacing w:val="-6"/>
                <w:kern w:val="21"/>
                <w:sz w:val="21"/>
                <w:szCs w:val="21"/>
                <w:highlight w:val="none"/>
              </w:rPr>
              <w:instrText xml:space="preserve">=3\*GB3\*MERGEFORMAT</w:instrText>
            </w:r>
            <w:r>
              <w:rPr>
                <w:rFonts w:ascii="Times New Roman" w:hAnsi="Times New Roman" w:eastAsia="宋体"/>
                <w:snapToGrid w:val="0"/>
                <w:color w:val="auto"/>
                <w:spacing w:val="-6"/>
                <w:kern w:val="21"/>
                <w:sz w:val="21"/>
                <w:szCs w:val="21"/>
                <w:highlight w:val="none"/>
              </w:rPr>
              <w:fldChar w:fldCharType="separate"/>
            </w:r>
            <w:r>
              <w:rPr>
                <w:rFonts w:ascii="Times New Roman" w:hAnsi="Times New Roman" w:eastAsia="宋体"/>
                <w:color w:val="auto"/>
                <w:kern w:val="2"/>
                <w:sz w:val="21"/>
                <w:szCs w:val="21"/>
                <w:highlight w:val="none"/>
              </w:rPr>
              <w:t>③</w:t>
            </w:r>
            <w:r>
              <w:rPr>
                <w:rFonts w:ascii="Times New Roman" w:hAnsi="Times New Roman" w:eastAsia="宋体"/>
                <w:snapToGrid w:val="0"/>
                <w:color w:val="auto"/>
                <w:spacing w:val="-6"/>
                <w:kern w:val="21"/>
                <w:sz w:val="21"/>
                <w:szCs w:val="21"/>
                <w:highlight w:val="none"/>
              </w:rPr>
              <w:fldChar w:fldCharType="end"/>
            </w:r>
          </w:p>
        </w:tc>
        <w:tc>
          <w:tcPr>
            <w:tcW w:w="1514" w:type="dxa"/>
            <w:tcMar>
              <w:left w:w="28" w:type="dxa"/>
              <w:right w:w="28" w:type="dxa"/>
            </w:tcMar>
            <w:vAlign w:val="center"/>
          </w:tcPr>
          <w:p w14:paraId="374A0508">
            <w:pPr>
              <w:pStyle w:val="51"/>
              <w:keepNext w:val="0"/>
              <w:keepLines w:val="0"/>
              <w:pageBreakBefore w:val="0"/>
              <w:kinsoku/>
              <w:wordWrap/>
              <w:overflowPunct/>
              <w:topLinePunct w:val="0"/>
              <w:autoSpaceDE/>
              <w:autoSpaceDN/>
              <w:bidi w:val="0"/>
              <w:spacing w:beforeLines="0" w:afterLines="0" w:line="240" w:lineRule="auto"/>
              <w:ind w:left="0"/>
              <w:rPr>
                <w:rFonts w:ascii="Times New Roman" w:hAnsi="Times New Roman" w:eastAsia="宋体"/>
                <w:snapToGrid w:val="0"/>
                <w:color w:val="auto"/>
                <w:spacing w:val="-6"/>
                <w:kern w:val="21"/>
                <w:sz w:val="21"/>
                <w:szCs w:val="21"/>
                <w:highlight w:val="none"/>
              </w:rPr>
            </w:pPr>
            <w:r>
              <w:rPr>
                <w:rFonts w:ascii="Times New Roman" w:hAnsi="Times New Roman" w:eastAsia="宋体"/>
                <w:snapToGrid w:val="0"/>
                <w:color w:val="auto"/>
                <w:spacing w:val="-6"/>
                <w:kern w:val="21"/>
                <w:sz w:val="21"/>
                <w:szCs w:val="21"/>
                <w:highlight w:val="none"/>
              </w:rPr>
              <w:t>本项目</w:t>
            </w:r>
          </w:p>
          <w:p w14:paraId="6E161512">
            <w:pPr>
              <w:pStyle w:val="51"/>
              <w:keepNext w:val="0"/>
              <w:keepLines w:val="0"/>
              <w:pageBreakBefore w:val="0"/>
              <w:kinsoku/>
              <w:wordWrap/>
              <w:overflowPunct/>
              <w:topLinePunct w:val="0"/>
              <w:autoSpaceDE/>
              <w:autoSpaceDN/>
              <w:bidi w:val="0"/>
              <w:spacing w:beforeLines="0" w:afterLines="0" w:line="240" w:lineRule="auto"/>
              <w:ind w:left="0"/>
              <w:rPr>
                <w:rFonts w:ascii="Times New Roman" w:hAnsi="Times New Roman" w:eastAsia="宋体"/>
                <w:snapToGrid w:val="0"/>
                <w:color w:val="auto"/>
                <w:spacing w:val="-6"/>
                <w:kern w:val="21"/>
                <w:sz w:val="21"/>
                <w:szCs w:val="21"/>
                <w:highlight w:val="none"/>
              </w:rPr>
            </w:pPr>
            <w:r>
              <w:rPr>
                <w:rFonts w:ascii="Times New Roman" w:hAnsi="Times New Roman" w:eastAsia="宋体"/>
                <w:snapToGrid w:val="0"/>
                <w:color w:val="auto"/>
                <w:spacing w:val="-6"/>
                <w:kern w:val="21"/>
                <w:sz w:val="21"/>
                <w:szCs w:val="21"/>
                <w:highlight w:val="none"/>
              </w:rPr>
              <w:t>排放量（固体废物产生量）</w:t>
            </w:r>
            <w:r>
              <w:rPr>
                <w:rFonts w:ascii="Times New Roman" w:hAnsi="Times New Roman" w:eastAsia="宋体"/>
                <w:snapToGrid w:val="0"/>
                <w:color w:val="auto"/>
                <w:spacing w:val="-6"/>
                <w:kern w:val="21"/>
                <w:sz w:val="21"/>
                <w:szCs w:val="21"/>
                <w:highlight w:val="none"/>
              </w:rPr>
              <w:fldChar w:fldCharType="begin"/>
            </w:r>
            <w:r>
              <w:rPr>
                <w:rFonts w:ascii="Times New Roman" w:hAnsi="Times New Roman" w:eastAsia="宋体"/>
                <w:snapToGrid w:val="0"/>
                <w:color w:val="auto"/>
                <w:spacing w:val="-6"/>
                <w:kern w:val="21"/>
                <w:sz w:val="21"/>
                <w:szCs w:val="21"/>
                <w:highlight w:val="none"/>
              </w:rPr>
              <w:instrText xml:space="preserve">=4\*GB3\*MERGEFORMAT</w:instrText>
            </w:r>
            <w:r>
              <w:rPr>
                <w:rFonts w:ascii="Times New Roman" w:hAnsi="Times New Roman" w:eastAsia="宋体"/>
                <w:snapToGrid w:val="0"/>
                <w:color w:val="auto"/>
                <w:spacing w:val="-6"/>
                <w:kern w:val="21"/>
                <w:sz w:val="21"/>
                <w:szCs w:val="21"/>
                <w:highlight w:val="none"/>
              </w:rPr>
              <w:fldChar w:fldCharType="separate"/>
            </w:r>
            <w:r>
              <w:rPr>
                <w:rFonts w:ascii="Times New Roman" w:hAnsi="Times New Roman" w:eastAsia="宋体"/>
                <w:color w:val="auto"/>
                <w:kern w:val="2"/>
                <w:sz w:val="21"/>
                <w:szCs w:val="21"/>
                <w:highlight w:val="none"/>
              </w:rPr>
              <w:t>④</w:t>
            </w:r>
            <w:r>
              <w:rPr>
                <w:rFonts w:ascii="Times New Roman" w:hAnsi="Times New Roman" w:eastAsia="宋体"/>
                <w:snapToGrid w:val="0"/>
                <w:color w:val="auto"/>
                <w:spacing w:val="-6"/>
                <w:kern w:val="21"/>
                <w:sz w:val="21"/>
                <w:szCs w:val="21"/>
                <w:highlight w:val="none"/>
              </w:rPr>
              <w:fldChar w:fldCharType="end"/>
            </w:r>
          </w:p>
        </w:tc>
        <w:tc>
          <w:tcPr>
            <w:tcW w:w="1418" w:type="dxa"/>
            <w:tcMar>
              <w:left w:w="28" w:type="dxa"/>
              <w:right w:w="28" w:type="dxa"/>
            </w:tcMar>
            <w:vAlign w:val="center"/>
          </w:tcPr>
          <w:p w14:paraId="0C7B78DA">
            <w:pPr>
              <w:pStyle w:val="51"/>
              <w:keepNext w:val="0"/>
              <w:keepLines w:val="0"/>
              <w:pageBreakBefore w:val="0"/>
              <w:kinsoku/>
              <w:wordWrap/>
              <w:overflowPunct/>
              <w:topLinePunct w:val="0"/>
              <w:autoSpaceDE/>
              <w:autoSpaceDN/>
              <w:bidi w:val="0"/>
              <w:spacing w:beforeLines="0" w:afterLines="0" w:line="240" w:lineRule="auto"/>
              <w:ind w:left="0"/>
              <w:rPr>
                <w:rFonts w:ascii="Times New Roman" w:hAnsi="Times New Roman" w:eastAsia="宋体"/>
                <w:snapToGrid w:val="0"/>
                <w:color w:val="auto"/>
                <w:spacing w:val="-16"/>
                <w:kern w:val="21"/>
                <w:sz w:val="21"/>
                <w:szCs w:val="21"/>
                <w:highlight w:val="none"/>
              </w:rPr>
            </w:pPr>
            <w:r>
              <w:rPr>
                <w:rFonts w:ascii="Times New Roman" w:hAnsi="Times New Roman" w:eastAsia="宋体"/>
                <w:snapToGrid w:val="0"/>
                <w:color w:val="auto"/>
                <w:spacing w:val="-16"/>
                <w:kern w:val="21"/>
                <w:sz w:val="21"/>
                <w:szCs w:val="21"/>
                <w:highlight w:val="none"/>
              </w:rPr>
              <w:t>以新带老削减量</w:t>
            </w:r>
          </w:p>
          <w:p w14:paraId="7EA67DEB">
            <w:pPr>
              <w:pStyle w:val="51"/>
              <w:keepNext w:val="0"/>
              <w:keepLines w:val="0"/>
              <w:pageBreakBefore w:val="0"/>
              <w:kinsoku/>
              <w:wordWrap/>
              <w:overflowPunct/>
              <w:topLinePunct w:val="0"/>
              <w:autoSpaceDE/>
              <w:autoSpaceDN/>
              <w:bidi w:val="0"/>
              <w:spacing w:beforeLines="0" w:afterLines="0" w:line="240" w:lineRule="auto"/>
              <w:ind w:left="0"/>
              <w:rPr>
                <w:rFonts w:ascii="Times New Roman" w:hAnsi="Times New Roman" w:eastAsia="宋体"/>
                <w:snapToGrid w:val="0"/>
                <w:color w:val="auto"/>
                <w:spacing w:val="-16"/>
                <w:kern w:val="21"/>
                <w:sz w:val="21"/>
                <w:szCs w:val="21"/>
                <w:highlight w:val="none"/>
              </w:rPr>
            </w:pPr>
            <w:r>
              <w:rPr>
                <w:rFonts w:ascii="Times New Roman" w:hAnsi="Times New Roman" w:eastAsia="宋体"/>
                <w:snapToGrid w:val="0"/>
                <w:color w:val="auto"/>
                <w:spacing w:val="-16"/>
                <w:kern w:val="21"/>
                <w:sz w:val="21"/>
                <w:szCs w:val="21"/>
                <w:highlight w:val="none"/>
              </w:rPr>
              <w:t>（新建项目不填）</w:t>
            </w:r>
            <w:r>
              <w:rPr>
                <w:rFonts w:ascii="Times New Roman" w:hAnsi="Times New Roman" w:eastAsia="宋体"/>
                <w:snapToGrid w:val="0"/>
                <w:color w:val="auto"/>
                <w:spacing w:val="-16"/>
                <w:kern w:val="21"/>
                <w:sz w:val="21"/>
                <w:szCs w:val="21"/>
                <w:highlight w:val="none"/>
              </w:rPr>
              <w:fldChar w:fldCharType="begin"/>
            </w:r>
            <w:r>
              <w:rPr>
                <w:rFonts w:ascii="Times New Roman" w:hAnsi="Times New Roman" w:eastAsia="宋体"/>
                <w:snapToGrid w:val="0"/>
                <w:color w:val="auto"/>
                <w:spacing w:val="-16"/>
                <w:kern w:val="21"/>
                <w:sz w:val="21"/>
                <w:szCs w:val="21"/>
                <w:highlight w:val="none"/>
              </w:rPr>
              <w:instrText xml:space="preserve">=5\*GB3\*MERGEFORMAT</w:instrText>
            </w:r>
            <w:r>
              <w:rPr>
                <w:rFonts w:ascii="Times New Roman" w:hAnsi="Times New Roman" w:eastAsia="宋体"/>
                <w:snapToGrid w:val="0"/>
                <w:color w:val="auto"/>
                <w:spacing w:val="-16"/>
                <w:kern w:val="21"/>
                <w:sz w:val="21"/>
                <w:szCs w:val="21"/>
                <w:highlight w:val="none"/>
              </w:rPr>
              <w:fldChar w:fldCharType="separate"/>
            </w:r>
            <w:r>
              <w:rPr>
                <w:rFonts w:ascii="Times New Roman" w:hAnsi="Times New Roman" w:eastAsia="宋体"/>
                <w:color w:val="auto"/>
                <w:kern w:val="2"/>
                <w:sz w:val="21"/>
                <w:szCs w:val="21"/>
                <w:highlight w:val="none"/>
              </w:rPr>
              <w:t>⑤</w:t>
            </w:r>
            <w:r>
              <w:rPr>
                <w:rFonts w:ascii="Times New Roman" w:hAnsi="Times New Roman" w:eastAsia="宋体"/>
                <w:snapToGrid w:val="0"/>
                <w:color w:val="auto"/>
                <w:spacing w:val="-16"/>
                <w:kern w:val="21"/>
                <w:sz w:val="21"/>
                <w:szCs w:val="21"/>
                <w:highlight w:val="none"/>
              </w:rPr>
              <w:fldChar w:fldCharType="end"/>
            </w:r>
          </w:p>
        </w:tc>
        <w:tc>
          <w:tcPr>
            <w:tcW w:w="1562" w:type="dxa"/>
            <w:tcMar>
              <w:left w:w="28" w:type="dxa"/>
              <w:right w:w="28" w:type="dxa"/>
            </w:tcMar>
            <w:vAlign w:val="center"/>
          </w:tcPr>
          <w:p w14:paraId="2E3C04DD">
            <w:pPr>
              <w:pStyle w:val="51"/>
              <w:keepNext w:val="0"/>
              <w:keepLines w:val="0"/>
              <w:pageBreakBefore w:val="0"/>
              <w:kinsoku/>
              <w:wordWrap/>
              <w:overflowPunct/>
              <w:topLinePunct w:val="0"/>
              <w:autoSpaceDE/>
              <w:autoSpaceDN/>
              <w:bidi w:val="0"/>
              <w:spacing w:beforeLines="0" w:afterLines="0" w:line="240" w:lineRule="auto"/>
              <w:ind w:left="0"/>
              <w:rPr>
                <w:rFonts w:ascii="Times New Roman" w:hAnsi="Times New Roman" w:eastAsia="宋体"/>
                <w:snapToGrid w:val="0"/>
                <w:color w:val="auto"/>
                <w:spacing w:val="-16"/>
                <w:kern w:val="21"/>
                <w:sz w:val="21"/>
                <w:szCs w:val="21"/>
                <w:highlight w:val="none"/>
              </w:rPr>
            </w:pPr>
            <w:r>
              <w:rPr>
                <w:rFonts w:ascii="Times New Roman" w:hAnsi="Times New Roman" w:eastAsia="宋体"/>
                <w:snapToGrid w:val="0"/>
                <w:color w:val="auto"/>
                <w:spacing w:val="-16"/>
                <w:kern w:val="21"/>
                <w:sz w:val="21"/>
                <w:szCs w:val="21"/>
                <w:highlight w:val="none"/>
              </w:rPr>
              <w:t>本项目建成后</w:t>
            </w:r>
          </w:p>
          <w:p w14:paraId="216CA51A">
            <w:pPr>
              <w:pStyle w:val="51"/>
              <w:keepNext w:val="0"/>
              <w:keepLines w:val="0"/>
              <w:pageBreakBefore w:val="0"/>
              <w:kinsoku/>
              <w:wordWrap/>
              <w:overflowPunct/>
              <w:topLinePunct w:val="0"/>
              <w:autoSpaceDE/>
              <w:autoSpaceDN/>
              <w:bidi w:val="0"/>
              <w:spacing w:beforeLines="0" w:afterLines="0" w:line="240" w:lineRule="auto"/>
              <w:ind w:left="0"/>
              <w:rPr>
                <w:rFonts w:ascii="Times New Roman" w:hAnsi="Times New Roman" w:eastAsia="宋体"/>
                <w:snapToGrid w:val="0"/>
                <w:color w:val="auto"/>
                <w:spacing w:val="-16"/>
                <w:kern w:val="21"/>
                <w:sz w:val="21"/>
                <w:szCs w:val="21"/>
                <w:highlight w:val="none"/>
              </w:rPr>
            </w:pPr>
            <w:r>
              <w:rPr>
                <w:rFonts w:ascii="Times New Roman" w:hAnsi="Times New Roman" w:eastAsia="宋体"/>
                <w:snapToGrid w:val="0"/>
                <w:color w:val="auto"/>
                <w:spacing w:val="-16"/>
                <w:kern w:val="21"/>
                <w:sz w:val="21"/>
                <w:szCs w:val="21"/>
                <w:highlight w:val="none"/>
              </w:rPr>
              <w:t>全厂排放量（固体废物产生量）</w:t>
            </w:r>
            <w:r>
              <w:rPr>
                <w:rFonts w:ascii="Times New Roman" w:hAnsi="Times New Roman" w:eastAsia="宋体"/>
                <w:snapToGrid w:val="0"/>
                <w:color w:val="auto"/>
                <w:spacing w:val="-16"/>
                <w:kern w:val="21"/>
                <w:sz w:val="21"/>
                <w:szCs w:val="21"/>
                <w:highlight w:val="none"/>
              </w:rPr>
              <w:fldChar w:fldCharType="begin"/>
            </w:r>
            <w:r>
              <w:rPr>
                <w:rFonts w:ascii="Times New Roman" w:hAnsi="Times New Roman" w:eastAsia="宋体"/>
                <w:snapToGrid w:val="0"/>
                <w:color w:val="auto"/>
                <w:spacing w:val="-16"/>
                <w:kern w:val="21"/>
                <w:sz w:val="21"/>
                <w:szCs w:val="21"/>
                <w:highlight w:val="none"/>
              </w:rPr>
              <w:instrText xml:space="preserve">=6\*GB3\*MERGEFORMAT</w:instrText>
            </w:r>
            <w:r>
              <w:rPr>
                <w:rFonts w:ascii="Times New Roman" w:hAnsi="Times New Roman" w:eastAsia="宋体"/>
                <w:snapToGrid w:val="0"/>
                <w:color w:val="auto"/>
                <w:spacing w:val="-16"/>
                <w:kern w:val="21"/>
                <w:sz w:val="21"/>
                <w:szCs w:val="21"/>
                <w:highlight w:val="none"/>
              </w:rPr>
              <w:fldChar w:fldCharType="separate"/>
            </w:r>
            <w:r>
              <w:rPr>
                <w:rFonts w:ascii="Times New Roman" w:hAnsi="Times New Roman" w:eastAsia="宋体"/>
                <w:color w:val="auto"/>
                <w:kern w:val="2"/>
                <w:sz w:val="21"/>
                <w:szCs w:val="21"/>
                <w:highlight w:val="none"/>
              </w:rPr>
              <w:t>⑥</w:t>
            </w:r>
            <w:r>
              <w:rPr>
                <w:rFonts w:ascii="Times New Roman" w:hAnsi="Times New Roman" w:eastAsia="宋体"/>
                <w:snapToGrid w:val="0"/>
                <w:color w:val="auto"/>
                <w:spacing w:val="-16"/>
                <w:kern w:val="21"/>
                <w:sz w:val="21"/>
                <w:szCs w:val="21"/>
                <w:highlight w:val="none"/>
              </w:rPr>
              <w:fldChar w:fldCharType="end"/>
            </w:r>
          </w:p>
        </w:tc>
        <w:tc>
          <w:tcPr>
            <w:tcW w:w="1337" w:type="dxa"/>
            <w:tcMar>
              <w:left w:w="28" w:type="dxa"/>
              <w:right w:w="28" w:type="dxa"/>
            </w:tcMar>
            <w:vAlign w:val="center"/>
          </w:tcPr>
          <w:p w14:paraId="62988713">
            <w:pPr>
              <w:pStyle w:val="51"/>
              <w:keepNext w:val="0"/>
              <w:keepLines w:val="0"/>
              <w:pageBreakBefore w:val="0"/>
              <w:kinsoku/>
              <w:wordWrap/>
              <w:overflowPunct/>
              <w:topLinePunct w:val="0"/>
              <w:autoSpaceDE/>
              <w:autoSpaceDN/>
              <w:bidi w:val="0"/>
              <w:spacing w:beforeLines="0" w:afterLines="0" w:line="240" w:lineRule="auto"/>
              <w:ind w:left="0"/>
              <w:rPr>
                <w:rFonts w:ascii="Times New Roman" w:hAnsi="Times New Roman" w:eastAsia="宋体"/>
                <w:snapToGrid w:val="0"/>
                <w:color w:val="auto"/>
                <w:spacing w:val="-6"/>
                <w:kern w:val="21"/>
                <w:sz w:val="21"/>
                <w:szCs w:val="21"/>
                <w:highlight w:val="none"/>
              </w:rPr>
            </w:pPr>
            <w:r>
              <w:rPr>
                <w:rFonts w:ascii="Times New Roman" w:hAnsi="Times New Roman" w:eastAsia="宋体"/>
                <w:snapToGrid w:val="0"/>
                <w:color w:val="auto"/>
                <w:spacing w:val="-6"/>
                <w:kern w:val="21"/>
                <w:sz w:val="21"/>
                <w:szCs w:val="21"/>
                <w:highlight w:val="none"/>
              </w:rPr>
              <w:t>变化量</w:t>
            </w:r>
          </w:p>
          <w:p w14:paraId="055BA241">
            <w:pPr>
              <w:pStyle w:val="51"/>
              <w:keepNext w:val="0"/>
              <w:keepLines w:val="0"/>
              <w:pageBreakBefore w:val="0"/>
              <w:kinsoku/>
              <w:wordWrap/>
              <w:overflowPunct/>
              <w:topLinePunct w:val="0"/>
              <w:autoSpaceDE/>
              <w:autoSpaceDN/>
              <w:bidi w:val="0"/>
              <w:spacing w:beforeLines="0" w:afterLines="0" w:line="240" w:lineRule="auto"/>
              <w:ind w:left="0"/>
              <w:rPr>
                <w:rFonts w:ascii="Times New Roman" w:hAnsi="Times New Roman" w:eastAsia="宋体"/>
                <w:snapToGrid w:val="0"/>
                <w:color w:val="auto"/>
                <w:spacing w:val="-6"/>
                <w:kern w:val="21"/>
                <w:sz w:val="21"/>
                <w:szCs w:val="21"/>
                <w:highlight w:val="none"/>
              </w:rPr>
            </w:pPr>
            <w:r>
              <w:rPr>
                <w:rFonts w:ascii="Times New Roman" w:hAnsi="Times New Roman" w:eastAsia="宋体"/>
                <w:snapToGrid w:val="0"/>
                <w:color w:val="auto"/>
                <w:spacing w:val="-6"/>
                <w:kern w:val="21"/>
                <w:sz w:val="21"/>
                <w:szCs w:val="21"/>
                <w:highlight w:val="none"/>
              </w:rPr>
              <w:fldChar w:fldCharType="begin"/>
            </w:r>
            <w:r>
              <w:rPr>
                <w:rFonts w:ascii="Times New Roman" w:hAnsi="Times New Roman" w:eastAsia="宋体"/>
                <w:snapToGrid w:val="0"/>
                <w:color w:val="auto"/>
                <w:spacing w:val="-6"/>
                <w:kern w:val="21"/>
                <w:sz w:val="21"/>
                <w:szCs w:val="21"/>
                <w:highlight w:val="none"/>
              </w:rPr>
              <w:instrText xml:space="preserve">=7\*GB3\*MERGEFORMAT</w:instrText>
            </w:r>
            <w:r>
              <w:rPr>
                <w:rFonts w:ascii="Times New Roman" w:hAnsi="Times New Roman" w:eastAsia="宋体"/>
                <w:snapToGrid w:val="0"/>
                <w:color w:val="auto"/>
                <w:spacing w:val="-6"/>
                <w:kern w:val="21"/>
                <w:sz w:val="21"/>
                <w:szCs w:val="21"/>
                <w:highlight w:val="none"/>
              </w:rPr>
              <w:fldChar w:fldCharType="separate"/>
            </w:r>
            <w:r>
              <w:rPr>
                <w:rFonts w:ascii="Times New Roman" w:hAnsi="Times New Roman" w:eastAsia="宋体"/>
                <w:color w:val="auto"/>
                <w:kern w:val="2"/>
                <w:sz w:val="21"/>
                <w:szCs w:val="21"/>
                <w:highlight w:val="none"/>
              </w:rPr>
              <w:t>⑦</w:t>
            </w:r>
            <w:r>
              <w:rPr>
                <w:rFonts w:ascii="Times New Roman" w:hAnsi="Times New Roman" w:eastAsia="宋体"/>
                <w:snapToGrid w:val="0"/>
                <w:color w:val="auto"/>
                <w:spacing w:val="-6"/>
                <w:kern w:val="21"/>
                <w:sz w:val="21"/>
                <w:szCs w:val="21"/>
                <w:highlight w:val="none"/>
              </w:rPr>
              <w:fldChar w:fldCharType="end"/>
            </w:r>
          </w:p>
        </w:tc>
      </w:tr>
      <w:tr w14:paraId="6DCE5F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5" w:hRule="exact"/>
        </w:trPr>
        <w:tc>
          <w:tcPr>
            <w:tcW w:w="812" w:type="dxa"/>
            <w:vMerge w:val="restart"/>
            <w:shd w:val="clear" w:color="auto" w:fill="auto"/>
            <w:vAlign w:val="center"/>
          </w:tcPr>
          <w:p w14:paraId="3252A8F6">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宋体" w:cs="宋体"/>
                <w:color w:val="000000" w:themeColor="text1"/>
                <w:spacing w:val="7"/>
                <w:sz w:val="21"/>
                <w14:textFill>
                  <w14:solidFill>
                    <w14:schemeClr w14:val="tx1"/>
                  </w14:solidFill>
                </w14:textFill>
              </w:rPr>
            </w:pPr>
            <w:r>
              <w:rPr>
                <w:rFonts w:ascii="Times New Roman" w:hAnsi="Times New Roman" w:eastAsia="宋体" w:cs="宋体"/>
                <w:color w:val="000000" w:themeColor="text1"/>
                <w:spacing w:val="7"/>
                <w:sz w:val="21"/>
                <w14:textFill>
                  <w14:solidFill>
                    <w14:schemeClr w14:val="tx1"/>
                  </w14:solidFill>
                </w14:textFill>
              </w:rPr>
              <w:t>废气</w:t>
            </w:r>
          </w:p>
        </w:tc>
        <w:tc>
          <w:tcPr>
            <w:tcW w:w="2421" w:type="dxa"/>
            <w:shd w:val="clear" w:color="auto" w:fill="auto"/>
            <w:vAlign w:val="center"/>
          </w:tcPr>
          <w:p w14:paraId="14F102F2">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宋体" w:cs="宋体"/>
                <w:color w:val="000000" w:themeColor="text1"/>
                <w:spacing w:val="7"/>
                <w:kern w:val="2"/>
                <w:sz w:val="21"/>
                <w:szCs w:val="24"/>
                <w:lang w:val="en-US" w:eastAsia="zh-CN" w:bidi="ar-SA"/>
                <w14:textFill>
                  <w14:solidFill>
                    <w14:schemeClr w14:val="tx1"/>
                  </w14:solidFill>
                </w14:textFill>
              </w:rPr>
            </w:pPr>
            <w:r>
              <w:rPr>
                <w:rFonts w:ascii="Times New Roman" w:hAnsi="Times New Roman" w:eastAsia="宋体" w:cs="宋体"/>
                <w:color w:val="000000" w:themeColor="text1"/>
                <w:spacing w:val="7"/>
                <w:sz w:val="21"/>
                <w14:textFill>
                  <w14:solidFill>
                    <w14:schemeClr w14:val="tx1"/>
                  </w14:solidFill>
                </w14:textFill>
              </w:rPr>
              <w:t>氨</w:t>
            </w:r>
          </w:p>
        </w:tc>
        <w:tc>
          <w:tcPr>
            <w:tcW w:w="1983" w:type="dxa"/>
            <w:vAlign w:val="center"/>
          </w:tcPr>
          <w:p w14:paraId="2E7D6E91">
            <w:pPr>
              <w:keepNext w:val="0"/>
              <w:keepLines w:val="0"/>
              <w:pageBreakBefore w:val="0"/>
              <w:widowControl/>
              <w:kinsoku/>
              <w:wordWrap/>
              <w:overflowPunct/>
              <w:topLinePunct w:val="0"/>
              <w:autoSpaceDE/>
              <w:autoSpaceDN/>
              <w:bidi w:val="0"/>
              <w:spacing w:line="240" w:lineRule="auto"/>
              <w:ind w:left="0"/>
              <w:jc w:val="center"/>
              <w:textAlignment w:val="bottom"/>
              <w:rPr>
                <w:rFonts w:ascii="Times New Roman" w:hAnsi="Times New Roman" w:eastAsia="宋体"/>
                <w:snapToGrid w:val="0"/>
                <w:color w:val="000000" w:themeColor="text1"/>
                <w:kern w:val="21"/>
                <w:sz w:val="21"/>
                <w:szCs w:val="21"/>
                <w:highlight w:val="none"/>
                <w14:textFill>
                  <w14:solidFill>
                    <w14:schemeClr w14:val="tx1"/>
                  </w14:solidFill>
                </w14:textFill>
              </w:rPr>
            </w:pPr>
            <w:r>
              <w:rPr>
                <w:rFonts w:hint="eastAsia" w:ascii="Times New Roman" w:hAnsi="Times New Roman" w:eastAsia="宋体"/>
                <w:color w:val="000000" w:themeColor="text1"/>
                <w:kern w:val="0"/>
                <w:sz w:val="21"/>
                <w:szCs w:val="21"/>
                <w:highlight w:val="none"/>
                <w:lang w:val="en-US" w:eastAsia="zh-CN" w:bidi="ar"/>
                <w14:textFill>
                  <w14:solidFill>
                    <w14:schemeClr w14:val="tx1"/>
                  </w14:solidFill>
                </w14:textFill>
              </w:rPr>
              <w:t>/</w:t>
            </w:r>
          </w:p>
        </w:tc>
        <w:tc>
          <w:tcPr>
            <w:tcW w:w="1255" w:type="dxa"/>
            <w:vAlign w:val="center"/>
          </w:tcPr>
          <w:p w14:paraId="4F958EB0">
            <w:pPr>
              <w:keepNext w:val="0"/>
              <w:keepLines w:val="0"/>
              <w:pageBreakBefore w:val="0"/>
              <w:widowControl/>
              <w:kinsoku/>
              <w:wordWrap/>
              <w:overflowPunct/>
              <w:topLinePunct w:val="0"/>
              <w:autoSpaceDE/>
              <w:autoSpaceDN/>
              <w:bidi w:val="0"/>
              <w:spacing w:line="240" w:lineRule="auto"/>
              <w:ind w:left="0"/>
              <w:jc w:val="center"/>
              <w:textAlignment w:val="bottom"/>
              <w:rPr>
                <w:rFonts w:hint="default" w:ascii="Times New Roman" w:hAnsi="Times New Roman" w:eastAsia="宋体"/>
                <w:snapToGrid w:val="0"/>
                <w:color w:val="000000" w:themeColor="text1"/>
                <w:kern w:val="21"/>
                <w:sz w:val="21"/>
                <w:szCs w:val="21"/>
                <w:highlight w:val="none"/>
                <w:lang w:val="en-US" w:eastAsia="zh-CN"/>
                <w14:textFill>
                  <w14:solidFill>
                    <w14:schemeClr w14:val="tx1"/>
                  </w14:solidFill>
                </w14:textFill>
              </w:rPr>
            </w:pPr>
            <w:r>
              <w:rPr>
                <w:rFonts w:hint="eastAsia" w:ascii="Times New Roman" w:hAnsi="Times New Roman" w:eastAsia="宋体"/>
                <w:color w:val="000000" w:themeColor="text1"/>
                <w:kern w:val="0"/>
                <w:sz w:val="21"/>
                <w:szCs w:val="21"/>
                <w:highlight w:val="none"/>
                <w:lang w:val="en-US" w:eastAsia="zh-CN" w:bidi="ar"/>
                <w14:textFill>
                  <w14:solidFill>
                    <w14:schemeClr w14:val="tx1"/>
                  </w14:solidFill>
                </w14:textFill>
              </w:rPr>
              <w:t>/</w:t>
            </w:r>
          </w:p>
        </w:tc>
        <w:tc>
          <w:tcPr>
            <w:tcW w:w="1486" w:type="dxa"/>
            <w:vAlign w:val="center"/>
          </w:tcPr>
          <w:p w14:paraId="67B58B6D">
            <w:pPr>
              <w:keepNext w:val="0"/>
              <w:keepLines w:val="0"/>
              <w:pageBreakBefore w:val="0"/>
              <w:widowControl/>
              <w:kinsoku/>
              <w:wordWrap/>
              <w:overflowPunct/>
              <w:topLinePunct w:val="0"/>
              <w:autoSpaceDE/>
              <w:autoSpaceDN/>
              <w:bidi w:val="0"/>
              <w:spacing w:line="240" w:lineRule="auto"/>
              <w:ind w:left="0"/>
              <w:jc w:val="center"/>
              <w:textAlignment w:val="bottom"/>
              <w:rPr>
                <w:rFonts w:hint="eastAsia" w:ascii="Times New Roman" w:hAnsi="Times New Roman" w:eastAsia="宋体"/>
                <w:snapToGrid w:val="0"/>
                <w:color w:val="000000" w:themeColor="text1"/>
                <w:kern w:val="21"/>
                <w:sz w:val="21"/>
                <w:szCs w:val="21"/>
                <w:highlight w:val="none"/>
                <w:lang w:eastAsia="zh-CN"/>
                <w14:textFill>
                  <w14:solidFill>
                    <w14:schemeClr w14:val="tx1"/>
                  </w14:solidFill>
                </w14:textFill>
              </w:rPr>
            </w:pPr>
            <w:r>
              <w:rPr>
                <w:rFonts w:ascii="Times New Roman" w:hAnsi="Times New Roman" w:eastAsia="宋体"/>
                <w:color w:val="000000" w:themeColor="text1"/>
                <w:kern w:val="0"/>
                <w:sz w:val="21"/>
                <w:szCs w:val="21"/>
                <w:highlight w:val="none"/>
                <w:lang w:bidi="ar"/>
                <w14:textFill>
                  <w14:solidFill>
                    <w14:schemeClr w14:val="tx1"/>
                  </w14:solidFill>
                </w14:textFill>
              </w:rPr>
              <w:t>/</w:t>
            </w:r>
          </w:p>
        </w:tc>
        <w:tc>
          <w:tcPr>
            <w:tcW w:w="1514" w:type="dxa"/>
            <w:shd w:val="clear" w:color="auto" w:fill="auto"/>
            <w:vAlign w:val="center"/>
          </w:tcPr>
          <w:p w14:paraId="2AD351FA">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宋体"/>
                <w:color w:val="000000" w:themeColor="text1"/>
                <w:spacing w:val="7"/>
                <w:sz w:val="21"/>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0.002533</w:t>
            </w:r>
          </w:p>
        </w:tc>
        <w:tc>
          <w:tcPr>
            <w:tcW w:w="1418" w:type="dxa"/>
            <w:vAlign w:val="center"/>
          </w:tcPr>
          <w:p w14:paraId="11B75E3B">
            <w:pPr>
              <w:keepNext w:val="0"/>
              <w:keepLines w:val="0"/>
              <w:pageBreakBefore w:val="0"/>
              <w:widowControl/>
              <w:kinsoku/>
              <w:wordWrap/>
              <w:overflowPunct/>
              <w:topLinePunct w:val="0"/>
              <w:autoSpaceDE/>
              <w:autoSpaceDN/>
              <w:bidi w:val="0"/>
              <w:spacing w:line="240" w:lineRule="auto"/>
              <w:ind w:left="0"/>
              <w:jc w:val="center"/>
              <w:textAlignment w:val="bottom"/>
              <w:rPr>
                <w:rFonts w:ascii="Times New Roman" w:hAnsi="Times New Roman" w:eastAsia="宋体"/>
                <w:snapToGrid w:val="0"/>
                <w:color w:val="000000" w:themeColor="text1"/>
                <w:kern w:val="21"/>
                <w:sz w:val="21"/>
                <w:szCs w:val="21"/>
                <w:highlight w:val="none"/>
                <w14:textFill>
                  <w14:solidFill>
                    <w14:schemeClr w14:val="tx1"/>
                  </w14:solidFill>
                </w14:textFill>
              </w:rPr>
            </w:pPr>
            <w:r>
              <w:rPr>
                <w:rFonts w:hint="eastAsia" w:ascii="Times New Roman" w:hAnsi="Times New Roman" w:eastAsia="宋体"/>
                <w:color w:val="000000" w:themeColor="text1"/>
                <w:kern w:val="0"/>
                <w:sz w:val="21"/>
                <w:szCs w:val="21"/>
                <w:highlight w:val="none"/>
                <w:lang w:val="en-US" w:eastAsia="zh-CN" w:bidi="ar"/>
                <w14:textFill>
                  <w14:solidFill>
                    <w14:schemeClr w14:val="tx1"/>
                  </w14:solidFill>
                </w14:textFill>
              </w:rPr>
              <w:t>/</w:t>
            </w:r>
          </w:p>
        </w:tc>
        <w:tc>
          <w:tcPr>
            <w:tcW w:w="1562" w:type="dxa"/>
            <w:shd w:val="clear" w:color="auto" w:fill="auto"/>
            <w:vAlign w:val="center"/>
          </w:tcPr>
          <w:p w14:paraId="799E8F35">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宋体"/>
                <w:color w:val="000000" w:themeColor="text1"/>
                <w:spacing w:val="7"/>
                <w:kern w:val="2"/>
                <w:sz w:val="21"/>
                <w:szCs w:val="24"/>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0.002533</w:t>
            </w:r>
          </w:p>
        </w:tc>
        <w:tc>
          <w:tcPr>
            <w:tcW w:w="1337" w:type="dxa"/>
            <w:shd w:val="clear" w:color="auto" w:fill="auto"/>
            <w:vAlign w:val="center"/>
          </w:tcPr>
          <w:p w14:paraId="222F0C3F">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宋体"/>
                <w:color w:val="000000" w:themeColor="text1"/>
                <w:spacing w:val="7"/>
                <w:kern w:val="2"/>
                <w:sz w:val="21"/>
                <w:szCs w:val="24"/>
                <w:lang w:val="en-US" w:eastAsia="zh-CN" w:bidi="ar-SA"/>
                <w14:textFill>
                  <w14:solidFill>
                    <w14:schemeClr w14:val="tx1"/>
                  </w14:solidFill>
                </w14:textFill>
              </w:rPr>
            </w:pPr>
            <w:r>
              <w:rPr>
                <w:rFonts w:hint="eastAsia" w:eastAsia="宋体" w:cs="Times New Roman"/>
                <w:i w:val="0"/>
                <w:iCs w:val="0"/>
                <w:color w:val="000000" w:themeColor="text1"/>
                <w:kern w:val="0"/>
                <w:sz w:val="21"/>
                <w:szCs w:val="21"/>
                <w:u w:val="none"/>
                <w:lang w:val="en-US" w:eastAsia="zh-CN" w:bidi="ar"/>
                <w14:textFill>
                  <w14:solidFill>
                    <w14:schemeClr w14:val="tx1"/>
                  </w14:solidFill>
                </w14:textFill>
              </w:rPr>
              <w:t>+</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0.002533</w:t>
            </w:r>
          </w:p>
        </w:tc>
      </w:tr>
      <w:tr w14:paraId="4B777B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3" w:hRule="exact"/>
        </w:trPr>
        <w:tc>
          <w:tcPr>
            <w:tcW w:w="812" w:type="dxa"/>
            <w:vMerge w:val="continue"/>
            <w:vAlign w:val="center"/>
          </w:tcPr>
          <w:p w14:paraId="7C1358A5">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宋体" w:cs="宋体"/>
                <w:color w:val="000000" w:themeColor="text1"/>
                <w:spacing w:val="7"/>
                <w:sz w:val="21"/>
                <w14:textFill>
                  <w14:solidFill>
                    <w14:schemeClr w14:val="tx1"/>
                  </w14:solidFill>
                </w14:textFill>
              </w:rPr>
            </w:pPr>
          </w:p>
        </w:tc>
        <w:tc>
          <w:tcPr>
            <w:tcW w:w="2421" w:type="dxa"/>
            <w:shd w:val="clear" w:color="auto" w:fill="auto"/>
            <w:vAlign w:val="center"/>
          </w:tcPr>
          <w:p w14:paraId="1E0A2961">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宋体"/>
                <w:color w:val="000000" w:themeColor="text1"/>
                <w:spacing w:val="7"/>
                <w:kern w:val="2"/>
                <w:sz w:val="21"/>
                <w:szCs w:val="24"/>
                <w:lang w:val="en-US" w:eastAsia="zh-CN" w:bidi="ar-SA"/>
                <w14:textFill>
                  <w14:solidFill>
                    <w14:schemeClr w14:val="tx1"/>
                  </w14:solidFill>
                </w14:textFill>
              </w:rPr>
            </w:pPr>
            <w:r>
              <w:rPr>
                <w:rFonts w:ascii="Times New Roman" w:hAnsi="Times New Roman" w:eastAsia="宋体" w:cs="宋体"/>
                <w:color w:val="000000" w:themeColor="text1"/>
                <w:spacing w:val="7"/>
                <w:sz w:val="21"/>
                <w14:textFill>
                  <w14:solidFill>
                    <w14:schemeClr w14:val="tx1"/>
                  </w14:solidFill>
                </w14:textFill>
              </w:rPr>
              <w:t>硫化氢</w:t>
            </w:r>
          </w:p>
        </w:tc>
        <w:tc>
          <w:tcPr>
            <w:tcW w:w="1983" w:type="dxa"/>
            <w:vAlign w:val="center"/>
          </w:tcPr>
          <w:p w14:paraId="2A95EF1C">
            <w:pPr>
              <w:keepNext w:val="0"/>
              <w:keepLines w:val="0"/>
              <w:pageBreakBefore w:val="0"/>
              <w:widowControl/>
              <w:kinsoku/>
              <w:wordWrap/>
              <w:overflowPunct/>
              <w:topLinePunct w:val="0"/>
              <w:autoSpaceDE/>
              <w:autoSpaceDN/>
              <w:bidi w:val="0"/>
              <w:spacing w:line="240" w:lineRule="auto"/>
              <w:ind w:left="0"/>
              <w:jc w:val="center"/>
              <w:textAlignment w:val="bottom"/>
              <w:rPr>
                <w:rFonts w:ascii="Times New Roman" w:hAnsi="Times New Roman" w:eastAsia="宋体"/>
                <w:snapToGrid w:val="0"/>
                <w:color w:val="000000" w:themeColor="text1"/>
                <w:kern w:val="21"/>
                <w:sz w:val="21"/>
                <w:szCs w:val="21"/>
                <w:highlight w:val="none"/>
                <w14:textFill>
                  <w14:solidFill>
                    <w14:schemeClr w14:val="tx1"/>
                  </w14:solidFill>
                </w14:textFill>
              </w:rPr>
            </w:pPr>
            <w:r>
              <w:rPr>
                <w:rFonts w:ascii="Times New Roman" w:hAnsi="Times New Roman" w:eastAsia="宋体"/>
                <w:color w:val="000000" w:themeColor="text1"/>
                <w:kern w:val="0"/>
                <w:sz w:val="21"/>
                <w:szCs w:val="21"/>
                <w:highlight w:val="none"/>
                <w:lang w:bidi="ar"/>
                <w14:textFill>
                  <w14:solidFill>
                    <w14:schemeClr w14:val="tx1"/>
                  </w14:solidFill>
                </w14:textFill>
              </w:rPr>
              <w:t>/</w:t>
            </w:r>
          </w:p>
        </w:tc>
        <w:tc>
          <w:tcPr>
            <w:tcW w:w="1255" w:type="dxa"/>
            <w:vAlign w:val="center"/>
          </w:tcPr>
          <w:p w14:paraId="40997066">
            <w:pPr>
              <w:keepNext w:val="0"/>
              <w:keepLines w:val="0"/>
              <w:pageBreakBefore w:val="0"/>
              <w:widowControl/>
              <w:kinsoku/>
              <w:wordWrap/>
              <w:overflowPunct/>
              <w:topLinePunct w:val="0"/>
              <w:autoSpaceDE/>
              <w:autoSpaceDN/>
              <w:bidi w:val="0"/>
              <w:spacing w:line="240" w:lineRule="auto"/>
              <w:ind w:left="0"/>
              <w:jc w:val="center"/>
              <w:textAlignment w:val="bottom"/>
              <w:rPr>
                <w:rFonts w:ascii="Times New Roman" w:hAnsi="Times New Roman" w:eastAsia="宋体"/>
                <w:snapToGrid w:val="0"/>
                <w:color w:val="000000" w:themeColor="text1"/>
                <w:kern w:val="21"/>
                <w:sz w:val="21"/>
                <w:szCs w:val="21"/>
                <w:highlight w:val="none"/>
                <w14:textFill>
                  <w14:solidFill>
                    <w14:schemeClr w14:val="tx1"/>
                  </w14:solidFill>
                </w14:textFill>
              </w:rPr>
            </w:pPr>
            <w:r>
              <w:rPr>
                <w:rFonts w:ascii="Times New Roman" w:hAnsi="Times New Roman" w:eastAsia="宋体"/>
                <w:color w:val="000000" w:themeColor="text1"/>
                <w:kern w:val="0"/>
                <w:sz w:val="21"/>
                <w:szCs w:val="21"/>
                <w:highlight w:val="none"/>
                <w:lang w:bidi="ar"/>
                <w14:textFill>
                  <w14:solidFill>
                    <w14:schemeClr w14:val="tx1"/>
                  </w14:solidFill>
                </w14:textFill>
              </w:rPr>
              <w:t>/</w:t>
            </w:r>
          </w:p>
        </w:tc>
        <w:tc>
          <w:tcPr>
            <w:tcW w:w="1486" w:type="dxa"/>
            <w:vAlign w:val="center"/>
          </w:tcPr>
          <w:p w14:paraId="22DD3A24">
            <w:pPr>
              <w:keepNext w:val="0"/>
              <w:keepLines w:val="0"/>
              <w:pageBreakBefore w:val="0"/>
              <w:widowControl/>
              <w:kinsoku/>
              <w:wordWrap/>
              <w:overflowPunct/>
              <w:topLinePunct w:val="0"/>
              <w:autoSpaceDE/>
              <w:autoSpaceDN/>
              <w:bidi w:val="0"/>
              <w:spacing w:line="240" w:lineRule="auto"/>
              <w:ind w:left="0"/>
              <w:jc w:val="center"/>
              <w:textAlignment w:val="bottom"/>
              <w:rPr>
                <w:rFonts w:hint="eastAsia" w:ascii="Times New Roman" w:hAnsi="Times New Roman" w:eastAsia="宋体"/>
                <w:snapToGrid w:val="0"/>
                <w:color w:val="000000" w:themeColor="text1"/>
                <w:kern w:val="21"/>
                <w:sz w:val="21"/>
                <w:szCs w:val="21"/>
                <w:highlight w:val="none"/>
                <w:lang w:eastAsia="zh-CN"/>
                <w14:textFill>
                  <w14:solidFill>
                    <w14:schemeClr w14:val="tx1"/>
                  </w14:solidFill>
                </w14:textFill>
              </w:rPr>
            </w:pPr>
            <w:r>
              <w:rPr>
                <w:rFonts w:ascii="Times New Roman" w:hAnsi="Times New Roman" w:eastAsia="宋体"/>
                <w:color w:val="000000" w:themeColor="text1"/>
                <w:kern w:val="0"/>
                <w:sz w:val="21"/>
                <w:szCs w:val="21"/>
                <w:highlight w:val="none"/>
                <w:lang w:bidi="ar"/>
                <w14:textFill>
                  <w14:solidFill>
                    <w14:schemeClr w14:val="tx1"/>
                  </w14:solidFill>
                </w14:textFill>
              </w:rPr>
              <w:t>/</w:t>
            </w:r>
          </w:p>
        </w:tc>
        <w:tc>
          <w:tcPr>
            <w:tcW w:w="1514" w:type="dxa"/>
            <w:shd w:val="clear" w:color="auto" w:fill="auto"/>
            <w:vAlign w:val="center"/>
          </w:tcPr>
          <w:p w14:paraId="13AD1D25">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宋体"/>
                <w:color w:val="000000" w:themeColor="text1"/>
                <w:spacing w:val="7"/>
                <w:sz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0.0000</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964</w:t>
            </w:r>
          </w:p>
        </w:tc>
        <w:tc>
          <w:tcPr>
            <w:tcW w:w="1418" w:type="dxa"/>
            <w:vAlign w:val="center"/>
          </w:tcPr>
          <w:p w14:paraId="2C5A9D1A">
            <w:pPr>
              <w:keepNext w:val="0"/>
              <w:keepLines w:val="0"/>
              <w:pageBreakBefore w:val="0"/>
              <w:widowControl/>
              <w:kinsoku/>
              <w:wordWrap/>
              <w:overflowPunct/>
              <w:topLinePunct w:val="0"/>
              <w:autoSpaceDE/>
              <w:autoSpaceDN/>
              <w:bidi w:val="0"/>
              <w:spacing w:line="240" w:lineRule="auto"/>
              <w:ind w:left="0"/>
              <w:jc w:val="center"/>
              <w:textAlignment w:val="bottom"/>
              <w:rPr>
                <w:rFonts w:ascii="Times New Roman" w:hAnsi="Times New Roman" w:eastAsia="宋体"/>
                <w:snapToGrid w:val="0"/>
                <w:color w:val="000000" w:themeColor="text1"/>
                <w:kern w:val="21"/>
                <w:sz w:val="21"/>
                <w:szCs w:val="21"/>
                <w:highlight w:val="none"/>
                <w14:textFill>
                  <w14:solidFill>
                    <w14:schemeClr w14:val="tx1"/>
                  </w14:solidFill>
                </w14:textFill>
              </w:rPr>
            </w:pPr>
            <w:r>
              <w:rPr>
                <w:rFonts w:ascii="Times New Roman" w:hAnsi="Times New Roman" w:eastAsia="宋体"/>
                <w:color w:val="000000" w:themeColor="text1"/>
                <w:kern w:val="0"/>
                <w:sz w:val="21"/>
                <w:szCs w:val="21"/>
                <w:highlight w:val="none"/>
                <w:lang w:bidi="ar"/>
                <w14:textFill>
                  <w14:solidFill>
                    <w14:schemeClr w14:val="tx1"/>
                  </w14:solidFill>
                </w14:textFill>
              </w:rPr>
              <w:t>/</w:t>
            </w:r>
          </w:p>
        </w:tc>
        <w:tc>
          <w:tcPr>
            <w:tcW w:w="1562" w:type="dxa"/>
            <w:shd w:val="clear" w:color="auto" w:fill="auto"/>
            <w:vAlign w:val="center"/>
          </w:tcPr>
          <w:p w14:paraId="0A4384B8">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宋体"/>
                <w:color w:val="000000" w:themeColor="text1"/>
                <w:spacing w:val="7"/>
                <w:kern w:val="2"/>
                <w:sz w:val="21"/>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0.0000</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964</w:t>
            </w:r>
          </w:p>
        </w:tc>
        <w:tc>
          <w:tcPr>
            <w:tcW w:w="1337" w:type="dxa"/>
            <w:shd w:val="clear" w:color="auto" w:fill="auto"/>
            <w:vAlign w:val="center"/>
          </w:tcPr>
          <w:p w14:paraId="4138F7F7">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宋体"/>
                <w:color w:val="000000" w:themeColor="text1"/>
                <w:spacing w:val="7"/>
                <w:kern w:val="2"/>
                <w:sz w:val="21"/>
                <w:szCs w:val="24"/>
                <w:lang w:val="en-US" w:eastAsia="zh-CN" w:bidi="ar-SA"/>
                <w14:textFill>
                  <w14:solidFill>
                    <w14:schemeClr w14:val="tx1"/>
                  </w14:solidFill>
                </w14:textFill>
              </w:rPr>
            </w:pPr>
            <w:r>
              <w:rPr>
                <w:rFonts w:hint="eastAsia" w:eastAsia="宋体" w:cs="Times New Roman"/>
                <w:i w:val="0"/>
                <w:iCs w:val="0"/>
                <w:color w:val="000000" w:themeColor="text1"/>
                <w:kern w:val="0"/>
                <w:sz w:val="21"/>
                <w:szCs w:val="21"/>
                <w:u w:val="none"/>
                <w:lang w:val="en-US" w:eastAsia="zh-CN" w:bidi="ar"/>
                <w14:textFill>
                  <w14:solidFill>
                    <w14:schemeClr w14:val="tx1"/>
                  </w14:solidFill>
                </w14:textFill>
              </w:rPr>
              <w:t>+</w:t>
            </w:r>
            <w: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t>0.0000</w:t>
            </w: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964</w:t>
            </w:r>
          </w:p>
        </w:tc>
      </w:tr>
      <w:tr w14:paraId="3BF263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812" w:type="dxa"/>
            <w:vMerge w:val="restart"/>
            <w:shd w:val="clear" w:color="auto" w:fill="auto"/>
            <w:vAlign w:val="center"/>
          </w:tcPr>
          <w:p w14:paraId="194CA91C">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宋体" w:cs="宋体"/>
                <w:color w:val="000000" w:themeColor="text1"/>
                <w:spacing w:val="7"/>
                <w:sz w:val="21"/>
                <w:lang w:val="en-US" w:eastAsia="en-US"/>
                <w14:textFill>
                  <w14:solidFill>
                    <w14:schemeClr w14:val="tx1"/>
                  </w14:solidFill>
                </w14:textFill>
              </w:rPr>
            </w:pPr>
            <w:r>
              <w:rPr>
                <w:rFonts w:ascii="Times New Roman" w:hAnsi="Times New Roman" w:eastAsia="宋体" w:cs="宋体"/>
                <w:color w:val="000000" w:themeColor="text1"/>
                <w:spacing w:val="7"/>
                <w:sz w:val="21"/>
                <w14:textFill>
                  <w14:solidFill>
                    <w14:schemeClr w14:val="tx1"/>
                  </w14:solidFill>
                </w14:textFill>
              </w:rPr>
              <w:t>废水</w:t>
            </w:r>
          </w:p>
        </w:tc>
        <w:tc>
          <w:tcPr>
            <w:tcW w:w="2421" w:type="dxa"/>
            <w:shd w:val="clear" w:color="auto" w:fill="auto"/>
            <w:vAlign w:val="center"/>
          </w:tcPr>
          <w:p w14:paraId="5483854A">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宋体" w:cs="宋体"/>
                <w:color w:val="000000" w:themeColor="text1"/>
                <w:spacing w:val="7"/>
                <w:sz w:val="21"/>
                <w:lang w:val="en-US" w:eastAsia="zh-CN"/>
                <w14:textFill>
                  <w14:solidFill>
                    <w14:schemeClr w14:val="tx1"/>
                  </w14:solidFill>
                </w14:textFill>
              </w:rPr>
            </w:pPr>
            <w:r>
              <w:rPr>
                <w:rFonts w:ascii="Times New Roman" w:hAnsi="Times New Roman" w:eastAsia="宋体" w:cs="宋体"/>
                <w:color w:val="000000" w:themeColor="text1"/>
                <w:spacing w:val="7"/>
                <w:sz w:val="21"/>
                <w14:textFill>
                  <w14:solidFill>
                    <w14:schemeClr w14:val="tx1"/>
                  </w14:solidFill>
                </w14:textFill>
              </w:rPr>
              <w:t>COD</w:t>
            </w:r>
          </w:p>
        </w:tc>
        <w:tc>
          <w:tcPr>
            <w:tcW w:w="1983" w:type="dxa"/>
            <w:vAlign w:val="center"/>
          </w:tcPr>
          <w:p w14:paraId="36A95865">
            <w:pPr>
              <w:pStyle w:val="51"/>
              <w:keepNext w:val="0"/>
              <w:keepLines w:val="0"/>
              <w:pageBreakBefore w:val="0"/>
              <w:kinsoku/>
              <w:wordWrap/>
              <w:overflowPunct/>
              <w:topLinePunct w:val="0"/>
              <w:autoSpaceDE/>
              <w:autoSpaceDN/>
              <w:bidi w:val="0"/>
              <w:spacing w:beforeLines="0" w:afterLines="0" w:line="240" w:lineRule="auto"/>
              <w:ind w:left="0"/>
              <w:rPr>
                <w:rFonts w:hint="default" w:ascii="Times New Roman" w:hAnsi="Times New Roman" w:eastAsia="宋体"/>
                <w:color w:val="000000" w:themeColor="text1"/>
                <w:sz w:val="21"/>
                <w:szCs w:val="21"/>
                <w:highlight w:val="none"/>
                <w:lang w:val="en-US" w:eastAsia="zh-CN"/>
                <w14:textFill>
                  <w14:solidFill>
                    <w14:schemeClr w14:val="tx1"/>
                  </w14:solidFill>
                </w14:textFill>
              </w:rPr>
            </w:pPr>
            <w:r>
              <w:rPr>
                <w:rFonts w:hint="eastAsia" w:ascii="Times New Roman"/>
                <w:snapToGrid w:val="0"/>
                <w:color w:val="000000" w:themeColor="text1"/>
                <w:kern w:val="21"/>
                <w:sz w:val="21"/>
                <w:szCs w:val="21"/>
                <w:highlight w:val="none"/>
                <w:lang w:val="en-US" w:eastAsia="zh-CN"/>
                <w14:textFill>
                  <w14:solidFill>
                    <w14:schemeClr w14:val="tx1"/>
                  </w14:solidFill>
                </w14:textFill>
              </w:rPr>
              <w:t>2.8032</w:t>
            </w:r>
          </w:p>
        </w:tc>
        <w:tc>
          <w:tcPr>
            <w:tcW w:w="1255" w:type="dxa"/>
            <w:vAlign w:val="center"/>
          </w:tcPr>
          <w:p w14:paraId="43308977">
            <w:pPr>
              <w:pStyle w:val="51"/>
              <w:keepNext w:val="0"/>
              <w:keepLines w:val="0"/>
              <w:pageBreakBefore w:val="0"/>
              <w:kinsoku/>
              <w:wordWrap/>
              <w:overflowPunct/>
              <w:topLinePunct w:val="0"/>
              <w:autoSpaceDE/>
              <w:autoSpaceDN/>
              <w:bidi w:val="0"/>
              <w:spacing w:beforeLines="0" w:afterLines="0" w:line="240" w:lineRule="auto"/>
              <w:ind w:left="0"/>
              <w:rPr>
                <w:rFonts w:ascii="Times New Roman" w:hAnsi="Times New Roman" w:eastAsia="宋体"/>
                <w:snapToGrid w:val="0"/>
                <w:color w:val="000000" w:themeColor="text1"/>
                <w:kern w:val="21"/>
                <w:sz w:val="21"/>
                <w:szCs w:val="21"/>
                <w:highlight w:val="none"/>
                <w14:textFill>
                  <w14:solidFill>
                    <w14:schemeClr w14:val="tx1"/>
                  </w14:solidFill>
                </w14:textFill>
              </w:rPr>
            </w:pPr>
            <w:r>
              <w:rPr>
                <w:rFonts w:ascii="Times New Roman" w:hAnsi="Times New Roman" w:eastAsia="宋体"/>
                <w:snapToGrid w:val="0"/>
                <w:color w:val="000000" w:themeColor="text1"/>
                <w:kern w:val="21"/>
                <w:sz w:val="21"/>
                <w:szCs w:val="21"/>
                <w:highlight w:val="none"/>
                <w14:textFill>
                  <w14:solidFill>
                    <w14:schemeClr w14:val="tx1"/>
                  </w14:solidFill>
                </w14:textFill>
              </w:rPr>
              <w:t>/</w:t>
            </w:r>
          </w:p>
        </w:tc>
        <w:tc>
          <w:tcPr>
            <w:tcW w:w="1486" w:type="dxa"/>
            <w:vAlign w:val="center"/>
          </w:tcPr>
          <w:p w14:paraId="52196719">
            <w:pPr>
              <w:keepNext w:val="0"/>
              <w:keepLines w:val="0"/>
              <w:pageBreakBefore w:val="0"/>
              <w:widowControl/>
              <w:kinsoku/>
              <w:wordWrap/>
              <w:overflowPunct/>
              <w:topLinePunct w:val="0"/>
              <w:autoSpaceDE/>
              <w:autoSpaceDN/>
              <w:bidi w:val="0"/>
              <w:spacing w:line="240" w:lineRule="auto"/>
              <w:ind w:left="0"/>
              <w:jc w:val="center"/>
              <w:textAlignment w:val="bottom"/>
              <w:rPr>
                <w:rFonts w:ascii="Times New Roman" w:hAnsi="Times New Roman" w:eastAsia="宋体"/>
                <w:snapToGrid w:val="0"/>
                <w:color w:val="000000" w:themeColor="text1"/>
                <w:kern w:val="21"/>
                <w:sz w:val="21"/>
                <w:szCs w:val="21"/>
                <w:highlight w:val="none"/>
                <w14:textFill>
                  <w14:solidFill>
                    <w14:schemeClr w14:val="tx1"/>
                  </w14:solidFill>
                </w14:textFill>
              </w:rPr>
            </w:pPr>
            <w:r>
              <w:rPr>
                <w:rFonts w:ascii="Times New Roman" w:hAnsi="Times New Roman" w:eastAsia="宋体"/>
                <w:color w:val="000000" w:themeColor="text1"/>
                <w:kern w:val="0"/>
                <w:sz w:val="21"/>
                <w:szCs w:val="21"/>
                <w:highlight w:val="none"/>
                <w:lang w:bidi="ar"/>
                <w14:textFill>
                  <w14:solidFill>
                    <w14:schemeClr w14:val="tx1"/>
                  </w14:solidFill>
                </w14:textFill>
              </w:rPr>
              <w:t>/</w:t>
            </w:r>
          </w:p>
        </w:tc>
        <w:tc>
          <w:tcPr>
            <w:tcW w:w="1514" w:type="dxa"/>
            <w:shd w:val="clear" w:color="auto" w:fill="auto"/>
            <w:vAlign w:val="center"/>
          </w:tcPr>
          <w:p w14:paraId="2C2A3978">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2.1226</w:t>
            </w:r>
          </w:p>
        </w:tc>
        <w:tc>
          <w:tcPr>
            <w:tcW w:w="1418" w:type="dxa"/>
            <w:shd w:val="clear" w:color="auto" w:fill="auto"/>
            <w:vAlign w:val="center"/>
          </w:tcPr>
          <w:p w14:paraId="3A9E4DB0">
            <w:pPr>
              <w:pStyle w:val="51"/>
              <w:keepNext w:val="0"/>
              <w:keepLines w:val="0"/>
              <w:pageBreakBefore w:val="0"/>
              <w:kinsoku/>
              <w:wordWrap/>
              <w:overflowPunct/>
              <w:topLinePunct w:val="0"/>
              <w:autoSpaceDE/>
              <w:autoSpaceDN/>
              <w:bidi w:val="0"/>
              <w:spacing w:beforeLines="0" w:afterLines="0" w:line="240" w:lineRule="auto"/>
              <w:ind w:left="0" w:leftChars="0"/>
              <w:rPr>
                <w:rFonts w:hint="default" w:ascii="Times New Roman" w:hAnsi="Times New Roman" w:eastAsia="宋体" w:cs="Times New Roman"/>
                <w:color w:val="000000" w:themeColor="text1"/>
                <w:kern w:val="0"/>
                <w:sz w:val="21"/>
                <w:szCs w:val="21"/>
                <w:highlight w:val="none"/>
                <w:lang w:val="en-US" w:eastAsia="zh-CN" w:bidi="ar-SA"/>
                <w14:textFill>
                  <w14:solidFill>
                    <w14:schemeClr w14:val="tx1"/>
                  </w14:solidFill>
                </w14:textFill>
              </w:rPr>
            </w:pPr>
            <w:r>
              <w:rPr>
                <w:rFonts w:hint="eastAsia" w:ascii="Times New Roman"/>
                <w:snapToGrid w:val="0"/>
                <w:color w:val="000000" w:themeColor="text1"/>
                <w:kern w:val="21"/>
                <w:sz w:val="21"/>
                <w:szCs w:val="21"/>
                <w:highlight w:val="none"/>
                <w:lang w:val="en-US" w:eastAsia="zh-CN"/>
                <w14:textFill>
                  <w14:solidFill>
                    <w14:schemeClr w14:val="tx1"/>
                  </w14:solidFill>
                </w14:textFill>
              </w:rPr>
              <w:t>2.8032</w:t>
            </w:r>
          </w:p>
        </w:tc>
        <w:tc>
          <w:tcPr>
            <w:tcW w:w="1562" w:type="dxa"/>
            <w:shd w:val="clear" w:color="auto" w:fill="auto"/>
            <w:vAlign w:val="center"/>
          </w:tcPr>
          <w:p w14:paraId="1ADF043A">
            <w:pPr>
              <w:keepNext w:val="0"/>
              <w:keepLines w:val="0"/>
              <w:widowControl/>
              <w:suppressLineNumbers w:val="0"/>
              <w:jc w:val="center"/>
              <w:textAlignment w:val="center"/>
              <w:rPr>
                <w:rFonts w:hint="default" w:ascii="Times New Roman" w:hAnsi="Times New Roman" w:eastAsia="宋体" w:cs="宋体"/>
                <w:color w:val="000000" w:themeColor="text1"/>
                <w:spacing w:val="7"/>
                <w:kern w:val="2"/>
                <w:sz w:val="21"/>
                <w:szCs w:val="24"/>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2.1226</w:t>
            </w:r>
          </w:p>
        </w:tc>
        <w:tc>
          <w:tcPr>
            <w:tcW w:w="1337" w:type="dxa"/>
            <w:shd w:val="clear" w:color="auto" w:fill="auto"/>
            <w:vAlign w:val="center"/>
          </w:tcPr>
          <w:p w14:paraId="70BA6898">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宋体"/>
                <w:color w:val="000000" w:themeColor="text1"/>
                <w:spacing w:val="7"/>
                <w:kern w:val="2"/>
                <w:sz w:val="21"/>
                <w:szCs w:val="24"/>
                <w:lang w:val="en-US" w:eastAsia="zh-CN" w:bidi="ar-SA"/>
                <w14:textFill>
                  <w14:solidFill>
                    <w14:schemeClr w14:val="tx1"/>
                  </w14:solidFill>
                </w14:textFill>
              </w:rPr>
            </w:pPr>
            <w:r>
              <w:rPr>
                <w:rFonts w:hint="eastAsia" w:ascii="Times New Roman" w:hAnsi="Times New Roman" w:cs="宋体"/>
                <w:color w:val="000000" w:themeColor="text1"/>
                <w:spacing w:val="7"/>
                <w:kern w:val="2"/>
                <w:sz w:val="21"/>
                <w:szCs w:val="24"/>
                <w:lang w:val="en-US" w:eastAsia="zh-CN" w:bidi="ar-SA"/>
                <w14:textFill>
                  <w14:solidFill>
                    <w14:schemeClr w14:val="tx1"/>
                  </w14:solidFill>
                </w14:textFill>
              </w:rPr>
              <w:t>-0.6806</w:t>
            </w:r>
          </w:p>
        </w:tc>
      </w:tr>
      <w:tr w14:paraId="4BDDD7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812" w:type="dxa"/>
            <w:vMerge w:val="continue"/>
            <w:vAlign w:val="center"/>
          </w:tcPr>
          <w:p w14:paraId="31DFA983">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宋体" w:cs="宋体"/>
                <w:color w:val="000000" w:themeColor="text1"/>
                <w:spacing w:val="7"/>
                <w:sz w:val="21"/>
                <w14:textFill>
                  <w14:solidFill>
                    <w14:schemeClr w14:val="tx1"/>
                  </w14:solidFill>
                </w14:textFill>
              </w:rPr>
            </w:pPr>
          </w:p>
        </w:tc>
        <w:tc>
          <w:tcPr>
            <w:tcW w:w="2421" w:type="dxa"/>
            <w:shd w:val="clear" w:color="auto" w:fill="auto"/>
            <w:vAlign w:val="center"/>
          </w:tcPr>
          <w:p w14:paraId="4A0B893E">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宋体"/>
                <w:color w:val="000000" w:themeColor="text1"/>
                <w:spacing w:val="7"/>
                <w:sz w:val="21"/>
                <w:lang w:val="en-US" w:eastAsia="zh-CN"/>
                <w14:textFill>
                  <w14:solidFill>
                    <w14:schemeClr w14:val="tx1"/>
                  </w14:solidFill>
                </w14:textFill>
              </w:rPr>
            </w:pPr>
            <w:r>
              <w:rPr>
                <w:rFonts w:ascii="Times New Roman" w:hAnsi="Times New Roman" w:eastAsia="宋体" w:cs="宋体"/>
                <w:color w:val="000000" w:themeColor="text1"/>
                <w:spacing w:val="7"/>
                <w:sz w:val="21"/>
                <w14:textFill>
                  <w14:solidFill>
                    <w14:schemeClr w14:val="tx1"/>
                  </w14:solidFill>
                </w14:textFill>
              </w:rPr>
              <w:t>BOD</w:t>
            </w:r>
            <w:r>
              <w:rPr>
                <w:rFonts w:ascii="Times New Roman" w:hAnsi="Times New Roman" w:eastAsia="宋体" w:cs="宋体"/>
                <w:color w:val="000000" w:themeColor="text1"/>
                <w:spacing w:val="7"/>
                <w:sz w:val="21"/>
                <w:vertAlign w:val="subscript"/>
                <w14:textFill>
                  <w14:solidFill>
                    <w14:schemeClr w14:val="tx1"/>
                  </w14:solidFill>
                </w14:textFill>
              </w:rPr>
              <w:t>5</w:t>
            </w:r>
          </w:p>
        </w:tc>
        <w:tc>
          <w:tcPr>
            <w:tcW w:w="1983" w:type="dxa"/>
            <w:shd w:val="clear" w:color="auto" w:fill="auto"/>
            <w:vAlign w:val="center"/>
          </w:tcPr>
          <w:p w14:paraId="620A54C0">
            <w:pPr>
              <w:keepNext w:val="0"/>
              <w:keepLines w:val="0"/>
              <w:pageBreakBefore w:val="0"/>
              <w:widowControl/>
              <w:suppressLineNumbers w:val="0"/>
              <w:kinsoku/>
              <w:wordWrap/>
              <w:overflowPunct/>
              <w:topLinePunct w:val="0"/>
              <w:autoSpaceDE/>
              <w:autoSpaceDN/>
              <w:bidi w:val="0"/>
              <w:spacing w:line="240" w:lineRule="auto"/>
              <w:ind w:lef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255" w:type="dxa"/>
            <w:shd w:val="clear" w:color="auto" w:fill="auto"/>
            <w:vAlign w:val="center"/>
          </w:tcPr>
          <w:p w14:paraId="4AFD6270">
            <w:pPr>
              <w:keepNext w:val="0"/>
              <w:keepLines w:val="0"/>
              <w:pageBreakBefore w:val="0"/>
              <w:widowControl/>
              <w:suppressLineNumbers w:val="0"/>
              <w:kinsoku/>
              <w:wordWrap/>
              <w:overflowPunct/>
              <w:topLinePunct w:val="0"/>
              <w:autoSpaceDE/>
              <w:autoSpaceDN/>
              <w:bidi w:val="0"/>
              <w:spacing w:line="240" w:lineRule="auto"/>
              <w:ind w:left="0"/>
              <w:jc w:val="center"/>
              <w:textAlignment w:val="center"/>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486" w:type="dxa"/>
            <w:shd w:val="clear" w:color="auto" w:fill="auto"/>
            <w:vAlign w:val="center"/>
          </w:tcPr>
          <w:p w14:paraId="3EB8CFC4">
            <w:pPr>
              <w:keepNext w:val="0"/>
              <w:keepLines w:val="0"/>
              <w:pageBreakBefore w:val="0"/>
              <w:widowControl/>
              <w:suppressLineNumbers w:val="0"/>
              <w:kinsoku/>
              <w:wordWrap/>
              <w:overflowPunct/>
              <w:topLinePunct w:val="0"/>
              <w:autoSpaceDE/>
              <w:autoSpaceDN/>
              <w:bidi w:val="0"/>
              <w:spacing w:line="240" w:lineRule="auto"/>
              <w:ind w:left="0"/>
              <w:jc w:val="center"/>
              <w:textAlignment w:val="center"/>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514" w:type="dxa"/>
            <w:shd w:val="clear" w:color="auto" w:fill="auto"/>
            <w:vAlign w:val="center"/>
          </w:tcPr>
          <w:p w14:paraId="2AF8495D">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0.4246</w:t>
            </w:r>
          </w:p>
        </w:tc>
        <w:tc>
          <w:tcPr>
            <w:tcW w:w="1418" w:type="dxa"/>
            <w:shd w:val="clear" w:color="auto" w:fill="auto"/>
            <w:vAlign w:val="center"/>
          </w:tcPr>
          <w:p w14:paraId="768F4C21">
            <w:pPr>
              <w:keepNext w:val="0"/>
              <w:keepLines w:val="0"/>
              <w:pageBreakBefore w:val="0"/>
              <w:widowControl/>
              <w:suppressLineNumbers w:val="0"/>
              <w:kinsoku/>
              <w:wordWrap/>
              <w:overflowPunct/>
              <w:topLinePunct w:val="0"/>
              <w:autoSpaceDE/>
              <w:autoSpaceDN/>
              <w:bidi w:val="0"/>
              <w:spacing w:line="240" w:lineRule="auto"/>
              <w:ind w:left="0" w:lef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562" w:type="dxa"/>
            <w:shd w:val="clear" w:color="auto" w:fill="auto"/>
            <w:vAlign w:val="center"/>
          </w:tcPr>
          <w:p w14:paraId="788CDFE8">
            <w:pPr>
              <w:keepNext w:val="0"/>
              <w:keepLines w:val="0"/>
              <w:widowControl/>
              <w:suppressLineNumbers w:val="0"/>
              <w:jc w:val="center"/>
              <w:textAlignment w:val="center"/>
              <w:rPr>
                <w:rFonts w:hint="default" w:ascii="Times New Roman" w:hAnsi="Times New Roman" w:eastAsia="宋体" w:cs="宋体"/>
                <w:color w:val="000000" w:themeColor="text1"/>
                <w:spacing w:val="7"/>
                <w:kern w:val="2"/>
                <w:sz w:val="21"/>
                <w:szCs w:val="24"/>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0.4246</w:t>
            </w:r>
          </w:p>
        </w:tc>
        <w:tc>
          <w:tcPr>
            <w:tcW w:w="1337" w:type="dxa"/>
            <w:shd w:val="clear" w:color="auto" w:fill="auto"/>
            <w:vAlign w:val="center"/>
          </w:tcPr>
          <w:p w14:paraId="2ECC8296">
            <w:pPr>
              <w:keepNext w:val="0"/>
              <w:keepLines w:val="0"/>
              <w:widowControl/>
              <w:suppressLineNumbers w:val="0"/>
              <w:jc w:val="center"/>
              <w:textAlignment w:val="center"/>
              <w:rPr>
                <w:rFonts w:hint="default" w:ascii="Times New Roman" w:hAnsi="Times New Roman" w:eastAsia="宋体" w:cs="宋体"/>
                <w:color w:val="000000" w:themeColor="text1"/>
                <w:spacing w:val="7"/>
                <w:kern w:val="2"/>
                <w:sz w:val="21"/>
                <w:szCs w:val="24"/>
                <w:lang w:val="en-US" w:eastAsia="zh-CN" w:bidi="ar-SA"/>
                <w14:textFill>
                  <w14:solidFill>
                    <w14:schemeClr w14:val="tx1"/>
                  </w14:solidFill>
                </w14:textFill>
              </w:rPr>
            </w:pPr>
            <w:r>
              <w:rPr>
                <w:rFonts w:hint="eastAsia" w:eastAsia="宋体" w:cs="Times New Roman"/>
                <w:i w:val="0"/>
                <w:iCs w:val="0"/>
                <w:color w:val="000000" w:themeColor="text1"/>
                <w:kern w:val="0"/>
                <w:sz w:val="21"/>
                <w:szCs w:val="21"/>
                <w:u w:val="none"/>
                <w:lang w:val="en-US" w:eastAsia="zh-CN" w:bidi="ar"/>
                <w14:textFill>
                  <w14:solidFill>
                    <w14:schemeClr w14:val="tx1"/>
                  </w14:solidFill>
                </w14:textFill>
              </w:rPr>
              <w:t>+</w:t>
            </w:r>
            <w:r>
              <w:rPr>
                <w:rFonts w:hint="eastAsia" w:cs="Times New Roman"/>
                <w:i w:val="0"/>
                <w:iCs w:val="0"/>
                <w:color w:val="000000" w:themeColor="text1"/>
                <w:kern w:val="0"/>
                <w:sz w:val="21"/>
                <w:szCs w:val="21"/>
                <w:u w:val="none"/>
                <w:lang w:val="en-US" w:eastAsia="zh-CN" w:bidi="ar"/>
                <w14:textFill>
                  <w14:solidFill>
                    <w14:schemeClr w14:val="tx1"/>
                  </w14:solidFill>
                </w14:textFill>
              </w:rPr>
              <w:t>0.4246</w:t>
            </w:r>
          </w:p>
        </w:tc>
      </w:tr>
      <w:tr w14:paraId="0B0741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812" w:type="dxa"/>
            <w:vMerge w:val="continue"/>
            <w:vAlign w:val="center"/>
          </w:tcPr>
          <w:p w14:paraId="66F0B7C6">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宋体" w:cs="宋体"/>
                <w:color w:val="000000" w:themeColor="text1"/>
                <w:spacing w:val="7"/>
                <w:sz w:val="21"/>
                <w14:textFill>
                  <w14:solidFill>
                    <w14:schemeClr w14:val="tx1"/>
                  </w14:solidFill>
                </w14:textFill>
              </w:rPr>
            </w:pPr>
          </w:p>
        </w:tc>
        <w:tc>
          <w:tcPr>
            <w:tcW w:w="2421" w:type="dxa"/>
            <w:shd w:val="clear" w:color="auto" w:fill="auto"/>
            <w:vAlign w:val="center"/>
          </w:tcPr>
          <w:p w14:paraId="430748D6">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宋体"/>
                <w:color w:val="000000" w:themeColor="text1"/>
                <w:spacing w:val="7"/>
                <w:sz w:val="21"/>
                <w:lang w:val="en-US" w:eastAsia="zh-CN"/>
                <w14:textFill>
                  <w14:solidFill>
                    <w14:schemeClr w14:val="tx1"/>
                  </w14:solidFill>
                </w14:textFill>
              </w:rPr>
            </w:pPr>
            <w:r>
              <w:rPr>
                <w:rFonts w:ascii="Times New Roman" w:hAnsi="Times New Roman" w:eastAsia="宋体" w:cs="宋体"/>
                <w:color w:val="000000" w:themeColor="text1"/>
                <w:spacing w:val="7"/>
                <w:sz w:val="21"/>
                <w14:textFill>
                  <w14:solidFill>
                    <w14:schemeClr w14:val="tx1"/>
                  </w14:solidFill>
                </w14:textFill>
              </w:rPr>
              <w:t>SS</w:t>
            </w:r>
          </w:p>
        </w:tc>
        <w:tc>
          <w:tcPr>
            <w:tcW w:w="1983" w:type="dxa"/>
            <w:vAlign w:val="center"/>
          </w:tcPr>
          <w:p w14:paraId="0D8993E8">
            <w:pPr>
              <w:keepNext w:val="0"/>
              <w:keepLines w:val="0"/>
              <w:pageBreakBefore w:val="0"/>
              <w:widowControl/>
              <w:suppressLineNumbers w:val="0"/>
              <w:kinsoku/>
              <w:wordWrap/>
              <w:overflowPunct/>
              <w:topLinePunct w:val="0"/>
              <w:autoSpaceDE/>
              <w:autoSpaceDN/>
              <w:bidi w:val="0"/>
              <w:spacing w:line="240" w:lineRule="auto"/>
              <w:ind w:lef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0.292</w:t>
            </w:r>
          </w:p>
        </w:tc>
        <w:tc>
          <w:tcPr>
            <w:tcW w:w="1255" w:type="dxa"/>
            <w:vAlign w:val="center"/>
          </w:tcPr>
          <w:p w14:paraId="0F574F89">
            <w:pPr>
              <w:keepNext w:val="0"/>
              <w:keepLines w:val="0"/>
              <w:pageBreakBefore w:val="0"/>
              <w:widowControl/>
              <w:suppressLineNumbers w:val="0"/>
              <w:kinsoku/>
              <w:wordWrap/>
              <w:overflowPunct/>
              <w:topLinePunct w:val="0"/>
              <w:autoSpaceDE/>
              <w:autoSpaceDN/>
              <w:bidi w:val="0"/>
              <w:spacing w:line="240" w:lineRule="auto"/>
              <w:ind w:left="0"/>
              <w:jc w:val="center"/>
              <w:textAlignment w:val="center"/>
              <w:rPr>
                <w:rFonts w:hint="eastAsia"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486" w:type="dxa"/>
            <w:vAlign w:val="center"/>
          </w:tcPr>
          <w:p w14:paraId="0F7440FD">
            <w:pPr>
              <w:keepNext w:val="0"/>
              <w:keepLines w:val="0"/>
              <w:pageBreakBefore w:val="0"/>
              <w:widowControl/>
              <w:suppressLineNumbers w:val="0"/>
              <w:kinsoku/>
              <w:wordWrap/>
              <w:overflowPunct/>
              <w:topLinePunct w:val="0"/>
              <w:autoSpaceDE/>
              <w:autoSpaceDN/>
              <w:bidi w:val="0"/>
              <w:spacing w:line="240" w:lineRule="auto"/>
              <w:ind w:left="0"/>
              <w:jc w:val="center"/>
              <w:textAlignment w:val="center"/>
              <w:rPr>
                <w:rFonts w:hint="eastAsia"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514" w:type="dxa"/>
            <w:shd w:val="clear" w:color="auto" w:fill="auto"/>
            <w:vAlign w:val="center"/>
          </w:tcPr>
          <w:p w14:paraId="02FD1594">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3.7668</w:t>
            </w:r>
          </w:p>
        </w:tc>
        <w:tc>
          <w:tcPr>
            <w:tcW w:w="1418" w:type="dxa"/>
            <w:shd w:val="clear" w:color="auto" w:fill="auto"/>
            <w:vAlign w:val="center"/>
          </w:tcPr>
          <w:p w14:paraId="62935BCF">
            <w:pPr>
              <w:keepNext w:val="0"/>
              <w:keepLines w:val="0"/>
              <w:pageBreakBefore w:val="0"/>
              <w:widowControl/>
              <w:suppressLineNumbers w:val="0"/>
              <w:kinsoku/>
              <w:wordWrap/>
              <w:overflowPunct/>
              <w:topLinePunct w:val="0"/>
              <w:autoSpaceDE/>
              <w:autoSpaceDN/>
              <w:bidi w:val="0"/>
              <w:spacing w:line="240" w:lineRule="auto"/>
              <w:ind w:left="0" w:lef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0.292</w:t>
            </w:r>
          </w:p>
        </w:tc>
        <w:tc>
          <w:tcPr>
            <w:tcW w:w="1562" w:type="dxa"/>
            <w:shd w:val="clear" w:color="auto" w:fill="auto"/>
            <w:vAlign w:val="center"/>
          </w:tcPr>
          <w:p w14:paraId="1F0CDE4A">
            <w:pPr>
              <w:keepNext w:val="0"/>
              <w:keepLines w:val="0"/>
              <w:widowControl/>
              <w:suppressLineNumbers w:val="0"/>
              <w:jc w:val="center"/>
              <w:textAlignment w:val="center"/>
              <w:rPr>
                <w:rFonts w:hint="default" w:ascii="Times New Roman" w:hAnsi="Times New Roman" w:eastAsia="宋体" w:cs="宋体"/>
                <w:color w:val="000000" w:themeColor="text1"/>
                <w:spacing w:val="7"/>
                <w:kern w:val="2"/>
                <w:sz w:val="21"/>
                <w:szCs w:val="24"/>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3.7668</w:t>
            </w:r>
          </w:p>
        </w:tc>
        <w:tc>
          <w:tcPr>
            <w:tcW w:w="1337" w:type="dxa"/>
            <w:shd w:val="clear" w:color="auto" w:fill="auto"/>
            <w:vAlign w:val="center"/>
          </w:tcPr>
          <w:p w14:paraId="7FC5955A">
            <w:pPr>
              <w:keepNext w:val="0"/>
              <w:keepLines w:val="0"/>
              <w:widowControl/>
              <w:suppressLineNumbers w:val="0"/>
              <w:jc w:val="center"/>
              <w:textAlignment w:val="center"/>
              <w:rPr>
                <w:rFonts w:hint="default" w:ascii="Times New Roman" w:hAnsi="Times New Roman" w:eastAsia="宋体" w:cs="宋体"/>
                <w:color w:val="000000" w:themeColor="text1"/>
                <w:spacing w:val="7"/>
                <w:kern w:val="2"/>
                <w:sz w:val="21"/>
                <w:szCs w:val="24"/>
                <w:lang w:val="en-US" w:eastAsia="zh-CN" w:bidi="ar-SA"/>
                <w14:textFill>
                  <w14:solidFill>
                    <w14:schemeClr w14:val="tx1"/>
                  </w14:solidFill>
                </w14:textFill>
              </w:rPr>
            </w:pPr>
            <w:r>
              <w:rPr>
                <w:rFonts w:hint="eastAsia" w:cs="宋体"/>
                <w:color w:val="000000" w:themeColor="text1"/>
                <w:spacing w:val="7"/>
                <w:kern w:val="2"/>
                <w:sz w:val="21"/>
                <w:szCs w:val="24"/>
                <w:lang w:val="en-US" w:eastAsia="zh-CN" w:bidi="ar-SA"/>
                <w14:textFill>
                  <w14:solidFill>
                    <w14:schemeClr w14:val="tx1"/>
                  </w14:solidFill>
                </w14:textFill>
              </w:rPr>
              <w:t>+3.4748</w:t>
            </w:r>
          </w:p>
        </w:tc>
      </w:tr>
      <w:tr w14:paraId="526BD7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812" w:type="dxa"/>
            <w:vMerge w:val="continue"/>
            <w:vAlign w:val="center"/>
          </w:tcPr>
          <w:p w14:paraId="2364BED5">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宋体" w:cs="宋体"/>
                <w:color w:val="000000" w:themeColor="text1"/>
                <w:spacing w:val="7"/>
                <w:sz w:val="21"/>
                <w14:textFill>
                  <w14:solidFill>
                    <w14:schemeClr w14:val="tx1"/>
                  </w14:solidFill>
                </w14:textFill>
              </w:rPr>
            </w:pPr>
          </w:p>
        </w:tc>
        <w:tc>
          <w:tcPr>
            <w:tcW w:w="2421" w:type="dxa"/>
            <w:shd w:val="clear" w:color="auto" w:fill="auto"/>
            <w:vAlign w:val="center"/>
          </w:tcPr>
          <w:p w14:paraId="1C9B6C07">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宋体"/>
                <w:color w:val="000000" w:themeColor="text1"/>
                <w:spacing w:val="7"/>
                <w:sz w:val="21"/>
                <w:lang w:val="en-US" w:eastAsia="zh-CN"/>
                <w14:textFill>
                  <w14:solidFill>
                    <w14:schemeClr w14:val="tx1"/>
                  </w14:solidFill>
                </w14:textFill>
              </w:rPr>
            </w:pPr>
            <w:r>
              <w:rPr>
                <w:rFonts w:ascii="Times New Roman" w:hAnsi="Times New Roman" w:eastAsia="宋体" w:cs="宋体"/>
                <w:color w:val="000000" w:themeColor="text1"/>
                <w:spacing w:val="7"/>
                <w:sz w:val="21"/>
                <w14:textFill>
                  <w14:solidFill>
                    <w14:schemeClr w14:val="tx1"/>
                  </w14:solidFill>
                </w14:textFill>
              </w:rPr>
              <w:t>氨氮</w:t>
            </w:r>
          </w:p>
        </w:tc>
        <w:tc>
          <w:tcPr>
            <w:tcW w:w="1983" w:type="dxa"/>
            <w:vAlign w:val="center"/>
          </w:tcPr>
          <w:p w14:paraId="790F3997">
            <w:pPr>
              <w:keepNext w:val="0"/>
              <w:keepLines w:val="0"/>
              <w:pageBreakBefore w:val="0"/>
              <w:widowControl/>
              <w:suppressLineNumbers w:val="0"/>
              <w:kinsoku/>
              <w:wordWrap/>
              <w:overflowPunct/>
              <w:topLinePunct w:val="0"/>
              <w:autoSpaceDE/>
              <w:autoSpaceDN/>
              <w:bidi w:val="0"/>
              <w:spacing w:line="240" w:lineRule="auto"/>
              <w:ind w:left="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1.2352</w:t>
            </w:r>
          </w:p>
        </w:tc>
        <w:tc>
          <w:tcPr>
            <w:tcW w:w="1255" w:type="dxa"/>
            <w:vAlign w:val="center"/>
          </w:tcPr>
          <w:p w14:paraId="1D0454BF">
            <w:pPr>
              <w:keepNext w:val="0"/>
              <w:keepLines w:val="0"/>
              <w:pageBreakBefore w:val="0"/>
              <w:widowControl/>
              <w:suppressLineNumbers w:val="0"/>
              <w:kinsoku/>
              <w:wordWrap/>
              <w:overflowPunct/>
              <w:topLinePunct w:val="0"/>
              <w:autoSpaceDE/>
              <w:autoSpaceDN/>
              <w:bidi w:val="0"/>
              <w:spacing w:line="240" w:lineRule="auto"/>
              <w:ind w:left="0"/>
              <w:jc w:val="center"/>
              <w:textAlignment w:val="center"/>
              <w:rPr>
                <w:rFonts w:hint="eastAsia"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486" w:type="dxa"/>
            <w:vAlign w:val="center"/>
          </w:tcPr>
          <w:p w14:paraId="545E1FCC">
            <w:pPr>
              <w:keepNext w:val="0"/>
              <w:keepLines w:val="0"/>
              <w:pageBreakBefore w:val="0"/>
              <w:widowControl/>
              <w:suppressLineNumbers w:val="0"/>
              <w:kinsoku/>
              <w:wordWrap/>
              <w:overflowPunct/>
              <w:topLinePunct w:val="0"/>
              <w:autoSpaceDE/>
              <w:autoSpaceDN/>
              <w:bidi w:val="0"/>
              <w:spacing w:line="240" w:lineRule="auto"/>
              <w:ind w:left="0"/>
              <w:jc w:val="center"/>
              <w:textAlignment w:val="center"/>
              <w:rPr>
                <w:rFonts w:hint="eastAsia"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514" w:type="dxa"/>
            <w:shd w:val="clear" w:color="auto" w:fill="auto"/>
            <w:vAlign w:val="center"/>
          </w:tcPr>
          <w:p w14:paraId="344835CB">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0.2122</w:t>
            </w:r>
          </w:p>
        </w:tc>
        <w:tc>
          <w:tcPr>
            <w:tcW w:w="1418" w:type="dxa"/>
            <w:shd w:val="clear" w:color="auto" w:fill="auto"/>
            <w:vAlign w:val="center"/>
          </w:tcPr>
          <w:p w14:paraId="46499EAB">
            <w:pPr>
              <w:keepNext w:val="0"/>
              <w:keepLines w:val="0"/>
              <w:pageBreakBefore w:val="0"/>
              <w:widowControl/>
              <w:suppressLineNumbers w:val="0"/>
              <w:kinsoku/>
              <w:wordWrap/>
              <w:overflowPunct/>
              <w:topLinePunct w:val="0"/>
              <w:autoSpaceDE/>
              <w:autoSpaceDN/>
              <w:bidi w:val="0"/>
              <w:spacing w:line="240" w:lineRule="auto"/>
              <w:ind w:left="0" w:leftChars="0"/>
              <w:jc w:val="center"/>
              <w:textAlignment w:val="center"/>
              <w:rPr>
                <w:rFonts w:hint="eastAsia"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1.2352</w:t>
            </w:r>
          </w:p>
        </w:tc>
        <w:tc>
          <w:tcPr>
            <w:tcW w:w="1562" w:type="dxa"/>
            <w:shd w:val="clear" w:color="auto" w:fill="auto"/>
            <w:vAlign w:val="center"/>
          </w:tcPr>
          <w:p w14:paraId="41ADA758">
            <w:pPr>
              <w:keepNext w:val="0"/>
              <w:keepLines w:val="0"/>
              <w:widowControl/>
              <w:suppressLineNumbers w:val="0"/>
              <w:jc w:val="center"/>
              <w:textAlignment w:val="center"/>
              <w:rPr>
                <w:rFonts w:hint="default" w:ascii="Times New Roman" w:hAnsi="Times New Roman" w:eastAsia="宋体" w:cs="宋体"/>
                <w:color w:val="000000" w:themeColor="text1"/>
                <w:spacing w:val="7"/>
                <w:kern w:val="2"/>
                <w:sz w:val="21"/>
                <w:szCs w:val="24"/>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0.2122</w:t>
            </w:r>
          </w:p>
        </w:tc>
        <w:tc>
          <w:tcPr>
            <w:tcW w:w="1337" w:type="dxa"/>
            <w:shd w:val="clear" w:color="auto" w:fill="auto"/>
            <w:vAlign w:val="center"/>
          </w:tcPr>
          <w:p w14:paraId="426F2D6F">
            <w:pPr>
              <w:keepNext w:val="0"/>
              <w:keepLines w:val="0"/>
              <w:widowControl/>
              <w:suppressLineNumbers w:val="0"/>
              <w:jc w:val="center"/>
              <w:textAlignment w:val="center"/>
              <w:rPr>
                <w:rFonts w:hint="default" w:ascii="Times New Roman" w:hAnsi="Times New Roman" w:eastAsia="宋体" w:cs="宋体"/>
                <w:color w:val="000000" w:themeColor="text1"/>
                <w:spacing w:val="7"/>
                <w:kern w:val="2"/>
                <w:sz w:val="21"/>
                <w:szCs w:val="24"/>
                <w:lang w:val="en-US" w:eastAsia="zh-CN" w:bidi="ar-SA"/>
                <w14:textFill>
                  <w14:solidFill>
                    <w14:schemeClr w14:val="tx1"/>
                  </w14:solidFill>
                </w14:textFill>
              </w:rPr>
            </w:pPr>
            <w:r>
              <w:rPr>
                <w:rFonts w:hint="eastAsia" w:cs="宋体"/>
                <w:color w:val="000000" w:themeColor="text1"/>
                <w:spacing w:val="7"/>
                <w:kern w:val="2"/>
                <w:sz w:val="21"/>
                <w:szCs w:val="24"/>
                <w:lang w:val="en-US" w:eastAsia="zh-CN" w:bidi="ar-SA"/>
                <w14:textFill>
                  <w14:solidFill>
                    <w14:schemeClr w14:val="tx1"/>
                  </w14:solidFill>
                </w14:textFill>
              </w:rPr>
              <w:t>-1.023</w:t>
            </w:r>
          </w:p>
        </w:tc>
      </w:tr>
      <w:tr w14:paraId="69EA33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3" w:hRule="exact"/>
        </w:trPr>
        <w:tc>
          <w:tcPr>
            <w:tcW w:w="812" w:type="dxa"/>
            <w:vMerge w:val="continue"/>
            <w:vAlign w:val="center"/>
          </w:tcPr>
          <w:p w14:paraId="35581E5F">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宋体"/>
                <w:color w:val="000000" w:themeColor="text1"/>
                <w:spacing w:val="7"/>
                <w:sz w:val="21"/>
                <w:lang w:val="en-US" w:eastAsia="zh-CN"/>
                <w14:textFill>
                  <w14:solidFill>
                    <w14:schemeClr w14:val="tx1"/>
                  </w14:solidFill>
                </w14:textFill>
              </w:rPr>
            </w:pPr>
          </w:p>
        </w:tc>
        <w:tc>
          <w:tcPr>
            <w:tcW w:w="2421" w:type="dxa"/>
            <w:shd w:val="clear" w:color="auto" w:fill="auto"/>
            <w:vAlign w:val="center"/>
          </w:tcPr>
          <w:p w14:paraId="7712D66D">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宋体"/>
                <w:color w:val="000000" w:themeColor="text1"/>
                <w:spacing w:val="7"/>
                <w:sz w:val="21"/>
                <w:lang w:val="en-US" w:eastAsia="zh-CN"/>
                <w14:textFill>
                  <w14:solidFill>
                    <w14:schemeClr w14:val="tx1"/>
                  </w14:solidFill>
                </w14:textFill>
              </w:rPr>
            </w:pPr>
            <w:r>
              <w:rPr>
                <w:rFonts w:hint="eastAsia" w:ascii="Times New Roman" w:hAnsi="Times New Roman" w:cs="宋体"/>
                <w:color w:val="000000" w:themeColor="text1"/>
                <w:spacing w:val="7"/>
                <w:sz w:val="21"/>
                <w:lang w:val="en-US" w:eastAsia="zh-CN"/>
                <w14:textFill>
                  <w14:solidFill>
                    <w14:schemeClr w14:val="tx1"/>
                  </w14:solidFill>
                </w14:textFill>
              </w:rPr>
              <w:t>粪大肠菌群</w:t>
            </w:r>
          </w:p>
        </w:tc>
        <w:tc>
          <w:tcPr>
            <w:tcW w:w="1983" w:type="dxa"/>
            <w:vAlign w:val="center"/>
          </w:tcPr>
          <w:p w14:paraId="2BD4C8E3">
            <w:pPr>
              <w:keepNext w:val="0"/>
              <w:keepLines w:val="0"/>
              <w:pageBreakBefore w:val="0"/>
              <w:widowControl/>
              <w:suppressLineNumbers w:val="0"/>
              <w:kinsoku/>
              <w:wordWrap/>
              <w:overflowPunct/>
              <w:topLinePunct w:val="0"/>
              <w:autoSpaceDE/>
              <w:autoSpaceDN/>
              <w:bidi w:val="0"/>
              <w:spacing w:line="240" w:lineRule="auto"/>
              <w:ind w:left="0"/>
              <w:jc w:val="center"/>
              <w:textAlignment w:val="center"/>
              <w:rPr>
                <w:rFonts w:hint="default" w:ascii="Times New Roman" w:hAnsi="Times New Roman" w:eastAsia="宋体"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3.796×10</w:t>
            </w:r>
            <w:r>
              <w:rPr>
                <w:rFonts w:hint="eastAsia"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9</w:t>
            </w:r>
            <w:r>
              <w:rPr>
                <w:rFonts w:hint="eastAsia" w:cs="Times New Roman"/>
                <w:i w:val="0"/>
                <w:iCs w:val="0"/>
                <w:color w:val="000000" w:themeColor="text1"/>
                <w:kern w:val="0"/>
                <w:sz w:val="21"/>
                <w:szCs w:val="21"/>
                <w:highlight w:val="none"/>
                <w:u w:val="none"/>
                <w:vertAlign w:val="baseline"/>
                <w:lang w:val="en-US" w:eastAsia="zh-CN" w:bidi="ar"/>
                <w14:textFill>
                  <w14:solidFill>
                    <w14:schemeClr w14:val="tx1"/>
                  </w14:solidFill>
                </w14:textFill>
              </w:rPr>
              <w:t>个/a</w:t>
            </w:r>
          </w:p>
        </w:tc>
        <w:tc>
          <w:tcPr>
            <w:tcW w:w="1255" w:type="dxa"/>
            <w:vAlign w:val="center"/>
          </w:tcPr>
          <w:p w14:paraId="13EA7DDB">
            <w:pPr>
              <w:keepNext w:val="0"/>
              <w:keepLines w:val="0"/>
              <w:pageBreakBefore w:val="0"/>
              <w:widowControl/>
              <w:suppressLineNumbers w:val="0"/>
              <w:kinsoku/>
              <w:wordWrap/>
              <w:overflowPunct/>
              <w:topLinePunct w:val="0"/>
              <w:autoSpaceDE/>
              <w:autoSpaceDN/>
              <w:bidi w:val="0"/>
              <w:spacing w:line="240" w:lineRule="auto"/>
              <w:ind w:left="0"/>
              <w:jc w:val="center"/>
              <w:textAlignment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486" w:type="dxa"/>
            <w:vAlign w:val="center"/>
          </w:tcPr>
          <w:p w14:paraId="6EA4A2EE">
            <w:pPr>
              <w:keepNext w:val="0"/>
              <w:keepLines w:val="0"/>
              <w:pageBreakBefore w:val="0"/>
              <w:widowControl/>
              <w:suppressLineNumbers w:val="0"/>
              <w:kinsoku/>
              <w:wordWrap/>
              <w:overflowPunct/>
              <w:topLinePunct w:val="0"/>
              <w:autoSpaceDE/>
              <w:autoSpaceDN/>
              <w:bidi w:val="0"/>
              <w:spacing w:line="240" w:lineRule="auto"/>
              <w:ind w:left="0"/>
              <w:jc w:val="center"/>
              <w:textAlignment w:val="center"/>
              <w:rPr>
                <w:rFonts w:hint="default" w:ascii="Times New Roman" w:hAnsi="Times New Roman" w:eastAsia="宋体" w:cs="Times New Roman"/>
                <w:snapToGrid w:val="0"/>
                <w:color w:val="000000" w:themeColor="text1"/>
                <w:kern w:val="21"/>
                <w:sz w:val="21"/>
                <w:szCs w:val="21"/>
                <w:highlight w:val="none"/>
                <w:lang w:val="en-US" w:eastAsia="zh-CN"/>
                <w14:textFill>
                  <w14:solidFill>
                    <w14:schemeClr w14:val="tx1"/>
                  </w14:solidFill>
                </w14:textFill>
              </w:rPr>
            </w:pPr>
            <w: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t>/</w:t>
            </w:r>
          </w:p>
        </w:tc>
        <w:tc>
          <w:tcPr>
            <w:tcW w:w="1514" w:type="dxa"/>
            <w:shd w:val="clear" w:color="auto" w:fill="auto"/>
            <w:vAlign w:val="center"/>
          </w:tcPr>
          <w:p w14:paraId="1BA70FA1">
            <w:pPr>
              <w:keepNext w:val="0"/>
              <w:keepLines w:val="0"/>
              <w:widowControl/>
              <w:suppressLineNumbers w:val="0"/>
              <w:jc w:val="center"/>
              <w:textAlignment w:val="center"/>
              <w:rPr>
                <w:rFonts w:hint="default" w:ascii="Times New Roman" w:hAnsi="Times New Roman" w:eastAsia="宋体"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3.024</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×10</w:t>
            </w:r>
            <w:r>
              <w:rPr>
                <w:rFonts w:hint="eastAsia"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9</w:t>
            </w:r>
            <w:r>
              <w:rPr>
                <w:rFonts w:hint="eastAsia" w:eastAsia="宋体" w:cs="Times New Roman"/>
                <w:i w:val="0"/>
                <w:iCs w:val="0"/>
                <w:color w:val="000000" w:themeColor="text1"/>
                <w:kern w:val="0"/>
                <w:sz w:val="21"/>
                <w:szCs w:val="21"/>
                <w:u w:val="none"/>
                <w:lang w:val="en-US" w:eastAsia="zh-CN" w:bidi="ar"/>
                <w14:textFill>
                  <w14:solidFill>
                    <w14:schemeClr w14:val="tx1"/>
                  </w14:solidFill>
                </w14:textFill>
              </w:rPr>
              <w:t>个/a</w:t>
            </w:r>
          </w:p>
        </w:tc>
        <w:tc>
          <w:tcPr>
            <w:tcW w:w="1418" w:type="dxa"/>
            <w:shd w:val="clear" w:color="auto" w:fill="auto"/>
            <w:vAlign w:val="center"/>
          </w:tcPr>
          <w:p w14:paraId="292C0669">
            <w:pPr>
              <w:keepNext w:val="0"/>
              <w:keepLines w:val="0"/>
              <w:pageBreakBefore w:val="0"/>
              <w:widowControl/>
              <w:suppressLineNumbers w:val="0"/>
              <w:kinsoku/>
              <w:wordWrap/>
              <w:overflowPunct/>
              <w:topLinePunct w:val="0"/>
              <w:autoSpaceDE/>
              <w:autoSpaceDN/>
              <w:bidi w:val="0"/>
              <w:spacing w:line="240" w:lineRule="auto"/>
              <w:ind w:left="0" w:leftChars="0"/>
              <w:jc w:val="center"/>
              <w:textAlignment w:val="center"/>
              <w:rPr>
                <w:rFonts w:hint="default" w:ascii="Times New Roman" w:hAnsi="Times New Roman" w:eastAsia="宋体" w:cs="Times New Roman"/>
                <w:i w:val="0"/>
                <w:iCs w:val="0"/>
                <w:color w:val="000000" w:themeColor="text1"/>
                <w:kern w:val="0"/>
                <w:sz w:val="21"/>
                <w:szCs w:val="21"/>
                <w:highlight w:val="none"/>
                <w:u w:val="none"/>
                <w:lang w:val="en-US" w:eastAsia="zh-CN" w:bidi="ar"/>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3.796×10</w:t>
            </w:r>
            <w:r>
              <w:rPr>
                <w:rFonts w:hint="eastAsia"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9</w:t>
            </w:r>
            <w:r>
              <w:rPr>
                <w:rFonts w:hint="eastAsia" w:eastAsia="宋体" w:cs="Times New Roman"/>
                <w:i w:val="0"/>
                <w:iCs w:val="0"/>
                <w:color w:val="000000" w:themeColor="text1"/>
                <w:kern w:val="0"/>
                <w:sz w:val="21"/>
                <w:szCs w:val="21"/>
                <w:u w:val="none"/>
                <w:lang w:val="en-US" w:eastAsia="zh-CN" w:bidi="ar"/>
                <w14:textFill>
                  <w14:solidFill>
                    <w14:schemeClr w14:val="tx1"/>
                  </w14:solidFill>
                </w14:textFill>
              </w:rPr>
              <w:t>个/a</w:t>
            </w:r>
          </w:p>
        </w:tc>
        <w:tc>
          <w:tcPr>
            <w:tcW w:w="1562" w:type="dxa"/>
            <w:shd w:val="clear" w:color="auto" w:fill="auto"/>
            <w:vAlign w:val="center"/>
          </w:tcPr>
          <w:p w14:paraId="7F6F07D8">
            <w:pPr>
              <w:keepNext w:val="0"/>
              <w:keepLines w:val="0"/>
              <w:widowControl/>
              <w:suppressLineNumbers w:val="0"/>
              <w:jc w:val="center"/>
              <w:textAlignment w:val="center"/>
              <w:rPr>
                <w:rFonts w:hint="default" w:ascii="Times New Roman" w:hAnsi="Times New Roman" w:eastAsia="宋体" w:cs="宋体"/>
                <w:color w:val="000000" w:themeColor="text1"/>
                <w:spacing w:val="7"/>
                <w:kern w:val="2"/>
                <w:sz w:val="21"/>
                <w:szCs w:val="24"/>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3.024</w:t>
            </w: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×10</w:t>
            </w:r>
            <w:r>
              <w:rPr>
                <w:rFonts w:hint="eastAsia"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9</w:t>
            </w:r>
            <w:r>
              <w:rPr>
                <w:rFonts w:hint="eastAsia" w:eastAsia="宋体" w:cs="Times New Roman"/>
                <w:i w:val="0"/>
                <w:iCs w:val="0"/>
                <w:color w:val="000000" w:themeColor="text1"/>
                <w:kern w:val="0"/>
                <w:sz w:val="21"/>
                <w:szCs w:val="21"/>
                <w:u w:val="none"/>
                <w:lang w:val="en-US" w:eastAsia="zh-CN" w:bidi="ar"/>
                <w14:textFill>
                  <w14:solidFill>
                    <w14:schemeClr w14:val="tx1"/>
                  </w14:solidFill>
                </w14:textFill>
              </w:rPr>
              <w:t>个/a</w:t>
            </w:r>
          </w:p>
        </w:tc>
        <w:tc>
          <w:tcPr>
            <w:tcW w:w="1337" w:type="dxa"/>
            <w:shd w:val="clear" w:color="auto" w:fill="auto"/>
            <w:vAlign w:val="center"/>
          </w:tcPr>
          <w:p w14:paraId="7B565F18">
            <w:pPr>
              <w:keepNext w:val="0"/>
              <w:keepLines w:val="0"/>
              <w:widowControl/>
              <w:suppressLineNumbers w:val="0"/>
              <w:jc w:val="center"/>
              <w:textAlignment w:val="center"/>
              <w:rPr>
                <w:rFonts w:hint="default" w:ascii="Times New Roman" w:hAnsi="Times New Roman" w:eastAsia="宋体" w:cs="宋体"/>
                <w:color w:val="000000" w:themeColor="text1"/>
                <w:spacing w:val="7"/>
                <w:kern w:val="2"/>
                <w:sz w:val="21"/>
                <w:szCs w:val="24"/>
                <w:lang w:val="en-US" w:eastAsia="zh-CN" w:bidi="ar-SA"/>
                <w14:textFill>
                  <w14:solidFill>
                    <w14:schemeClr w14:val="tx1"/>
                  </w14:solidFill>
                </w14:textFill>
              </w:rPr>
            </w:pPr>
            <w:r>
              <w:rPr>
                <w:rFonts w:hint="eastAsia" w:cs="Times New Roman"/>
                <w:i w:val="0"/>
                <w:iCs w:val="0"/>
                <w:color w:val="000000" w:themeColor="text1"/>
                <w:kern w:val="0"/>
                <w:sz w:val="21"/>
                <w:szCs w:val="21"/>
                <w:highlight w:val="none"/>
                <w:u w:val="none"/>
                <w:lang w:val="en-US" w:eastAsia="zh-CN" w:bidi="ar"/>
                <w14:textFill>
                  <w14:solidFill>
                    <w14:schemeClr w14:val="tx1"/>
                  </w14:solidFill>
                </w14:textFill>
              </w:rPr>
              <w:t>-0.772×10</w:t>
            </w:r>
            <w:r>
              <w:rPr>
                <w:rFonts w:hint="eastAsia" w:cs="Times New Roman"/>
                <w:i w:val="0"/>
                <w:iCs w:val="0"/>
                <w:color w:val="000000" w:themeColor="text1"/>
                <w:kern w:val="0"/>
                <w:sz w:val="21"/>
                <w:szCs w:val="21"/>
                <w:highlight w:val="none"/>
                <w:u w:val="none"/>
                <w:vertAlign w:val="superscript"/>
                <w:lang w:val="en-US" w:eastAsia="zh-CN" w:bidi="ar"/>
                <w14:textFill>
                  <w14:solidFill>
                    <w14:schemeClr w14:val="tx1"/>
                  </w14:solidFill>
                </w14:textFill>
              </w:rPr>
              <w:t>9</w:t>
            </w:r>
            <w:r>
              <w:rPr>
                <w:rFonts w:hint="eastAsia" w:eastAsia="宋体" w:cs="Times New Roman"/>
                <w:i w:val="0"/>
                <w:iCs w:val="0"/>
                <w:color w:val="000000" w:themeColor="text1"/>
                <w:kern w:val="0"/>
                <w:sz w:val="21"/>
                <w:szCs w:val="21"/>
                <w:u w:val="none"/>
                <w:lang w:val="en-US" w:eastAsia="zh-CN" w:bidi="ar"/>
                <w14:textFill>
                  <w14:solidFill>
                    <w14:schemeClr w14:val="tx1"/>
                  </w14:solidFill>
                </w14:textFill>
              </w:rPr>
              <w:t>个/a</w:t>
            </w:r>
          </w:p>
        </w:tc>
      </w:tr>
      <w:tr w14:paraId="2ED9A6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28" w:hRule="exact"/>
        </w:trPr>
        <w:tc>
          <w:tcPr>
            <w:tcW w:w="812" w:type="dxa"/>
            <w:shd w:val="clear" w:color="auto" w:fill="auto"/>
            <w:vAlign w:val="center"/>
          </w:tcPr>
          <w:p w14:paraId="085BFC66">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宋体" w:cs="宋体"/>
                <w:color w:val="000000" w:themeColor="text1"/>
                <w:spacing w:val="7"/>
                <w:sz w:val="21"/>
                <w14:textFill>
                  <w14:solidFill>
                    <w14:schemeClr w14:val="tx1"/>
                  </w14:solidFill>
                </w14:textFill>
              </w:rPr>
            </w:pPr>
            <w:r>
              <w:rPr>
                <w:rFonts w:ascii="Times New Roman" w:hAnsi="Times New Roman" w:eastAsia="宋体" w:cs="宋体"/>
                <w:color w:val="000000" w:themeColor="text1"/>
                <w:spacing w:val="7"/>
                <w:sz w:val="21"/>
                <w14:textFill>
                  <w14:solidFill>
                    <w14:schemeClr w14:val="tx1"/>
                  </w14:solidFill>
                </w14:textFill>
              </w:rPr>
              <w:t>一般工业</w:t>
            </w:r>
          </w:p>
          <w:p w14:paraId="78F440BC">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宋体" w:cs="宋体"/>
                <w:color w:val="000000" w:themeColor="text1"/>
                <w:spacing w:val="7"/>
                <w:sz w:val="21"/>
                <w14:textFill>
                  <w14:solidFill>
                    <w14:schemeClr w14:val="tx1"/>
                  </w14:solidFill>
                </w14:textFill>
              </w:rPr>
            </w:pPr>
            <w:r>
              <w:rPr>
                <w:rFonts w:ascii="Times New Roman" w:hAnsi="Times New Roman" w:eastAsia="宋体" w:cs="宋体"/>
                <w:color w:val="000000" w:themeColor="text1"/>
                <w:spacing w:val="7"/>
                <w:sz w:val="21"/>
                <w14:textFill>
                  <w14:solidFill>
                    <w14:schemeClr w14:val="tx1"/>
                  </w14:solidFill>
                </w14:textFill>
              </w:rPr>
              <w:t>固体废物</w:t>
            </w:r>
          </w:p>
        </w:tc>
        <w:tc>
          <w:tcPr>
            <w:tcW w:w="2421" w:type="dxa"/>
            <w:shd w:val="clear" w:color="auto" w:fill="auto"/>
            <w:vAlign w:val="center"/>
          </w:tcPr>
          <w:p w14:paraId="29C97ADF">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宋体"/>
                <w:color w:val="000000" w:themeColor="text1"/>
                <w:spacing w:val="7"/>
                <w:sz w:val="21"/>
                <w:lang w:val="en-US" w:eastAsia="zh-CN"/>
                <w14:textFill>
                  <w14:solidFill>
                    <w14:schemeClr w14:val="tx1"/>
                  </w14:solidFill>
                </w14:textFill>
              </w:rPr>
            </w:pPr>
            <w:r>
              <w:rPr>
                <w:rFonts w:hint="eastAsia" w:ascii="Times New Roman" w:hAnsi="Times New Roman" w:cs="宋体"/>
                <w:color w:val="000000" w:themeColor="text1"/>
                <w:spacing w:val="7"/>
                <w:sz w:val="21"/>
                <w:lang w:val="en-US" w:eastAsia="zh-CN"/>
                <w14:textFill>
                  <w14:solidFill>
                    <w14:schemeClr w14:val="tx1"/>
                  </w14:solidFill>
                </w14:textFill>
              </w:rPr>
              <w:t>废包装材料</w:t>
            </w:r>
          </w:p>
        </w:tc>
        <w:tc>
          <w:tcPr>
            <w:tcW w:w="1983" w:type="dxa"/>
            <w:shd w:val="clear" w:color="auto" w:fill="auto"/>
            <w:vAlign w:val="center"/>
          </w:tcPr>
          <w:p w14:paraId="186BC226">
            <w:pPr>
              <w:keepNext w:val="0"/>
              <w:keepLines w:val="0"/>
              <w:pageBreakBefore w:val="0"/>
              <w:widowControl/>
              <w:kinsoku/>
              <w:wordWrap/>
              <w:overflowPunct/>
              <w:topLinePunct w:val="0"/>
              <w:autoSpaceDE/>
              <w:autoSpaceDN/>
              <w:bidi w:val="0"/>
              <w:spacing w:line="240" w:lineRule="auto"/>
              <w:ind w:left="0"/>
              <w:jc w:val="center"/>
              <w:textAlignment w:val="bottom"/>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cs="Times New Roman"/>
                <w:snapToGrid w:val="0"/>
                <w:color w:val="000000" w:themeColor="text1"/>
                <w:kern w:val="21"/>
                <w:sz w:val="21"/>
                <w:szCs w:val="21"/>
                <w:highlight w:val="none"/>
                <w:lang w:val="en-US" w:eastAsia="zh-CN" w:bidi="ar-SA"/>
                <w14:textFill>
                  <w14:solidFill>
                    <w14:schemeClr w14:val="tx1"/>
                  </w14:solidFill>
                </w14:textFill>
              </w:rPr>
              <w:t>1.0</w:t>
            </w:r>
          </w:p>
        </w:tc>
        <w:tc>
          <w:tcPr>
            <w:tcW w:w="1255" w:type="dxa"/>
            <w:shd w:val="clear" w:color="auto" w:fill="auto"/>
            <w:vAlign w:val="center"/>
          </w:tcPr>
          <w:p w14:paraId="5AA613FC">
            <w:pPr>
              <w:keepNext w:val="0"/>
              <w:keepLines w:val="0"/>
              <w:pageBreakBefore w:val="0"/>
              <w:widowControl/>
              <w:kinsoku/>
              <w:wordWrap/>
              <w:overflowPunct/>
              <w:topLinePunct w:val="0"/>
              <w:autoSpaceDE/>
              <w:autoSpaceDN/>
              <w:bidi w:val="0"/>
              <w:spacing w:line="240" w:lineRule="auto"/>
              <w:ind w:left="0"/>
              <w:jc w:val="center"/>
              <w:textAlignment w:val="bottom"/>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ascii="Times New Roman" w:hAnsi="Times New Roman" w:eastAsia="宋体"/>
                <w:color w:val="000000" w:themeColor="text1"/>
                <w:kern w:val="0"/>
                <w:sz w:val="21"/>
                <w:szCs w:val="21"/>
                <w:highlight w:val="none"/>
                <w:lang w:val="en-US" w:eastAsia="zh-CN" w:bidi="ar"/>
                <w14:textFill>
                  <w14:solidFill>
                    <w14:schemeClr w14:val="tx1"/>
                  </w14:solidFill>
                </w14:textFill>
              </w:rPr>
              <w:t>/</w:t>
            </w:r>
          </w:p>
        </w:tc>
        <w:tc>
          <w:tcPr>
            <w:tcW w:w="1486" w:type="dxa"/>
            <w:shd w:val="clear" w:color="auto" w:fill="auto"/>
            <w:vAlign w:val="center"/>
          </w:tcPr>
          <w:p w14:paraId="6537E4F7">
            <w:pPr>
              <w:keepNext w:val="0"/>
              <w:keepLines w:val="0"/>
              <w:pageBreakBefore w:val="0"/>
              <w:widowControl/>
              <w:kinsoku/>
              <w:wordWrap/>
              <w:overflowPunct/>
              <w:topLinePunct w:val="0"/>
              <w:autoSpaceDE/>
              <w:autoSpaceDN/>
              <w:bidi w:val="0"/>
              <w:spacing w:line="240" w:lineRule="auto"/>
              <w:ind w:left="0"/>
              <w:jc w:val="center"/>
              <w:textAlignment w:val="bottom"/>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ascii="Times New Roman" w:hAnsi="Times New Roman" w:eastAsia="宋体"/>
                <w:color w:val="000000" w:themeColor="text1"/>
                <w:kern w:val="0"/>
                <w:sz w:val="21"/>
                <w:szCs w:val="21"/>
                <w:highlight w:val="none"/>
                <w:lang w:val="en-US" w:eastAsia="zh-CN" w:bidi="ar"/>
                <w14:textFill>
                  <w14:solidFill>
                    <w14:schemeClr w14:val="tx1"/>
                  </w14:solidFill>
                </w14:textFill>
              </w:rPr>
              <w:t>/</w:t>
            </w:r>
          </w:p>
        </w:tc>
        <w:tc>
          <w:tcPr>
            <w:tcW w:w="1514" w:type="dxa"/>
            <w:shd w:val="clear" w:color="auto" w:fill="auto"/>
            <w:vAlign w:val="center"/>
          </w:tcPr>
          <w:p w14:paraId="10A32451">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宋体"/>
                <w:color w:val="000000" w:themeColor="text1"/>
                <w:spacing w:val="7"/>
                <w:sz w:val="21"/>
                <w:lang w:val="en-US" w:eastAsia="zh-CN"/>
                <w14:textFill>
                  <w14:solidFill>
                    <w14:schemeClr w14:val="tx1"/>
                  </w14:solidFill>
                </w14:textFill>
              </w:rPr>
            </w:pPr>
            <w:r>
              <w:rPr>
                <w:rFonts w:hint="eastAsia" w:ascii="Times New Roman" w:hAnsi="Times New Roman" w:cs="宋体"/>
                <w:color w:val="000000" w:themeColor="text1"/>
                <w:spacing w:val="7"/>
                <w:sz w:val="21"/>
                <w:lang w:val="en-US" w:eastAsia="zh-CN"/>
                <w14:textFill>
                  <w14:solidFill>
                    <w14:schemeClr w14:val="tx1"/>
                  </w14:solidFill>
                </w14:textFill>
              </w:rPr>
              <w:t>1.5</w:t>
            </w:r>
          </w:p>
        </w:tc>
        <w:tc>
          <w:tcPr>
            <w:tcW w:w="1418" w:type="dxa"/>
            <w:shd w:val="clear" w:color="auto" w:fill="auto"/>
            <w:vAlign w:val="center"/>
          </w:tcPr>
          <w:p w14:paraId="706D586F">
            <w:pPr>
              <w:keepNext w:val="0"/>
              <w:keepLines w:val="0"/>
              <w:pageBreakBefore w:val="0"/>
              <w:widowControl/>
              <w:kinsoku/>
              <w:wordWrap/>
              <w:overflowPunct/>
              <w:topLinePunct w:val="0"/>
              <w:autoSpaceDE/>
              <w:autoSpaceDN/>
              <w:bidi w:val="0"/>
              <w:spacing w:line="240" w:lineRule="auto"/>
              <w:ind w:left="0"/>
              <w:jc w:val="center"/>
              <w:textAlignment w:val="bottom"/>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cs="Times New Roman"/>
                <w:snapToGrid w:val="0"/>
                <w:color w:val="000000" w:themeColor="text1"/>
                <w:kern w:val="21"/>
                <w:sz w:val="21"/>
                <w:szCs w:val="21"/>
                <w:highlight w:val="none"/>
                <w:lang w:val="en-US" w:eastAsia="zh-CN" w:bidi="ar-SA"/>
                <w14:textFill>
                  <w14:solidFill>
                    <w14:schemeClr w14:val="tx1"/>
                  </w14:solidFill>
                </w14:textFill>
              </w:rPr>
              <w:t>1.0</w:t>
            </w:r>
          </w:p>
        </w:tc>
        <w:tc>
          <w:tcPr>
            <w:tcW w:w="1562" w:type="dxa"/>
            <w:shd w:val="clear" w:color="auto" w:fill="auto"/>
            <w:vAlign w:val="center"/>
          </w:tcPr>
          <w:p w14:paraId="23C6DD4A">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宋体"/>
                <w:color w:val="000000" w:themeColor="text1"/>
                <w:spacing w:val="7"/>
                <w:kern w:val="2"/>
                <w:sz w:val="21"/>
                <w:szCs w:val="24"/>
                <w:lang w:val="en-US" w:eastAsia="zh-CN" w:bidi="ar-SA"/>
                <w14:textFill>
                  <w14:solidFill>
                    <w14:schemeClr w14:val="tx1"/>
                  </w14:solidFill>
                </w14:textFill>
              </w:rPr>
            </w:pPr>
            <w:r>
              <w:rPr>
                <w:rFonts w:hint="eastAsia" w:ascii="Times New Roman" w:hAnsi="Times New Roman" w:cs="宋体"/>
                <w:color w:val="000000" w:themeColor="text1"/>
                <w:spacing w:val="7"/>
                <w:kern w:val="2"/>
                <w:sz w:val="21"/>
                <w:szCs w:val="24"/>
                <w:lang w:val="en-US" w:eastAsia="zh-CN" w:bidi="ar-SA"/>
                <w14:textFill>
                  <w14:solidFill>
                    <w14:schemeClr w14:val="tx1"/>
                  </w14:solidFill>
                </w14:textFill>
              </w:rPr>
              <w:t>1.5</w:t>
            </w:r>
          </w:p>
        </w:tc>
        <w:tc>
          <w:tcPr>
            <w:tcW w:w="1337" w:type="dxa"/>
            <w:shd w:val="clear" w:color="auto" w:fill="auto"/>
            <w:vAlign w:val="center"/>
          </w:tcPr>
          <w:p w14:paraId="2F244B39">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宋体"/>
                <w:color w:val="000000" w:themeColor="text1"/>
                <w:spacing w:val="7"/>
                <w:kern w:val="2"/>
                <w:sz w:val="21"/>
                <w:szCs w:val="24"/>
                <w:lang w:val="en-US" w:eastAsia="zh-CN" w:bidi="ar-SA"/>
                <w14:textFill>
                  <w14:solidFill>
                    <w14:schemeClr w14:val="tx1"/>
                  </w14:solidFill>
                </w14:textFill>
              </w:rPr>
            </w:pPr>
            <w:r>
              <w:rPr>
                <w:rFonts w:hint="eastAsia" w:ascii="Times New Roman" w:hAnsi="Times New Roman" w:cs="宋体"/>
                <w:color w:val="000000" w:themeColor="text1"/>
                <w:spacing w:val="7"/>
                <w:kern w:val="2"/>
                <w:sz w:val="21"/>
                <w:szCs w:val="24"/>
                <w:lang w:val="en-US" w:eastAsia="zh-CN" w:bidi="ar-SA"/>
                <w14:textFill>
                  <w14:solidFill>
                    <w14:schemeClr w14:val="tx1"/>
                  </w14:solidFill>
                </w14:textFill>
              </w:rPr>
              <w:t>+0.5</w:t>
            </w:r>
          </w:p>
        </w:tc>
      </w:tr>
      <w:tr w14:paraId="0F100D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812" w:type="dxa"/>
            <w:vMerge w:val="restart"/>
            <w:vAlign w:val="center"/>
          </w:tcPr>
          <w:p w14:paraId="30BA5437">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宋体" w:cs="宋体"/>
                <w:color w:val="000000" w:themeColor="text1"/>
                <w:spacing w:val="7"/>
                <w:sz w:val="21"/>
                <w14:textFill>
                  <w14:solidFill>
                    <w14:schemeClr w14:val="tx1"/>
                  </w14:solidFill>
                </w14:textFill>
              </w:rPr>
            </w:pPr>
            <w:r>
              <w:rPr>
                <w:rFonts w:ascii="Times New Roman" w:hAnsi="Times New Roman" w:eastAsia="宋体" w:cs="宋体"/>
                <w:color w:val="000000" w:themeColor="text1"/>
                <w:spacing w:val="7"/>
                <w:sz w:val="21"/>
                <w14:textFill>
                  <w14:solidFill>
                    <w14:schemeClr w14:val="tx1"/>
                  </w14:solidFill>
                </w14:textFill>
              </w:rPr>
              <w:t>危险废物</w:t>
            </w:r>
          </w:p>
        </w:tc>
        <w:tc>
          <w:tcPr>
            <w:tcW w:w="2421" w:type="dxa"/>
            <w:shd w:val="clear" w:color="auto" w:fill="auto"/>
            <w:vAlign w:val="center"/>
          </w:tcPr>
          <w:p w14:paraId="0C27C05F">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宋体"/>
                <w:color w:val="000000" w:themeColor="text1"/>
                <w:spacing w:val="7"/>
                <w:sz w:val="21"/>
                <w:lang w:val="en-US" w:eastAsia="zh-CN"/>
                <w14:textFill>
                  <w14:solidFill>
                    <w14:schemeClr w14:val="tx1"/>
                  </w14:solidFill>
                </w14:textFill>
              </w:rPr>
            </w:pPr>
            <w:r>
              <w:rPr>
                <w:rFonts w:hint="eastAsia" w:ascii="Times New Roman" w:hAnsi="Times New Roman" w:cs="宋体"/>
                <w:color w:val="000000" w:themeColor="text1"/>
                <w:spacing w:val="7"/>
                <w:sz w:val="21"/>
                <w:lang w:val="en-US" w:eastAsia="zh-CN"/>
                <w14:textFill>
                  <w14:solidFill>
                    <w14:schemeClr w14:val="tx1"/>
                  </w14:solidFill>
                </w14:textFill>
              </w:rPr>
              <w:t>废活性炭</w:t>
            </w:r>
          </w:p>
        </w:tc>
        <w:tc>
          <w:tcPr>
            <w:tcW w:w="1983" w:type="dxa"/>
            <w:shd w:val="clear" w:color="auto" w:fill="auto"/>
            <w:vAlign w:val="center"/>
          </w:tcPr>
          <w:p w14:paraId="2DE73E39">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color w:val="000000" w:themeColor="text1"/>
                <w:kern w:val="0"/>
                <w:sz w:val="21"/>
                <w:szCs w:val="21"/>
                <w:highlight w:val="none"/>
                <w:lang w:val="en-US" w:eastAsia="zh-CN" w:bidi="ar"/>
                <w14:textFill>
                  <w14:solidFill>
                    <w14:schemeClr w14:val="tx1"/>
                  </w14:solidFill>
                </w14:textFill>
              </w:rPr>
              <w:t>0</w:t>
            </w:r>
          </w:p>
        </w:tc>
        <w:tc>
          <w:tcPr>
            <w:tcW w:w="1255" w:type="dxa"/>
            <w:shd w:val="clear" w:color="auto" w:fill="auto"/>
            <w:vAlign w:val="center"/>
          </w:tcPr>
          <w:p w14:paraId="66C2D0DA">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ascii="Times New Roman" w:hAnsi="Times New Roman" w:eastAsia="宋体"/>
                <w:color w:val="000000" w:themeColor="text1"/>
                <w:kern w:val="0"/>
                <w:sz w:val="21"/>
                <w:szCs w:val="21"/>
                <w:highlight w:val="none"/>
                <w:lang w:bidi="ar"/>
                <w14:textFill>
                  <w14:solidFill>
                    <w14:schemeClr w14:val="tx1"/>
                  </w14:solidFill>
                </w14:textFill>
              </w:rPr>
              <w:t>/</w:t>
            </w:r>
          </w:p>
        </w:tc>
        <w:tc>
          <w:tcPr>
            <w:tcW w:w="1486" w:type="dxa"/>
            <w:shd w:val="clear" w:color="auto" w:fill="auto"/>
            <w:vAlign w:val="center"/>
          </w:tcPr>
          <w:p w14:paraId="23E89E11">
            <w:pPr>
              <w:keepNext w:val="0"/>
              <w:keepLines w:val="0"/>
              <w:widowControl/>
              <w:suppressLineNumbers w:val="0"/>
              <w:jc w:val="center"/>
              <w:textAlignment w:val="center"/>
              <w:rPr>
                <w:rFonts w:hint="eastAsia"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w:t>
            </w:r>
          </w:p>
        </w:tc>
        <w:tc>
          <w:tcPr>
            <w:tcW w:w="1514" w:type="dxa"/>
            <w:shd w:val="clear" w:color="auto" w:fill="auto"/>
            <w:vAlign w:val="center"/>
          </w:tcPr>
          <w:p w14:paraId="249C7B9B">
            <w:pPr>
              <w:keepNext w:val="0"/>
              <w:keepLines w:val="0"/>
              <w:widowControl/>
              <w:suppressLineNumbers w:val="0"/>
              <w:jc w:val="center"/>
              <w:textAlignment w:val="center"/>
              <w:rPr>
                <w:rFonts w:hint="default" w:cs="Times New Roman"/>
                <w:i w:val="0"/>
                <w:iCs w:val="0"/>
                <w:color w:val="000000" w:themeColor="text1"/>
                <w:kern w:val="0"/>
                <w:sz w:val="21"/>
                <w:szCs w:val="21"/>
                <w:u w:val="none"/>
                <w:lang w:val="en-US" w:eastAsia="zh-CN" w:bidi="ar"/>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0.01577</w:t>
            </w:r>
          </w:p>
        </w:tc>
        <w:tc>
          <w:tcPr>
            <w:tcW w:w="1418" w:type="dxa"/>
            <w:shd w:val="clear" w:color="auto" w:fill="auto"/>
            <w:vAlign w:val="center"/>
          </w:tcPr>
          <w:p w14:paraId="0B68B0B5">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cs="Times New Roman"/>
                <w:snapToGrid w:val="0"/>
                <w:color w:val="000000" w:themeColor="text1"/>
                <w:kern w:val="21"/>
                <w:sz w:val="21"/>
                <w:szCs w:val="21"/>
                <w:highlight w:val="none"/>
                <w:lang w:val="en-US" w:eastAsia="zh-CN" w:bidi="ar-SA"/>
                <w14:textFill>
                  <w14:solidFill>
                    <w14:schemeClr w14:val="tx1"/>
                  </w14:solidFill>
                </w14:textFill>
              </w:rPr>
              <w:t>0</w:t>
            </w:r>
          </w:p>
        </w:tc>
        <w:tc>
          <w:tcPr>
            <w:tcW w:w="1562" w:type="dxa"/>
            <w:shd w:val="clear" w:color="auto" w:fill="auto"/>
            <w:vAlign w:val="center"/>
          </w:tcPr>
          <w:p w14:paraId="3CB1CBAF">
            <w:pPr>
              <w:keepNext w:val="0"/>
              <w:keepLines w:val="0"/>
              <w:widowControl/>
              <w:suppressLineNumbers w:val="0"/>
              <w:jc w:val="center"/>
              <w:textAlignment w:val="center"/>
              <w:rPr>
                <w:rFonts w:hint="default" w:ascii="Times New Roman" w:hAnsi="Times New Roman" w:eastAsia="宋体" w:cs="宋体"/>
                <w:color w:val="000000" w:themeColor="text1"/>
                <w:spacing w:val="7"/>
                <w:kern w:val="2"/>
                <w:sz w:val="21"/>
                <w:szCs w:val="24"/>
                <w:lang w:val="en-US" w:eastAsia="zh-CN" w:bidi="ar-SA"/>
                <w14:textFill>
                  <w14:solidFill>
                    <w14:schemeClr w14:val="tx1"/>
                  </w14:solidFill>
                </w14:textFill>
              </w:rPr>
            </w:pPr>
            <w:r>
              <w:rPr>
                <w:rFonts w:hint="eastAsia" w:cs="Times New Roman"/>
                <w:i w:val="0"/>
                <w:iCs w:val="0"/>
                <w:color w:val="000000" w:themeColor="text1"/>
                <w:kern w:val="0"/>
                <w:sz w:val="21"/>
                <w:szCs w:val="21"/>
                <w:u w:val="none"/>
                <w:lang w:val="en-US" w:eastAsia="zh-CN" w:bidi="ar"/>
                <w14:textFill>
                  <w14:solidFill>
                    <w14:schemeClr w14:val="tx1"/>
                  </w14:solidFill>
                </w14:textFill>
              </w:rPr>
              <w:t>0.01577</w:t>
            </w:r>
          </w:p>
        </w:tc>
        <w:tc>
          <w:tcPr>
            <w:tcW w:w="1337" w:type="dxa"/>
            <w:shd w:val="clear" w:color="auto" w:fill="auto"/>
            <w:vAlign w:val="center"/>
          </w:tcPr>
          <w:p w14:paraId="1E762F30">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宋体"/>
                <w:color w:val="000000" w:themeColor="text1"/>
                <w:spacing w:val="7"/>
                <w:kern w:val="2"/>
                <w:sz w:val="21"/>
                <w:szCs w:val="24"/>
                <w:lang w:val="en-US" w:eastAsia="zh-CN" w:bidi="ar-SA"/>
                <w14:textFill>
                  <w14:solidFill>
                    <w14:schemeClr w14:val="tx1"/>
                  </w14:solidFill>
                </w14:textFill>
              </w:rPr>
            </w:pPr>
            <w:r>
              <w:rPr>
                <w:rFonts w:hint="eastAsia" w:eastAsia="宋体" w:cs="Times New Roman"/>
                <w:i w:val="0"/>
                <w:iCs w:val="0"/>
                <w:color w:val="000000" w:themeColor="text1"/>
                <w:kern w:val="0"/>
                <w:sz w:val="21"/>
                <w:szCs w:val="21"/>
                <w:u w:val="none"/>
                <w:lang w:val="en-US" w:eastAsia="zh-CN" w:bidi="ar"/>
                <w14:textFill>
                  <w14:solidFill>
                    <w14:schemeClr w14:val="tx1"/>
                  </w14:solidFill>
                </w14:textFill>
              </w:rPr>
              <w:t>+</w:t>
            </w:r>
            <w:r>
              <w:rPr>
                <w:rFonts w:hint="eastAsia" w:ascii="Times New Roman" w:hAnsi="Times New Roman" w:eastAsia="宋体" w:cs="宋体"/>
                <w:color w:val="000000" w:themeColor="text1"/>
                <w:spacing w:val="7"/>
                <w:kern w:val="2"/>
                <w:sz w:val="21"/>
                <w:szCs w:val="24"/>
                <w:lang w:val="en-US" w:eastAsia="zh-CN" w:bidi="ar-SA"/>
                <w14:textFill>
                  <w14:solidFill>
                    <w14:schemeClr w14:val="tx1"/>
                  </w14:solidFill>
                </w14:textFill>
              </w:rPr>
              <w:t>0.0</w:t>
            </w:r>
            <w:r>
              <w:rPr>
                <w:rFonts w:hint="eastAsia" w:ascii="Times New Roman" w:hAnsi="Times New Roman" w:cs="宋体"/>
                <w:color w:val="000000" w:themeColor="text1"/>
                <w:spacing w:val="7"/>
                <w:kern w:val="2"/>
                <w:sz w:val="21"/>
                <w:szCs w:val="24"/>
                <w:lang w:val="en-US" w:eastAsia="zh-CN" w:bidi="ar-SA"/>
                <w14:textFill>
                  <w14:solidFill>
                    <w14:schemeClr w14:val="tx1"/>
                  </w14:solidFill>
                </w14:textFill>
              </w:rPr>
              <w:t>1577</w:t>
            </w:r>
          </w:p>
        </w:tc>
      </w:tr>
      <w:tr w14:paraId="1DFDA4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812" w:type="dxa"/>
            <w:vMerge w:val="continue"/>
            <w:shd w:val="clear" w:color="auto" w:fill="auto"/>
            <w:vAlign w:val="center"/>
          </w:tcPr>
          <w:p w14:paraId="127F3F45">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宋体" w:cs="宋体"/>
                <w:color w:val="000000" w:themeColor="text1"/>
                <w:spacing w:val="7"/>
                <w:sz w:val="21"/>
                <w:lang w:val="en-US" w:eastAsia="en-US"/>
                <w14:textFill>
                  <w14:solidFill>
                    <w14:schemeClr w14:val="tx1"/>
                  </w14:solidFill>
                </w14:textFill>
              </w:rPr>
            </w:pPr>
          </w:p>
        </w:tc>
        <w:tc>
          <w:tcPr>
            <w:tcW w:w="2421" w:type="dxa"/>
            <w:shd w:val="clear" w:color="auto" w:fill="auto"/>
            <w:vAlign w:val="center"/>
          </w:tcPr>
          <w:p w14:paraId="01DB86FE">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宋体"/>
                <w:color w:val="000000" w:themeColor="text1"/>
                <w:spacing w:val="7"/>
                <w:sz w:val="21"/>
                <w:lang w:val="en-US" w:eastAsia="zh-CN"/>
                <w14:textFill>
                  <w14:solidFill>
                    <w14:schemeClr w14:val="tx1"/>
                  </w14:solidFill>
                </w14:textFill>
              </w:rPr>
            </w:pPr>
            <w:r>
              <w:rPr>
                <w:rFonts w:hint="eastAsia" w:ascii="Times New Roman" w:hAnsi="Times New Roman" w:cs="宋体"/>
                <w:color w:val="000000" w:themeColor="text1"/>
                <w:spacing w:val="7"/>
                <w:sz w:val="21"/>
                <w:lang w:val="en-US" w:eastAsia="zh-CN"/>
                <w14:textFill>
                  <w14:solidFill>
                    <w14:schemeClr w14:val="tx1"/>
                  </w14:solidFill>
                </w14:textFill>
              </w:rPr>
              <w:t>污水处理设施污泥</w:t>
            </w:r>
          </w:p>
        </w:tc>
        <w:tc>
          <w:tcPr>
            <w:tcW w:w="1983" w:type="dxa"/>
            <w:shd w:val="clear" w:color="auto" w:fill="auto"/>
            <w:vAlign w:val="center"/>
          </w:tcPr>
          <w:p w14:paraId="71D3B082">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cs="Times New Roman"/>
                <w:snapToGrid w:val="0"/>
                <w:color w:val="000000" w:themeColor="text1"/>
                <w:kern w:val="21"/>
                <w:sz w:val="21"/>
                <w:szCs w:val="21"/>
                <w:highlight w:val="none"/>
                <w:lang w:val="en-US" w:eastAsia="zh-CN" w:bidi="ar-SA"/>
                <w14:textFill>
                  <w14:solidFill>
                    <w14:schemeClr w14:val="tx1"/>
                  </w14:solidFill>
                </w14:textFill>
              </w:rPr>
              <w:t>1.5</w:t>
            </w:r>
          </w:p>
        </w:tc>
        <w:tc>
          <w:tcPr>
            <w:tcW w:w="1255" w:type="dxa"/>
            <w:shd w:val="clear" w:color="auto" w:fill="auto"/>
            <w:vAlign w:val="center"/>
          </w:tcPr>
          <w:p w14:paraId="05CC0BA2">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ascii="Times New Roman" w:hAnsi="Times New Roman" w:eastAsia="宋体"/>
                <w:color w:val="000000" w:themeColor="text1"/>
                <w:kern w:val="0"/>
                <w:sz w:val="21"/>
                <w:szCs w:val="21"/>
                <w:highlight w:val="none"/>
                <w:lang w:bidi="ar"/>
                <w14:textFill>
                  <w14:solidFill>
                    <w14:schemeClr w14:val="tx1"/>
                  </w14:solidFill>
                </w14:textFill>
              </w:rPr>
              <w:t>/</w:t>
            </w:r>
          </w:p>
        </w:tc>
        <w:tc>
          <w:tcPr>
            <w:tcW w:w="1486" w:type="dxa"/>
            <w:shd w:val="clear" w:color="auto" w:fill="auto"/>
            <w:vAlign w:val="center"/>
          </w:tcPr>
          <w:p w14:paraId="04B62C4A">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ascii="Times New Roman" w:hAnsi="Times New Roman" w:eastAsia="宋体"/>
                <w:color w:val="000000" w:themeColor="text1"/>
                <w:kern w:val="0"/>
                <w:sz w:val="21"/>
                <w:szCs w:val="21"/>
                <w:highlight w:val="none"/>
                <w:lang w:bidi="ar"/>
                <w14:textFill>
                  <w14:solidFill>
                    <w14:schemeClr w14:val="tx1"/>
                  </w14:solidFill>
                </w14:textFill>
              </w:rPr>
              <w:t>/</w:t>
            </w:r>
          </w:p>
        </w:tc>
        <w:tc>
          <w:tcPr>
            <w:tcW w:w="1514" w:type="dxa"/>
            <w:shd w:val="clear" w:color="auto" w:fill="auto"/>
            <w:vAlign w:val="center"/>
          </w:tcPr>
          <w:p w14:paraId="5B28E74F">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宋体"/>
                <w:color w:val="000000" w:themeColor="text1"/>
                <w:spacing w:val="7"/>
                <w:sz w:val="21"/>
                <w:lang w:val="en-US" w:eastAsia="zh-CN"/>
                <w14:textFill>
                  <w14:solidFill>
                    <w14:schemeClr w14:val="tx1"/>
                  </w14:solidFill>
                </w14:textFill>
              </w:rPr>
            </w:pPr>
            <w:r>
              <w:rPr>
                <w:rFonts w:hint="eastAsia" w:ascii="Times New Roman" w:hAnsi="Times New Roman" w:cs="宋体"/>
                <w:color w:val="000000" w:themeColor="text1"/>
                <w:spacing w:val="7"/>
                <w:sz w:val="21"/>
                <w:lang w:val="en-US" w:eastAsia="zh-CN"/>
                <w14:textFill>
                  <w14:solidFill>
                    <w14:schemeClr w14:val="tx1"/>
                  </w14:solidFill>
                </w14:textFill>
              </w:rPr>
              <w:t>4.245</w:t>
            </w:r>
          </w:p>
        </w:tc>
        <w:tc>
          <w:tcPr>
            <w:tcW w:w="1418" w:type="dxa"/>
            <w:shd w:val="clear" w:color="auto" w:fill="auto"/>
            <w:vAlign w:val="center"/>
          </w:tcPr>
          <w:p w14:paraId="61E2EDCD">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cs="Times New Roman"/>
                <w:snapToGrid w:val="0"/>
                <w:color w:val="000000" w:themeColor="text1"/>
                <w:kern w:val="21"/>
                <w:sz w:val="21"/>
                <w:szCs w:val="21"/>
                <w:highlight w:val="none"/>
                <w:lang w:val="en-US" w:eastAsia="zh-CN" w:bidi="ar-SA"/>
                <w14:textFill>
                  <w14:solidFill>
                    <w14:schemeClr w14:val="tx1"/>
                  </w14:solidFill>
                </w14:textFill>
              </w:rPr>
              <w:t>1.5</w:t>
            </w:r>
          </w:p>
        </w:tc>
        <w:tc>
          <w:tcPr>
            <w:tcW w:w="1562" w:type="dxa"/>
            <w:shd w:val="clear" w:color="auto" w:fill="auto"/>
            <w:vAlign w:val="center"/>
          </w:tcPr>
          <w:p w14:paraId="2EA56AB4">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宋体"/>
                <w:color w:val="000000" w:themeColor="text1"/>
                <w:spacing w:val="7"/>
                <w:kern w:val="2"/>
                <w:sz w:val="21"/>
                <w:szCs w:val="24"/>
                <w:lang w:val="en-US" w:eastAsia="zh-CN" w:bidi="ar-SA"/>
                <w14:textFill>
                  <w14:solidFill>
                    <w14:schemeClr w14:val="tx1"/>
                  </w14:solidFill>
                </w14:textFill>
              </w:rPr>
            </w:pPr>
            <w:r>
              <w:rPr>
                <w:rFonts w:hint="eastAsia" w:ascii="Times New Roman" w:hAnsi="Times New Roman" w:cs="宋体"/>
                <w:color w:val="000000" w:themeColor="text1"/>
                <w:spacing w:val="7"/>
                <w:sz w:val="21"/>
                <w:lang w:val="en-US" w:eastAsia="zh-CN"/>
                <w14:textFill>
                  <w14:solidFill>
                    <w14:schemeClr w14:val="tx1"/>
                  </w14:solidFill>
                </w14:textFill>
              </w:rPr>
              <w:t>4.245</w:t>
            </w:r>
          </w:p>
        </w:tc>
        <w:tc>
          <w:tcPr>
            <w:tcW w:w="1337" w:type="dxa"/>
            <w:shd w:val="clear" w:color="auto" w:fill="auto"/>
            <w:vAlign w:val="center"/>
          </w:tcPr>
          <w:p w14:paraId="59486F74">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宋体"/>
                <w:color w:val="000000" w:themeColor="text1"/>
                <w:spacing w:val="7"/>
                <w:kern w:val="2"/>
                <w:sz w:val="21"/>
                <w:szCs w:val="24"/>
                <w:lang w:val="en-US" w:eastAsia="zh-CN" w:bidi="ar-SA"/>
                <w14:textFill>
                  <w14:solidFill>
                    <w14:schemeClr w14:val="tx1"/>
                  </w14:solidFill>
                </w14:textFill>
              </w:rPr>
            </w:pPr>
            <w:r>
              <w:rPr>
                <w:rFonts w:hint="eastAsia" w:eastAsia="宋体" w:cs="Times New Roman"/>
                <w:i w:val="0"/>
                <w:iCs w:val="0"/>
                <w:color w:val="000000" w:themeColor="text1"/>
                <w:kern w:val="0"/>
                <w:sz w:val="21"/>
                <w:szCs w:val="21"/>
                <w:u w:val="none"/>
                <w:lang w:val="en-US" w:eastAsia="zh-CN" w:bidi="ar"/>
                <w14:textFill>
                  <w14:solidFill>
                    <w14:schemeClr w14:val="tx1"/>
                  </w14:solidFill>
                </w14:textFill>
              </w:rPr>
              <w:t>+</w:t>
            </w:r>
            <w:r>
              <w:rPr>
                <w:rFonts w:hint="eastAsia" w:ascii="Times New Roman" w:hAnsi="Times New Roman" w:cs="宋体"/>
                <w:color w:val="000000" w:themeColor="text1"/>
                <w:spacing w:val="7"/>
                <w:kern w:val="2"/>
                <w:sz w:val="21"/>
                <w:szCs w:val="24"/>
                <w:lang w:val="en-US" w:eastAsia="zh-CN" w:bidi="ar-SA"/>
                <w14:textFill>
                  <w14:solidFill>
                    <w14:schemeClr w14:val="tx1"/>
                  </w14:solidFill>
                </w14:textFill>
              </w:rPr>
              <w:t>2.745</w:t>
            </w:r>
          </w:p>
        </w:tc>
      </w:tr>
      <w:tr w14:paraId="500BF0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812" w:type="dxa"/>
            <w:vMerge w:val="continue"/>
            <w:vAlign w:val="center"/>
          </w:tcPr>
          <w:p w14:paraId="01323E24">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宋体" w:cs="宋体"/>
                <w:color w:val="000000" w:themeColor="text1"/>
                <w:spacing w:val="7"/>
                <w:sz w:val="21"/>
                <w14:textFill>
                  <w14:solidFill>
                    <w14:schemeClr w14:val="tx1"/>
                  </w14:solidFill>
                </w14:textFill>
              </w:rPr>
            </w:pPr>
          </w:p>
        </w:tc>
        <w:tc>
          <w:tcPr>
            <w:tcW w:w="2421" w:type="dxa"/>
            <w:shd w:val="clear" w:color="auto" w:fill="auto"/>
            <w:vAlign w:val="center"/>
          </w:tcPr>
          <w:p w14:paraId="7E06637F">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宋体"/>
                <w:color w:val="000000" w:themeColor="text1"/>
                <w:spacing w:val="7"/>
                <w:sz w:val="21"/>
                <w:lang w:val="en-US" w:eastAsia="zh-CN"/>
                <w14:textFill>
                  <w14:solidFill>
                    <w14:schemeClr w14:val="tx1"/>
                  </w14:solidFill>
                </w14:textFill>
              </w:rPr>
            </w:pPr>
            <w:r>
              <w:rPr>
                <w:rFonts w:hint="eastAsia" w:ascii="Times New Roman" w:hAnsi="Times New Roman" w:cs="宋体"/>
                <w:color w:val="000000" w:themeColor="text1"/>
                <w:spacing w:val="7"/>
                <w:sz w:val="21"/>
                <w:lang w:val="en-US" w:eastAsia="zh-CN"/>
                <w14:textFill>
                  <w14:solidFill>
                    <w14:schemeClr w14:val="tx1"/>
                  </w14:solidFill>
                </w14:textFill>
              </w:rPr>
              <w:t>医疗废物</w:t>
            </w:r>
          </w:p>
        </w:tc>
        <w:tc>
          <w:tcPr>
            <w:tcW w:w="1983" w:type="dxa"/>
            <w:shd w:val="clear" w:color="auto" w:fill="auto"/>
            <w:vAlign w:val="center"/>
          </w:tcPr>
          <w:p w14:paraId="0EA5F91D">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default"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2.7</w:t>
            </w:r>
          </w:p>
        </w:tc>
        <w:tc>
          <w:tcPr>
            <w:tcW w:w="1255" w:type="dxa"/>
            <w:shd w:val="clear" w:color="auto" w:fill="auto"/>
            <w:vAlign w:val="center"/>
          </w:tcPr>
          <w:p w14:paraId="7F979004">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ascii="Times New Roman" w:hAnsi="Times New Roman" w:eastAsia="宋体"/>
                <w:snapToGrid w:val="0"/>
                <w:color w:val="000000" w:themeColor="text1"/>
                <w:kern w:val="21"/>
                <w:sz w:val="21"/>
                <w:szCs w:val="21"/>
                <w:highlight w:val="none"/>
                <w:lang w:val="en-US" w:eastAsia="zh-CN"/>
                <w14:textFill>
                  <w14:solidFill>
                    <w14:schemeClr w14:val="tx1"/>
                  </w14:solidFill>
                </w14:textFill>
              </w:rPr>
              <w:t>/</w:t>
            </w:r>
          </w:p>
        </w:tc>
        <w:tc>
          <w:tcPr>
            <w:tcW w:w="1486" w:type="dxa"/>
            <w:shd w:val="clear" w:color="auto" w:fill="auto"/>
            <w:vAlign w:val="center"/>
          </w:tcPr>
          <w:p w14:paraId="726E600B">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ascii="Times New Roman" w:hAnsi="Times New Roman" w:eastAsia="宋体"/>
                <w:snapToGrid w:val="0"/>
                <w:color w:val="000000" w:themeColor="text1"/>
                <w:kern w:val="21"/>
                <w:sz w:val="21"/>
                <w:szCs w:val="21"/>
                <w:highlight w:val="none"/>
                <w:lang w:val="en-US" w:eastAsia="zh-CN"/>
                <w14:textFill>
                  <w14:solidFill>
                    <w14:schemeClr w14:val="tx1"/>
                  </w14:solidFill>
                </w14:textFill>
              </w:rPr>
              <w:t>/</w:t>
            </w:r>
          </w:p>
        </w:tc>
        <w:tc>
          <w:tcPr>
            <w:tcW w:w="1514" w:type="dxa"/>
            <w:shd w:val="clear" w:color="auto" w:fill="auto"/>
            <w:vAlign w:val="center"/>
          </w:tcPr>
          <w:p w14:paraId="209F699D">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宋体"/>
                <w:color w:val="000000" w:themeColor="text1"/>
                <w:spacing w:val="7"/>
                <w:sz w:val="21"/>
                <w:lang w:val="en-US" w:eastAsia="zh-CN"/>
                <w14:textFill>
                  <w14:solidFill>
                    <w14:schemeClr w14:val="tx1"/>
                  </w14:solidFill>
                </w14:textFill>
              </w:rPr>
            </w:pPr>
            <w:r>
              <w:rPr>
                <w:rFonts w:hint="eastAsia" w:ascii="Times New Roman" w:hAnsi="Times New Roman" w:cs="宋体"/>
                <w:color w:val="000000" w:themeColor="text1"/>
                <w:spacing w:val="7"/>
                <w:sz w:val="21"/>
                <w:lang w:val="en-US" w:eastAsia="zh-CN"/>
                <w14:textFill>
                  <w14:solidFill>
                    <w14:schemeClr w14:val="tx1"/>
                  </w14:solidFill>
                </w14:textFill>
              </w:rPr>
              <w:t>78.84</w:t>
            </w:r>
          </w:p>
        </w:tc>
        <w:tc>
          <w:tcPr>
            <w:tcW w:w="1418" w:type="dxa"/>
            <w:shd w:val="clear" w:color="auto" w:fill="auto"/>
            <w:vAlign w:val="center"/>
          </w:tcPr>
          <w:p w14:paraId="708157FD">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2.7</w:t>
            </w:r>
          </w:p>
        </w:tc>
        <w:tc>
          <w:tcPr>
            <w:tcW w:w="1562" w:type="dxa"/>
            <w:shd w:val="clear" w:color="auto" w:fill="auto"/>
            <w:vAlign w:val="center"/>
          </w:tcPr>
          <w:p w14:paraId="3B45E5E4">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宋体" w:cs="宋体"/>
                <w:color w:val="000000" w:themeColor="text1"/>
                <w:spacing w:val="7"/>
                <w:kern w:val="2"/>
                <w:sz w:val="21"/>
                <w:szCs w:val="24"/>
                <w:lang w:val="en-US" w:eastAsia="zh-CN" w:bidi="ar-SA"/>
                <w14:textFill>
                  <w14:solidFill>
                    <w14:schemeClr w14:val="tx1"/>
                  </w14:solidFill>
                </w14:textFill>
              </w:rPr>
            </w:pPr>
            <w:r>
              <w:rPr>
                <w:rFonts w:hint="eastAsia" w:ascii="Times New Roman" w:hAnsi="Times New Roman" w:cs="宋体"/>
                <w:color w:val="000000" w:themeColor="text1"/>
                <w:spacing w:val="7"/>
                <w:sz w:val="21"/>
                <w:lang w:val="en-US" w:eastAsia="zh-CN"/>
                <w14:textFill>
                  <w14:solidFill>
                    <w14:schemeClr w14:val="tx1"/>
                  </w14:solidFill>
                </w14:textFill>
              </w:rPr>
              <w:t>78.84</w:t>
            </w:r>
          </w:p>
        </w:tc>
        <w:tc>
          <w:tcPr>
            <w:tcW w:w="1337" w:type="dxa"/>
            <w:shd w:val="clear" w:color="auto" w:fill="auto"/>
            <w:vAlign w:val="center"/>
          </w:tcPr>
          <w:p w14:paraId="1C1D2B21">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宋体"/>
                <w:color w:val="000000" w:themeColor="text1"/>
                <w:spacing w:val="7"/>
                <w:kern w:val="2"/>
                <w:sz w:val="21"/>
                <w:szCs w:val="24"/>
                <w:lang w:val="en-US" w:eastAsia="zh-CN" w:bidi="ar-SA"/>
                <w14:textFill>
                  <w14:solidFill>
                    <w14:schemeClr w14:val="tx1"/>
                  </w14:solidFill>
                </w14:textFill>
              </w:rPr>
            </w:pPr>
            <w:r>
              <w:rPr>
                <w:rFonts w:hint="eastAsia" w:eastAsia="宋体" w:cs="Times New Roman"/>
                <w:i w:val="0"/>
                <w:iCs w:val="0"/>
                <w:color w:val="000000" w:themeColor="text1"/>
                <w:kern w:val="0"/>
                <w:sz w:val="21"/>
                <w:szCs w:val="21"/>
                <w:u w:val="none"/>
                <w:lang w:val="en-US" w:eastAsia="zh-CN" w:bidi="ar"/>
                <w14:textFill>
                  <w14:solidFill>
                    <w14:schemeClr w14:val="tx1"/>
                  </w14:solidFill>
                </w14:textFill>
              </w:rPr>
              <w:t>+</w:t>
            </w:r>
            <w:r>
              <w:rPr>
                <w:rFonts w:hint="eastAsia" w:ascii="Times New Roman" w:hAnsi="Times New Roman" w:cs="宋体"/>
                <w:color w:val="000000" w:themeColor="text1"/>
                <w:spacing w:val="7"/>
                <w:kern w:val="2"/>
                <w:sz w:val="21"/>
                <w:szCs w:val="24"/>
                <w:lang w:val="en-US" w:eastAsia="zh-CN" w:bidi="ar-SA"/>
                <w14:textFill>
                  <w14:solidFill>
                    <w14:schemeClr w14:val="tx1"/>
                  </w14:solidFill>
                </w14:textFill>
              </w:rPr>
              <w:t>76.14</w:t>
            </w:r>
          </w:p>
        </w:tc>
      </w:tr>
      <w:tr w14:paraId="2FD796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3" w:hRule="exact"/>
        </w:trPr>
        <w:tc>
          <w:tcPr>
            <w:tcW w:w="812" w:type="dxa"/>
            <w:vMerge w:val="continue"/>
            <w:vAlign w:val="center"/>
          </w:tcPr>
          <w:p w14:paraId="5F2EC3F0">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宋体" w:cs="宋体"/>
                <w:color w:val="000000" w:themeColor="text1"/>
                <w:spacing w:val="7"/>
                <w:sz w:val="21"/>
                <w14:textFill>
                  <w14:solidFill>
                    <w14:schemeClr w14:val="tx1"/>
                  </w14:solidFill>
                </w14:textFill>
              </w:rPr>
            </w:pPr>
          </w:p>
        </w:tc>
        <w:tc>
          <w:tcPr>
            <w:tcW w:w="2421" w:type="dxa"/>
            <w:shd w:val="clear" w:color="auto" w:fill="auto"/>
            <w:vAlign w:val="center"/>
          </w:tcPr>
          <w:p w14:paraId="0D81D0C0">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宋体"/>
                <w:color w:val="000000" w:themeColor="text1"/>
                <w:spacing w:val="7"/>
                <w:sz w:val="21"/>
                <w:lang w:val="en-US" w:eastAsia="zh-CN"/>
                <w14:textFill>
                  <w14:solidFill>
                    <w14:schemeClr w14:val="tx1"/>
                  </w14:solidFill>
                </w14:textFill>
              </w:rPr>
            </w:pPr>
            <w:r>
              <w:rPr>
                <w:rFonts w:hint="eastAsia" w:ascii="Times New Roman" w:hAnsi="Times New Roman" w:cs="宋体"/>
                <w:color w:val="000000" w:themeColor="text1"/>
                <w:spacing w:val="7"/>
                <w:sz w:val="21"/>
                <w:lang w:val="en-US" w:eastAsia="zh-CN"/>
                <w14:textFill>
                  <w14:solidFill>
                    <w14:schemeClr w14:val="tx1"/>
                  </w14:solidFill>
                </w14:textFill>
              </w:rPr>
              <w:t>口腔科洗片废物</w:t>
            </w:r>
          </w:p>
        </w:tc>
        <w:tc>
          <w:tcPr>
            <w:tcW w:w="1983" w:type="dxa"/>
            <w:shd w:val="clear" w:color="auto" w:fill="auto"/>
            <w:vAlign w:val="center"/>
          </w:tcPr>
          <w:p w14:paraId="465C8EEC">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default"/>
                <w:snapToGrid w:val="0"/>
                <w:color w:val="000000" w:themeColor="text1"/>
                <w:kern w:val="21"/>
                <w:sz w:val="21"/>
                <w:szCs w:val="21"/>
                <w:highlight w:val="none"/>
                <w:lang w:val="en-US" w:eastAsia="zh-CN"/>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0.3</w:t>
            </w:r>
          </w:p>
        </w:tc>
        <w:tc>
          <w:tcPr>
            <w:tcW w:w="1255" w:type="dxa"/>
            <w:shd w:val="clear" w:color="auto" w:fill="auto"/>
            <w:vAlign w:val="center"/>
          </w:tcPr>
          <w:p w14:paraId="7D03DFBA">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ascii="Times New Roman" w:hAnsi="Times New Roman" w:eastAsia="宋体"/>
                <w:color w:val="000000" w:themeColor="text1"/>
                <w:kern w:val="0"/>
                <w:sz w:val="21"/>
                <w:szCs w:val="21"/>
                <w:highlight w:val="none"/>
                <w:lang w:bidi="ar"/>
                <w14:textFill>
                  <w14:solidFill>
                    <w14:schemeClr w14:val="tx1"/>
                  </w14:solidFill>
                </w14:textFill>
              </w:rPr>
              <w:t>/</w:t>
            </w:r>
          </w:p>
        </w:tc>
        <w:tc>
          <w:tcPr>
            <w:tcW w:w="1486" w:type="dxa"/>
            <w:shd w:val="clear" w:color="auto" w:fill="auto"/>
            <w:vAlign w:val="center"/>
          </w:tcPr>
          <w:p w14:paraId="7313FD74">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ascii="Times New Roman" w:hAnsi="Times New Roman" w:eastAsia="宋体"/>
                <w:color w:val="000000" w:themeColor="text1"/>
                <w:kern w:val="0"/>
                <w:sz w:val="21"/>
                <w:szCs w:val="21"/>
                <w:highlight w:val="none"/>
                <w:lang w:bidi="ar"/>
                <w14:textFill>
                  <w14:solidFill>
                    <w14:schemeClr w14:val="tx1"/>
                  </w14:solidFill>
                </w14:textFill>
              </w:rPr>
              <w:t>/</w:t>
            </w:r>
          </w:p>
        </w:tc>
        <w:tc>
          <w:tcPr>
            <w:tcW w:w="1514" w:type="dxa"/>
            <w:shd w:val="clear" w:color="auto" w:fill="auto"/>
            <w:vAlign w:val="center"/>
          </w:tcPr>
          <w:p w14:paraId="6F880E92">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0.3</w:t>
            </w:r>
          </w:p>
        </w:tc>
        <w:tc>
          <w:tcPr>
            <w:tcW w:w="1418" w:type="dxa"/>
            <w:shd w:val="clear" w:color="auto" w:fill="auto"/>
            <w:vAlign w:val="center"/>
          </w:tcPr>
          <w:p w14:paraId="6E64C880">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ascii="Times New Roman" w:hAnsi="Times New Roman" w:eastAsia="宋体"/>
                <w:color w:val="000000" w:themeColor="text1"/>
                <w:kern w:val="0"/>
                <w:sz w:val="21"/>
                <w:szCs w:val="21"/>
                <w:highlight w:val="none"/>
                <w:lang w:bidi="ar"/>
                <w14:textFill>
                  <w14:solidFill>
                    <w14:schemeClr w14:val="tx1"/>
                  </w14:solidFill>
                </w14:textFill>
              </w:rPr>
              <w:t>/</w:t>
            </w:r>
          </w:p>
        </w:tc>
        <w:tc>
          <w:tcPr>
            <w:tcW w:w="1562" w:type="dxa"/>
            <w:shd w:val="clear" w:color="auto" w:fill="auto"/>
            <w:vAlign w:val="center"/>
          </w:tcPr>
          <w:p w14:paraId="7743562A">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0.3</w:t>
            </w:r>
          </w:p>
        </w:tc>
        <w:tc>
          <w:tcPr>
            <w:tcW w:w="1337" w:type="dxa"/>
            <w:shd w:val="clear" w:color="auto" w:fill="auto"/>
            <w:vAlign w:val="center"/>
          </w:tcPr>
          <w:p w14:paraId="7D06D357">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eastAsia="宋体" w:cs="Times New Roman"/>
                <w:i w:val="0"/>
                <w:iCs w:val="0"/>
                <w:color w:val="000000" w:themeColor="text1"/>
                <w:kern w:val="0"/>
                <w:sz w:val="21"/>
                <w:szCs w:val="21"/>
                <w:u w:val="none"/>
                <w:lang w:val="en-US" w:eastAsia="zh-CN" w:bidi="ar"/>
                <w14:textFill>
                  <w14:solidFill>
                    <w14:schemeClr w14:val="tx1"/>
                  </w14:solidFill>
                </w14:textFill>
              </w:rPr>
              <w:t>+</w:t>
            </w:r>
            <w:r>
              <w:rPr>
                <w:rFonts w:hint="eastAsia"/>
                <w:snapToGrid w:val="0"/>
                <w:color w:val="000000" w:themeColor="text1"/>
                <w:kern w:val="21"/>
                <w:sz w:val="21"/>
                <w:szCs w:val="21"/>
                <w:highlight w:val="none"/>
                <w:lang w:val="en-US" w:eastAsia="zh-CN"/>
                <w14:textFill>
                  <w14:solidFill>
                    <w14:schemeClr w14:val="tx1"/>
                  </w14:solidFill>
                </w14:textFill>
              </w:rPr>
              <w:t>0.3</w:t>
            </w:r>
          </w:p>
        </w:tc>
      </w:tr>
      <w:tr w14:paraId="231BF2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exact"/>
        </w:trPr>
        <w:tc>
          <w:tcPr>
            <w:tcW w:w="812" w:type="dxa"/>
            <w:vMerge w:val="continue"/>
            <w:vAlign w:val="center"/>
          </w:tcPr>
          <w:p w14:paraId="650E70E3">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宋体" w:cs="宋体"/>
                <w:color w:val="000000" w:themeColor="text1"/>
                <w:spacing w:val="7"/>
                <w:sz w:val="21"/>
                <w14:textFill>
                  <w14:solidFill>
                    <w14:schemeClr w14:val="tx1"/>
                  </w14:solidFill>
                </w14:textFill>
              </w:rPr>
            </w:pPr>
          </w:p>
        </w:tc>
        <w:tc>
          <w:tcPr>
            <w:tcW w:w="2421" w:type="dxa"/>
            <w:shd w:val="clear" w:color="auto" w:fill="auto"/>
            <w:vAlign w:val="center"/>
          </w:tcPr>
          <w:p w14:paraId="68B20D3F">
            <w:pPr>
              <w:pStyle w:val="11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宋体"/>
                <w:color w:val="000000" w:themeColor="text1"/>
                <w:spacing w:val="7"/>
                <w:sz w:val="21"/>
                <w:lang w:val="en-US" w:eastAsia="zh-CN"/>
                <w14:textFill>
                  <w14:solidFill>
                    <w14:schemeClr w14:val="tx1"/>
                  </w14:solidFill>
                </w14:textFill>
              </w:rPr>
            </w:pPr>
            <w:r>
              <w:rPr>
                <w:rFonts w:hint="eastAsia" w:ascii="Times New Roman" w:hAnsi="Times New Roman" w:cs="宋体"/>
                <w:color w:val="000000" w:themeColor="text1"/>
                <w:spacing w:val="7"/>
                <w:sz w:val="21"/>
                <w:lang w:val="en-US" w:eastAsia="zh-CN"/>
                <w14:textFill>
                  <w14:solidFill>
                    <w14:schemeClr w14:val="tx1"/>
                  </w14:solidFill>
                </w14:textFill>
              </w:rPr>
              <w:t>废紫外线消毒灯管</w:t>
            </w:r>
          </w:p>
        </w:tc>
        <w:tc>
          <w:tcPr>
            <w:tcW w:w="1983" w:type="dxa"/>
            <w:shd w:val="clear" w:color="auto" w:fill="auto"/>
            <w:vAlign w:val="center"/>
          </w:tcPr>
          <w:p w14:paraId="12110D20">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default"/>
                <w:snapToGrid w:val="0"/>
                <w:color w:val="000000" w:themeColor="text1"/>
                <w:kern w:val="21"/>
                <w:sz w:val="21"/>
                <w:szCs w:val="21"/>
                <w:highlight w:val="none"/>
                <w:lang w:val="en-US" w:eastAsia="zh-CN"/>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0.01</w:t>
            </w:r>
          </w:p>
        </w:tc>
        <w:tc>
          <w:tcPr>
            <w:tcW w:w="1255" w:type="dxa"/>
            <w:shd w:val="clear" w:color="auto" w:fill="auto"/>
            <w:vAlign w:val="center"/>
          </w:tcPr>
          <w:p w14:paraId="164CBDC9">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ascii="Times New Roman" w:hAnsi="Times New Roman" w:eastAsia="宋体"/>
                <w:snapToGrid w:val="0"/>
                <w:color w:val="000000" w:themeColor="text1"/>
                <w:kern w:val="21"/>
                <w:sz w:val="21"/>
                <w:szCs w:val="21"/>
                <w:highlight w:val="none"/>
                <w:lang w:val="en-US" w:eastAsia="zh-CN"/>
                <w14:textFill>
                  <w14:solidFill>
                    <w14:schemeClr w14:val="tx1"/>
                  </w14:solidFill>
                </w14:textFill>
              </w:rPr>
              <w:t>/</w:t>
            </w:r>
          </w:p>
        </w:tc>
        <w:tc>
          <w:tcPr>
            <w:tcW w:w="1486" w:type="dxa"/>
            <w:shd w:val="clear" w:color="auto" w:fill="auto"/>
            <w:vAlign w:val="center"/>
          </w:tcPr>
          <w:p w14:paraId="75E13362">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ascii="Times New Roman" w:hAnsi="Times New Roman" w:eastAsia="宋体"/>
                <w:snapToGrid w:val="0"/>
                <w:color w:val="000000" w:themeColor="text1"/>
                <w:kern w:val="21"/>
                <w:sz w:val="21"/>
                <w:szCs w:val="21"/>
                <w:highlight w:val="none"/>
                <w:lang w:val="en-US" w:eastAsia="zh-CN"/>
                <w14:textFill>
                  <w14:solidFill>
                    <w14:schemeClr w14:val="tx1"/>
                  </w14:solidFill>
                </w14:textFill>
              </w:rPr>
              <w:t>/</w:t>
            </w:r>
          </w:p>
        </w:tc>
        <w:tc>
          <w:tcPr>
            <w:tcW w:w="1514" w:type="dxa"/>
            <w:shd w:val="clear" w:color="auto" w:fill="auto"/>
            <w:vAlign w:val="center"/>
          </w:tcPr>
          <w:p w14:paraId="47A5951D">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0.01</w:t>
            </w:r>
          </w:p>
        </w:tc>
        <w:tc>
          <w:tcPr>
            <w:tcW w:w="1418" w:type="dxa"/>
            <w:shd w:val="clear" w:color="auto" w:fill="auto"/>
            <w:vAlign w:val="center"/>
          </w:tcPr>
          <w:p w14:paraId="2542A16B">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ascii="Times New Roman" w:hAnsi="Times New Roman" w:eastAsia="宋体"/>
                <w:snapToGrid w:val="0"/>
                <w:color w:val="000000" w:themeColor="text1"/>
                <w:kern w:val="21"/>
                <w:sz w:val="21"/>
                <w:szCs w:val="21"/>
                <w:highlight w:val="none"/>
                <w:lang w:val="en-US" w:eastAsia="zh-CN"/>
                <w14:textFill>
                  <w14:solidFill>
                    <w14:schemeClr w14:val="tx1"/>
                  </w14:solidFill>
                </w14:textFill>
              </w:rPr>
              <w:t>/</w:t>
            </w:r>
          </w:p>
        </w:tc>
        <w:tc>
          <w:tcPr>
            <w:tcW w:w="1562" w:type="dxa"/>
            <w:shd w:val="clear" w:color="auto" w:fill="auto"/>
            <w:vAlign w:val="center"/>
          </w:tcPr>
          <w:p w14:paraId="306C9D6A">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snapToGrid w:val="0"/>
                <w:color w:val="000000" w:themeColor="text1"/>
                <w:kern w:val="21"/>
                <w:sz w:val="21"/>
                <w:szCs w:val="21"/>
                <w:highlight w:val="none"/>
                <w:lang w:val="en-US" w:eastAsia="zh-CN"/>
                <w14:textFill>
                  <w14:solidFill>
                    <w14:schemeClr w14:val="tx1"/>
                  </w14:solidFill>
                </w14:textFill>
              </w:rPr>
              <w:t>0.01</w:t>
            </w:r>
          </w:p>
        </w:tc>
        <w:tc>
          <w:tcPr>
            <w:tcW w:w="1337" w:type="dxa"/>
            <w:shd w:val="clear" w:color="auto" w:fill="auto"/>
            <w:vAlign w:val="center"/>
          </w:tcPr>
          <w:p w14:paraId="4F445CF0">
            <w:pPr>
              <w:keepNext w:val="0"/>
              <w:keepLines w:val="0"/>
              <w:pageBreakBefore w:val="0"/>
              <w:widowControl/>
              <w:kinsoku/>
              <w:wordWrap/>
              <w:overflowPunct/>
              <w:topLinePunct w:val="0"/>
              <w:autoSpaceDE/>
              <w:autoSpaceDN/>
              <w:bidi w:val="0"/>
              <w:spacing w:line="240" w:lineRule="auto"/>
              <w:ind w:left="0" w:leftChars="0"/>
              <w:jc w:val="center"/>
              <w:textAlignment w:val="bottom"/>
              <w:rPr>
                <w:rFonts w:hint="eastAsia" w:ascii="Times New Roman" w:hAnsi="Times New Roman" w:eastAsia="宋体" w:cs="Times New Roman"/>
                <w:snapToGrid w:val="0"/>
                <w:color w:val="000000" w:themeColor="text1"/>
                <w:kern w:val="21"/>
                <w:sz w:val="21"/>
                <w:szCs w:val="21"/>
                <w:highlight w:val="none"/>
                <w:lang w:val="en-US" w:eastAsia="zh-CN" w:bidi="ar-SA"/>
                <w14:textFill>
                  <w14:solidFill>
                    <w14:schemeClr w14:val="tx1"/>
                  </w14:solidFill>
                </w14:textFill>
              </w:rPr>
            </w:pPr>
            <w:r>
              <w:rPr>
                <w:rFonts w:hint="eastAsia" w:eastAsia="宋体" w:cs="Times New Roman"/>
                <w:i w:val="0"/>
                <w:iCs w:val="0"/>
                <w:color w:val="000000" w:themeColor="text1"/>
                <w:kern w:val="0"/>
                <w:sz w:val="21"/>
                <w:szCs w:val="21"/>
                <w:u w:val="none"/>
                <w:lang w:val="en-US" w:eastAsia="zh-CN" w:bidi="ar"/>
                <w14:textFill>
                  <w14:solidFill>
                    <w14:schemeClr w14:val="tx1"/>
                  </w14:solidFill>
                </w14:textFill>
              </w:rPr>
              <w:t>+</w:t>
            </w:r>
            <w:r>
              <w:rPr>
                <w:rFonts w:hint="eastAsia"/>
                <w:snapToGrid w:val="0"/>
                <w:color w:val="000000" w:themeColor="text1"/>
                <w:kern w:val="21"/>
                <w:sz w:val="21"/>
                <w:szCs w:val="21"/>
                <w:highlight w:val="none"/>
                <w:lang w:val="en-US" w:eastAsia="zh-CN"/>
                <w14:textFill>
                  <w14:solidFill>
                    <w14:schemeClr w14:val="tx1"/>
                  </w14:solidFill>
                </w14:textFill>
              </w:rPr>
              <w:t>0.01</w:t>
            </w:r>
          </w:p>
        </w:tc>
      </w:tr>
    </w:tbl>
    <w:p w14:paraId="678FB8F9">
      <w:pPr>
        <w:pStyle w:val="51"/>
        <w:keepNext w:val="0"/>
        <w:keepLines w:val="0"/>
        <w:pageBreakBefore w:val="0"/>
        <w:widowControl w:val="0"/>
        <w:kinsoku/>
        <w:wordWrap/>
        <w:overflowPunct/>
        <w:topLinePunct w:val="0"/>
        <w:autoSpaceDE/>
        <w:autoSpaceDN/>
        <w:bidi w:val="0"/>
        <w:spacing w:before="192" w:beforeLines="80" w:after="24" w:line="240" w:lineRule="auto"/>
        <w:jc w:val="left"/>
        <w:textAlignment w:val="auto"/>
        <w:rPr>
          <w:color w:val="000000" w:themeColor="text1"/>
          <w:highlight w:val="magenta"/>
          <w14:textFill>
            <w14:solidFill>
              <w14:schemeClr w14:val="tx1"/>
            </w14:solidFill>
          </w14:textFill>
        </w:rPr>
      </w:pPr>
      <w:r>
        <w:rPr>
          <w:rFonts w:hAnsi="宋体"/>
          <w:snapToGrid w:val="0"/>
          <w:color w:val="000000" w:themeColor="text1"/>
          <w:kern w:val="21"/>
          <w:szCs w:val="21"/>
          <w:highlight w:val="none"/>
          <w14:textFill>
            <w14:solidFill>
              <w14:schemeClr w14:val="tx1"/>
            </w14:solidFill>
          </w14:textFill>
        </w:rPr>
        <w:t>注：</w:t>
      </w:r>
      <w:r>
        <w:rPr>
          <w:rFonts w:hAnsi="宋体"/>
          <w:snapToGrid w:val="0"/>
          <w:color w:val="000000" w:themeColor="text1"/>
          <w:spacing w:val="-16"/>
          <w:kern w:val="21"/>
          <w:szCs w:val="21"/>
          <w:highlight w:val="none"/>
          <w14:textFill>
            <w14:solidFill>
              <w14:schemeClr w14:val="tx1"/>
            </w14:solidFill>
          </w14:textFill>
        </w:rPr>
        <w:fldChar w:fldCharType="begin"/>
      </w:r>
      <w:r>
        <w:rPr>
          <w:rFonts w:hAnsi="宋体"/>
          <w:snapToGrid w:val="0"/>
          <w:color w:val="000000" w:themeColor="text1"/>
          <w:spacing w:val="-16"/>
          <w:kern w:val="21"/>
          <w:szCs w:val="21"/>
          <w:highlight w:val="none"/>
          <w14:textFill>
            <w14:solidFill>
              <w14:schemeClr w14:val="tx1"/>
            </w14:solidFill>
          </w14:textFill>
        </w:rPr>
        <w:instrText xml:space="preserve"> = 6 \* GB3 \* MERGEFORMAT </w:instrText>
      </w:r>
      <w:r>
        <w:rPr>
          <w:rFonts w:hAnsi="宋体"/>
          <w:snapToGrid w:val="0"/>
          <w:color w:val="000000" w:themeColor="text1"/>
          <w:spacing w:val="-16"/>
          <w:kern w:val="21"/>
          <w:szCs w:val="21"/>
          <w:highlight w:val="none"/>
          <w14:textFill>
            <w14:solidFill>
              <w14:schemeClr w14:val="tx1"/>
            </w14:solidFill>
          </w14:textFill>
        </w:rPr>
        <w:fldChar w:fldCharType="separate"/>
      </w:r>
      <w:r>
        <w:rPr>
          <w:rFonts w:hint="eastAsia" w:hAnsi="宋体"/>
          <w:color w:val="000000" w:themeColor="text1"/>
          <w:szCs w:val="21"/>
          <w:highlight w:val="none"/>
          <w14:textFill>
            <w14:solidFill>
              <w14:schemeClr w14:val="tx1"/>
            </w14:solidFill>
          </w14:textFill>
        </w:rPr>
        <w:t>⑥</w:t>
      </w:r>
      <w:r>
        <w:rPr>
          <w:rFonts w:hAnsi="宋体"/>
          <w:snapToGrid w:val="0"/>
          <w:color w:val="000000" w:themeColor="text1"/>
          <w:spacing w:val="-16"/>
          <w:kern w:val="21"/>
          <w:szCs w:val="21"/>
          <w:highlight w:val="none"/>
          <w14:textFill>
            <w14:solidFill>
              <w14:schemeClr w14:val="tx1"/>
            </w14:solidFill>
          </w14:textFill>
        </w:rPr>
        <w:fldChar w:fldCharType="end"/>
      </w:r>
      <w:r>
        <w:rPr>
          <w:rFonts w:hAnsi="宋体"/>
          <w:snapToGrid w:val="0"/>
          <w:color w:val="000000" w:themeColor="text1"/>
          <w:spacing w:val="-16"/>
          <w:kern w:val="21"/>
          <w:szCs w:val="21"/>
          <w:highlight w:val="none"/>
          <w14:textFill>
            <w14:solidFill>
              <w14:schemeClr w14:val="tx1"/>
            </w14:solidFill>
          </w14:textFill>
        </w:rPr>
        <w:t>=</w:t>
      </w:r>
      <w:r>
        <w:rPr>
          <w:rFonts w:hAnsi="宋体"/>
          <w:snapToGrid w:val="0"/>
          <w:color w:val="000000" w:themeColor="text1"/>
          <w:spacing w:val="-6"/>
          <w:kern w:val="21"/>
          <w:szCs w:val="21"/>
          <w:highlight w:val="none"/>
          <w14:textFill>
            <w14:solidFill>
              <w14:schemeClr w14:val="tx1"/>
            </w14:solidFill>
          </w14:textFill>
        </w:rPr>
        <w:fldChar w:fldCharType="begin"/>
      </w:r>
      <w:r>
        <w:rPr>
          <w:rFonts w:hAnsi="宋体"/>
          <w:snapToGrid w:val="0"/>
          <w:color w:val="000000" w:themeColor="text1"/>
          <w:spacing w:val="-6"/>
          <w:kern w:val="21"/>
          <w:szCs w:val="21"/>
          <w:highlight w:val="none"/>
          <w14:textFill>
            <w14:solidFill>
              <w14:schemeClr w14:val="tx1"/>
            </w14:solidFill>
          </w14:textFill>
        </w:rPr>
        <w:instrText xml:space="preserve"> = 1 \* GB3 \* MERGEFORMAT </w:instrText>
      </w:r>
      <w:r>
        <w:rPr>
          <w:rFonts w:hAnsi="宋体"/>
          <w:snapToGrid w:val="0"/>
          <w:color w:val="000000" w:themeColor="text1"/>
          <w:spacing w:val="-6"/>
          <w:kern w:val="21"/>
          <w:szCs w:val="21"/>
          <w:highlight w:val="none"/>
          <w14:textFill>
            <w14:solidFill>
              <w14:schemeClr w14:val="tx1"/>
            </w14:solidFill>
          </w14:textFill>
        </w:rPr>
        <w:fldChar w:fldCharType="separate"/>
      </w:r>
      <w:r>
        <w:rPr>
          <w:rFonts w:hint="eastAsia" w:hAnsi="宋体"/>
          <w:color w:val="000000" w:themeColor="text1"/>
          <w:szCs w:val="21"/>
          <w:highlight w:val="none"/>
          <w14:textFill>
            <w14:solidFill>
              <w14:schemeClr w14:val="tx1"/>
            </w14:solidFill>
          </w14:textFill>
        </w:rPr>
        <w:t>①</w:t>
      </w:r>
      <w:r>
        <w:rPr>
          <w:rFonts w:hAnsi="宋体"/>
          <w:snapToGrid w:val="0"/>
          <w:color w:val="000000" w:themeColor="text1"/>
          <w:spacing w:val="-6"/>
          <w:kern w:val="21"/>
          <w:szCs w:val="21"/>
          <w:highlight w:val="none"/>
          <w14:textFill>
            <w14:solidFill>
              <w14:schemeClr w14:val="tx1"/>
            </w14:solidFill>
          </w14:textFill>
        </w:rPr>
        <w:fldChar w:fldCharType="end"/>
      </w:r>
      <w:r>
        <w:rPr>
          <w:rFonts w:hAnsi="宋体"/>
          <w:snapToGrid w:val="0"/>
          <w:color w:val="000000" w:themeColor="text1"/>
          <w:spacing w:val="-6"/>
          <w:kern w:val="21"/>
          <w:szCs w:val="21"/>
          <w:highlight w:val="none"/>
          <w14:textFill>
            <w14:solidFill>
              <w14:schemeClr w14:val="tx1"/>
            </w14:solidFill>
          </w14:textFill>
        </w:rPr>
        <w:t>+</w:t>
      </w:r>
      <w:r>
        <w:rPr>
          <w:rFonts w:hAnsi="宋体"/>
          <w:snapToGrid w:val="0"/>
          <w:color w:val="000000" w:themeColor="text1"/>
          <w:spacing w:val="-6"/>
          <w:kern w:val="21"/>
          <w:szCs w:val="21"/>
          <w:highlight w:val="none"/>
          <w14:textFill>
            <w14:solidFill>
              <w14:schemeClr w14:val="tx1"/>
            </w14:solidFill>
          </w14:textFill>
        </w:rPr>
        <w:fldChar w:fldCharType="begin"/>
      </w:r>
      <w:r>
        <w:rPr>
          <w:rFonts w:hAnsi="宋体"/>
          <w:snapToGrid w:val="0"/>
          <w:color w:val="000000" w:themeColor="text1"/>
          <w:spacing w:val="-6"/>
          <w:kern w:val="21"/>
          <w:szCs w:val="21"/>
          <w:highlight w:val="none"/>
          <w14:textFill>
            <w14:solidFill>
              <w14:schemeClr w14:val="tx1"/>
            </w14:solidFill>
          </w14:textFill>
        </w:rPr>
        <w:instrText xml:space="preserve"> = 3 \* GB3 \* MERGEFORMAT </w:instrText>
      </w:r>
      <w:r>
        <w:rPr>
          <w:rFonts w:hAnsi="宋体"/>
          <w:snapToGrid w:val="0"/>
          <w:color w:val="000000" w:themeColor="text1"/>
          <w:spacing w:val="-6"/>
          <w:kern w:val="21"/>
          <w:szCs w:val="21"/>
          <w:highlight w:val="none"/>
          <w14:textFill>
            <w14:solidFill>
              <w14:schemeClr w14:val="tx1"/>
            </w14:solidFill>
          </w14:textFill>
        </w:rPr>
        <w:fldChar w:fldCharType="separate"/>
      </w:r>
      <w:r>
        <w:rPr>
          <w:rFonts w:hint="eastAsia" w:hAnsi="宋体"/>
          <w:color w:val="000000" w:themeColor="text1"/>
          <w:szCs w:val="21"/>
          <w:highlight w:val="none"/>
          <w14:textFill>
            <w14:solidFill>
              <w14:schemeClr w14:val="tx1"/>
            </w14:solidFill>
          </w14:textFill>
        </w:rPr>
        <w:t>③</w:t>
      </w:r>
      <w:r>
        <w:rPr>
          <w:rFonts w:hAnsi="宋体"/>
          <w:snapToGrid w:val="0"/>
          <w:color w:val="000000" w:themeColor="text1"/>
          <w:spacing w:val="-6"/>
          <w:kern w:val="21"/>
          <w:szCs w:val="21"/>
          <w:highlight w:val="none"/>
          <w14:textFill>
            <w14:solidFill>
              <w14:schemeClr w14:val="tx1"/>
            </w14:solidFill>
          </w14:textFill>
        </w:rPr>
        <w:fldChar w:fldCharType="end"/>
      </w:r>
      <w:r>
        <w:rPr>
          <w:rFonts w:hAnsi="宋体"/>
          <w:snapToGrid w:val="0"/>
          <w:color w:val="000000" w:themeColor="text1"/>
          <w:spacing w:val="-6"/>
          <w:kern w:val="21"/>
          <w:szCs w:val="21"/>
          <w:highlight w:val="none"/>
          <w14:textFill>
            <w14:solidFill>
              <w14:schemeClr w14:val="tx1"/>
            </w14:solidFill>
          </w14:textFill>
        </w:rPr>
        <w:t>+</w:t>
      </w:r>
      <w:r>
        <w:rPr>
          <w:rFonts w:hAnsi="宋体"/>
          <w:snapToGrid w:val="0"/>
          <w:color w:val="000000" w:themeColor="text1"/>
          <w:spacing w:val="-6"/>
          <w:kern w:val="21"/>
          <w:szCs w:val="21"/>
          <w:highlight w:val="none"/>
          <w14:textFill>
            <w14:solidFill>
              <w14:schemeClr w14:val="tx1"/>
            </w14:solidFill>
          </w14:textFill>
        </w:rPr>
        <w:fldChar w:fldCharType="begin"/>
      </w:r>
      <w:r>
        <w:rPr>
          <w:rFonts w:hAnsi="宋体"/>
          <w:snapToGrid w:val="0"/>
          <w:color w:val="000000" w:themeColor="text1"/>
          <w:spacing w:val="-6"/>
          <w:kern w:val="21"/>
          <w:szCs w:val="21"/>
          <w:highlight w:val="none"/>
          <w14:textFill>
            <w14:solidFill>
              <w14:schemeClr w14:val="tx1"/>
            </w14:solidFill>
          </w14:textFill>
        </w:rPr>
        <w:instrText xml:space="preserve"> = 4 \* GB3 \* MERGEFORMAT </w:instrText>
      </w:r>
      <w:r>
        <w:rPr>
          <w:rFonts w:hAnsi="宋体"/>
          <w:snapToGrid w:val="0"/>
          <w:color w:val="000000" w:themeColor="text1"/>
          <w:spacing w:val="-6"/>
          <w:kern w:val="21"/>
          <w:szCs w:val="21"/>
          <w:highlight w:val="none"/>
          <w14:textFill>
            <w14:solidFill>
              <w14:schemeClr w14:val="tx1"/>
            </w14:solidFill>
          </w14:textFill>
        </w:rPr>
        <w:fldChar w:fldCharType="separate"/>
      </w:r>
      <w:r>
        <w:rPr>
          <w:rFonts w:hint="eastAsia" w:hAnsi="宋体"/>
          <w:color w:val="000000" w:themeColor="text1"/>
          <w:szCs w:val="21"/>
          <w:highlight w:val="none"/>
          <w14:textFill>
            <w14:solidFill>
              <w14:schemeClr w14:val="tx1"/>
            </w14:solidFill>
          </w14:textFill>
        </w:rPr>
        <w:t>④</w:t>
      </w:r>
      <w:r>
        <w:rPr>
          <w:rFonts w:hAnsi="宋体"/>
          <w:snapToGrid w:val="0"/>
          <w:color w:val="000000" w:themeColor="text1"/>
          <w:spacing w:val="-6"/>
          <w:kern w:val="21"/>
          <w:szCs w:val="21"/>
          <w:highlight w:val="none"/>
          <w14:textFill>
            <w14:solidFill>
              <w14:schemeClr w14:val="tx1"/>
            </w14:solidFill>
          </w14:textFill>
        </w:rPr>
        <w:fldChar w:fldCharType="end"/>
      </w:r>
      <w:r>
        <w:rPr>
          <w:rFonts w:hAnsi="宋体"/>
          <w:snapToGrid w:val="0"/>
          <w:color w:val="000000" w:themeColor="text1"/>
          <w:spacing w:val="-6"/>
          <w:kern w:val="21"/>
          <w:szCs w:val="21"/>
          <w:highlight w:val="none"/>
          <w14:textFill>
            <w14:solidFill>
              <w14:schemeClr w14:val="tx1"/>
            </w14:solidFill>
          </w14:textFill>
        </w:rPr>
        <w:t>-</w:t>
      </w:r>
      <w:r>
        <w:rPr>
          <w:rFonts w:hAnsi="宋体"/>
          <w:snapToGrid w:val="0"/>
          <w:color w:val="000000" w:themeColor="text1"/>
          <w:spacing w:val="-16"/>
          <w:kern w:val="21"/>
          <w:szCs w:val="21"/>
          <w:highlight w:val="none"/>
          <w14:textFill>
            <w14:solidFill>
              <w14:schemeClr w14:val="tx1"/>
            </w14:solidFill>
          </w14:textFill>
        </w:rPr>
        <w:fldChar w:fldCharType="begin"/>
      </w:r>
      <w:r>
        <w:rPr>
          <w:rFonts w:hAnsi="宋体"/>
          <w:snapToGrid w:val="0"/>
          <w:color w:val="000000" w:themeColor="text1"/>
          <w:spacing w:val="-16"/>
          <w:kern w:val="21"/>
          <w:szCs w:val="21"/>
          <w:highlight w:val="none"/>
          <w14:textFill>
            <w14:solidFill>
              <w14:schemeClr w14:val="tx1"/>
            </w14:solidFill>
          </w14:textFill>
        </w:rPr>
        <w:instrText xml:space="preserve"> = 5 \* GB3 \* MERGEFORMAT </w:instrText>
      </w:r>
      <w:r>
        <w:rPr>
          <w:rFonts w:hAnsi="宋体"/>
          <w:snapToGrid w:val="0"/>
          <w:color w:val="000000" w:themeColor="text1"/>
          <w:spacing w:val="-16"/>
          <w:kern w:val="21"/>
          <w:szCs w:val="21"/>
          <w:highlight w:val="none"/>
          <w14:textFill>
            <w14:solidFill>
              <w14:schemeClr w14:val="tx1"/>
            </w14:solidFill>
          </w14:textFill>
        </w:rPr>
        <w:fldChar w:fldCharType="separate"/>
      </w:r>
      <w:r>
        <w:rPr>
          <w:rFonts w:hint="eastAsia" w:hAnsi="宋体"/>
          <w:color w:val="000000" w:themeColor="text1"/>
          <w:szCs w:val="21"/>
          <w:highlight w:val="none"/>
          <w14:textFill>
            <w14:solidFill>
              <w14:schemeClr w14:val="tx1"/>
            </w14:solidFill>
          </w14:textFill>
        </w:rPr>
        <w:t>⑤</w:t>
      </w:r>
      <w:r>
        <w:rPr>
          <w:rFonts w:hAnsi="宋体"/>
          <w:snapToGrid w:val="0"/>
          <w:color w:val="000000" w:themeColor="text1"/>
          <w:spacing w:val="-16"/>
          <w:kern w:val="21"/>
          <w:szCs w:val="21"/>
          <w:highlight w:val="none"/>
          <w14:textFill>
            <w14:solidFill>
              <w14:schemeClr w14:val="tx1"/>
            </w14:solidFill>
          </w14:textFill>
        </w:rPr>
        <w:fldChar w:fldCharType="end"/>
      </w:r>
      <w:r>
        <w:rPr>
          <w:rFonts w:hAnsi="宋体"/>
          <w:snapToGrid w:val="0"/>
          <w:color w:val="000000" w:themeColor="text1"/>
          <w:spacing w:val="-16"/>
          <w:kern w:val="21"/>
          <w:szCs w:val="21"/>
          <w:highlight w:val="none"/>
          <w14:textFill>
            <w14:solidFill>
              <w14:schemeClr w14:val="tx1"/>
            </w14:solidFill>
          </w14:textFill>
        </w:rPr>
        <w:t>；</w:t>
      </w:r>
      <w:r>
        <w:rPr>
          <w:rFonts w:hAnsi="宋体"/>
          <w:snapToGrid w:val="0"/>
          <w:color w:val="000000" w:themeColor="text1"/>
          <w:spacing w:val="-6"/>
          <w:kern w:val="21"/>
          <w:szCs w:val="21"/>
          <w:highlight w:val="none"/>
          <w14:textFill>
            <w14:solidFill>
              <w14:schemeClr w14:val="tx1"/>
            </w14:solidFill>
          </w14:textFill>
        </w:rPr>
        <w:fldChar w:fldCharType="begin"/>
      </w:r>
      <w:r>
        <w:rPr>
          <w:rFonts w:hAnsi="宋体"/>
          <w:snapToGrid w:val="0"/>
          <w:color w:val="000000" w:themeColor="text1"/>
          <w:spacing w:val="-6"/>
          <w:kern w:val="21"/>
          <w:szCs w:val="21"/>
          <w:highlight w:val="none"/>
          <w14:textFill>
            <w14:solidFill>
              <w14:schemeClr w14:val="tx1"/>
            </w14:solidFill>
          </w14:textFill>
        </w:rPr>
        <w:instrText xml:space="preserve"> = 7 \* GB3 \* MERGEFORMAT </w:instrText>
      </w:r>
      <w:r>
        <w:rPr>
          <w:rFonts w:hAnsi="宋体"/>
          <w:snapToGrid w:val="0"/>
          <w:color w:val="000000" w:themeColor="text1"/>
          <w:spacing w:val="-6"/>
          <w:kern w:val="21"/>
          <w:szCs w:val="21"/>
          <w:highlight w:val="none"/>
          <w14:textFill>
            <w14:solidFill>
              <w14:schemeClr w14:val="tx1"/>
            </w14:solidFill>
          </w14:textFill>
        </w:rPr>
        <w:fldChar w:fldCharType="separate"/>
      </w:r>
      <w:r>
        <w:rPr>
          <w:rFonts w:hint="eastAsia" w:hAnsi="宋体"/>
          <w:color w:val="000000" w:themeColor="text1"/>
          <w:szCs w:val="21"/>
          <w:highlight w:val="none"/>
          <w14:textFill>
            <w14:solidFill>
              <w14:schemeClr w14:val="tx1"/>
            </w14:solidFill>
          </w14:textFill>
        </w:rPr>
        <w:t>⑦</w:t>
      </w:r>
      <w:r>
        <w:rPr>
          <w:rFonts w:hAnsi="宋体"/>
          <w:snapToGrid w:val="0"/>
          <w:color w:val="000000" w:themeColor="text1"/>
          <w:spacing w:val="-6"/>
          <w:kern w:val="21"/>
          <w:szCs w:val="21"/>
          <w:highlight w:val="none"/>
          <w14:textFill>
            <w14:solidFill>
              <w14:schemeClr w14:val="tx1"/>
            </w14:solidFill>
          </w14:textFill>
        </w:rPr>
        <w:fldChar w:fldCharType="end"/>
      </w:r>
      <w:r>
        <w:rPr>
          <w:rFonts w:hAnsi="宋体"/>
          <w:snapToGrid w:val="0"/>
          <w:color w:val="000000" w:themeColor="text1"/>
          <w:spacing w:val="-6"/>
          <w:kern w:val="21"/>
          <w:szCs w:val="21"/>
          <w:highlight w:val="none"/>
          <w14:textFill>
            <w14:solidFill>
              <w14:schemeClr w14:val="tx1"/>
            </w14:solidFill>
          </w14:textFill>
        </w:rPr>
        <w:t>=</w:t>
      </w:r>
      <w:r>
        <w:rPr>
          <w:rFonts w:hAnsi="宋体"/>
          <w:snapToGrid w:val="0"/>
          <w:color w:val="000000" w:themeColor="text1"/>
          <w:spacing w:val="-16"/>
          <w:kern w:val="21"/>
          <w:szCs w:val="21"/>
          <w:highlight w:val="none"/>
          <w14:textFill>
            <w14:solidFill>
              <w14:schemeClr w14:val="tx1"/>
            </w14:solidFill>
          </w14:textFill>
        </w:rPr>
        <w:fldChar w:fldCharType="begin"/>
      </w:r>
      <w:r>
        <w:rPr>
          <w:rFonts w:hAnsi="宋体"/>
          <w:snapToGrid w:val="0"/>
          <w:color w:val="000000" w:themeColor="text1"/>
          <w:spacing w:val="-16"/>
          <w:kern w:val="21"/>
          <w:szCs w:val="21"/>
          <w:highlight w:val="none"/>
          <w14:textFill>
            <w14:solidFill>
              <w14:schemeClr w14:val="tx1"/>
            </w14:solidFill>
          </w14:textFill>
        </w:rPr>
        <w:instrText xml:space="preserve"> = 6 \* GB3 \* MERGEFORMAT </w:instrText>
      </w:r>
      <w:r>
        <w:rPr>
          <w:rFonts w:hAnsi="宋体"/>
          <w:snapToGrid w:val="0"/>
          <w:color w:val="000000" w:themeColor="text1"/>
          <w:spacing w:val="-16"/>
          <w:kern w:val="21"/>
          <w:szCs w:val="21"/>
          <w:highlight w:val="none"/>
          <w14:textFill>
            <w14:solidFill>
              <w14:schemeClr w14:val="tx1"/>
            </w14:solidFill>
          </w14:textFill>
        </w:rPr>
        <w:fldChar w:fldCharType="separate"/>
      </w:r>
      <w:r>
        <w:rPr>
          <w:rFonts w:hint="eastAsia" w:hAnsi="宋体"/>
          <w:color w:val="000000" w:themeColor="text1"/>
          <w:szCs w:val="21"/>
          <w:highlight w:val="none"/>
          <w14:textFill>
            <w14:solidFill>
              <w14:schemeClr w14:val="tx1"/>
            </w14:solidFill>
          </w14:textFill>
        </w:rPr>
        <w:t>⑥</w:t>
      </w:r>
      <w:r>
        <w:rPr>
          <w:rFonts w:hAnsi="宋体"/>
          <w:snapToGrid w:val="0"/>
          <w:color w:val="000000" w:themeColor="text1"/>
          <w:spacing w:val="-16"/>
          <w:kern w:val="21"/>
          <w:szCs w:val="21"/>
          <w:highlight w:val="none"/>
          <w14:textFill>
            <w14:solidFill>
              <w14:schemeClr w14:val="tx1"/>
            </w14:solidFill>
          </w14:textFill>
        </w:rPr>
        <w:fldChar w:fldCharType="end"/>
      </w:r>
      <w:r>
        <w:rPr>
          <w:rFonts w:hAnsi="宋体"/>
          <w:snapToGrid w:val="0"/>
          <w:color w:val="000000" w:themeColor="text1"/>
          <w:spacing w:val="-16"/>
          <w:kern w:val="21"/>
          <w:szCs w:val="21"/>
          <w:highlight w:val="none"/>
          <w14:textFill>
            <w14:solidFill>
              <w14:schemeClr w14:val="tx1"/>
            </w14:solidFill>
          </w14:textFill>
        </w:rPr>
        <w:t>-</w:t>
      </w:r>
      <w:r>
        <w:rPr>
          <w:rFonts w:hAnsi="宋体"/>
          <w:snapToGrid w:val="0"/>
          <w:color w:val="000000" w:themeColor="text1"/>
          <w:spacing w:val="-6"/>
          <w:kern w:val="21"/>
          <w:szCs w:val="21"/>
          <w:highlight w:val="none"/>
          <w14:textFill>
            <w14:solidFill>
              <w14:schemeClr w14:val="tx1"/>
            </w14:solidFill>
          </w14:textFill>
        </w:rPr>
        <w:fldChar w:fldCharType="begin"/>
      </w:r>
      <w:r>
        <w:rPr>
          <w:rFonts w:hAnsi="宋体"/>
          <w:snapToGrid w:val="0"/>
          <w:color w:val="000000" w:themeColor="text1"/>
          <w:spacing w:val="-6"/>
          <w:kern w:val="21"/>
          <w:szCs w:val="21"/>
          <w:highlight w:val="none"/>
          <w14:textFill>
            <w14:solidFill>
              <w14:schemeClr w14:val="tx1"/>
            </w14:solidFill>
          </w14:textFill>
        </w:rPr>
        <w:instrText xml:space="preserve"> = 1 \* GB3 \* MERGEFORMAT </w:instrText>
      </w:r>
      <w:r>
        <w:rPr>
          <w:rFonts w:hAnsi="宋体"/>
          <w:snapToGrid w:val="0"/>
          <w:color w:val="000000" w:themeColor="text1"/>
          <w:spacing w:val="-6"/>
          <w:kern w:val="21"/>
          <w:szCs w:val="21"/>
          <w:highlight w:val="none"/>
          <w14:textFill>
            <w14:solidFill>
              <w14:schemeClr w14:val="tx1"/>
            </w14:solidFill>
          </w14:textFill>
        </w:rPr>
        <w:fldChar w:fldCharType="separate"/>
      </w:r>
      <w:r>
        <w:rPr>
          <w:rFonts w:hint="eastAsia" w:hAnsi="宋体"/>
          <w:color w:val="000000" w:themeColor="text1"/>
          <w:szCs w:val="21"/>
          <w:highlight w:val="none"/>
          <w14:textFill>
            <w14:solidFill>
              <w14:schemeClr w14:val="tx1"/>
            </w14:solidFill>
          </w14:textFill>
        </w:rPr>
        <w:t>①</w:t>
      </w:r>
      <w:r>
        <w:rPr>
          <w:rFonts w:hAnsi="宋体"/>
          <w:snapToGrid w:val="0"/>
          <w:color w:val="000000" w:themeColor="text1"/>
          <w:spacing w:val="-6"/>
          <w:kern w:val="21"/>
          <w:szCs w:val="21"/>
          <w:highlight w:val="none"/>
          <w14:textFill>
            <w14:solidFill>
              <w14:schemeClr w14:val="tx1"/>
            </w14:solidFill>
          </w14:textFill>
        </w:rPr>
        <w:fldChar w:fldCharType="end"/>
      </w:r>
    </w:p>
    <w:p w14:paraId="09C2003C">
      <w:pPr>
        <w:keepNext w:val="0"/>
        <w:keepLines w:val="0"/>
        <w:pageBreakBefore w:val="0"/>
        <w:widowControl w:val="0"/>
        <w:kinsoku/>
        <w:wordWrap/>
        <w:overflowPunct/>
        <w:topLinePunct w:val="0"/>
        <w:autoSpaceDE/>
        <w:autoSpaceDN/>
        <w:bidi w:val="0"/>
        <w:spacing w:line="240" w:lineRule="exact"/>
        <w:textAlignment w:val="auto"/>
        <w:rPr>
          <w:color w:val="auto"/>
          <w:highlight w:val="none"/>
        </w:rPr>
        <w:sectPr>
          <w:footerReference r:id="rId6" w:type="default"/>
          <w:pgSz w:w="16838" w:h="11905" w:orient="landscape"/>
          <w:pgMar w:top="1247" w:right="1417" w:bottom="1247" w:left="1417" w:header="851" w:footer="1077" w:gutter="0"/>
          <w:pgBorders>
            <w:top w:val="none" w:sz="0" w:space="0"/>
            <w:left w:val="none" w:sz="0" w:space="0"/>
            <w:bottom w:val="none" w:sz="0" w:space="0"/>
            <w:right w:val="none" w:sz="0" w:space="0"/>
          </w:pgBorders>
          <w:pgNumType w:fmt="decimal"/>
          <w:cols w:space="0" w:num="1"/>
          <w:docGrid w:linePitch="312" w:charSpace="0"/>
        </w:sectPr>
      </w:pPr>
    </w:p>
    <w:p w14:paraId="48FD7526">
      <w:pPr>
        <w:pStyle w:val="112"/>
        <w:bidi w:val="0"/>
        <w:jc w:val="both"/>
        <w:outlineLvl w:val="0"/>
        <w:rPr>
          <w:rFonts w:hint="eastAsia"/>
          <w:lang w:val="en-US" w:eastAsia="zh-CN"/>
        </w:rPr>
      </w:pPr>
      <w:r>
        <w:rPr>
          <w:lang w:val="en-US" w:eastAsia="zh-CN"/>
        </w:rPr>
        <w:t>附件</w:t>
      </w:r>
      <w:r>
        <w:rPr>
          <w:rFonts w:hint="eastAsia"/>
          <w:lang w:val="en-US" w:eastAsia="zh-CN"/>
        </w:rPr>
        <w:t>：关于环评文件公开文本删除的涉及国家秘密、商业秘密等内容的删除依据和理由说明</w:t>
      </w:r>
    </w:p>
    <w:p w14:paraId="7CE4A24D">
      <w:pPr>
        <w:bidi w:val="0"/>
        <w:rPr>
          <w:rFonts w:hint="default"/>
          <w:lang w:val="en-US" w:eastAsia="zh-CN"/>
        </w:rPr>
      </w:pPr>
      <w:r>
        <w:rPr>
          <w:rFonts w:hint="default"/>
          <w:lang w:val="en-US" w:eastAsia="zh-CN"/>
        </w:rPr>
        <w:drawing>
          <wp:inline distT="0" distB="0" distL="114300" distR="114300">
            <wp:extent cx="5421630" cy="7675245"/>
            <wp:effectExtent l="0" t="0" r="7620" b="1905"/>
            <wp:docPr id="15" name="图片 15" descr="建设项目环境影响报告表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建设项目环境影响报告表_03"/>
                    <pic:cNvPicPr>
                      <a:picLocks noChangeAspect="1"/>
                    </pic:cNvPicPr>
                  </pic:nvPicPr>
                  <pic:blipFill>
                    <a:blip r:embed="rId35"/>
                    <a:stretch>
                      <a:fillRect/>
                    </a:stretch>
                  </pic:blipFill>
                  <pic:spPr>
                    <a:xfrm>
                      <a:off x="0" y="0"/>
                      <a:ext cx="5421630" cy="7675245"/>
                    </a:xfrm>
                    <a:prstGeom prst="rect">
                      <a:avLst/>
                    </a:prstGeom>
                  </pic:spPr>
                </pic:pic>
              </a:graphicData>
            </a:graphic>
          </wp:inline>
        </w:drawing>
      </w:r>
    </w:p>
    <w:p w14:paraId="7D6C14A2">
      <w:pPr>
        <w:bidi w:val="0"/>
        <w:rPr>
          <w:rFonts w:hint="default"/>
          <w:lang w:val="en-US" w:eastAsia="zh-CN"/>
        </w:rPr>
      </w:pPr>
      <w:r>
        <w:rPr>
          <w:rFonts w:hint="default"/>
          <w:lang w:val="en-US" w:eastAsia="zh-CN"/>
        </w:rPr>
        <w:drawing>
          <wp:inline distT="0" distB="0" distL="114300" distR="114300">
            <wp:extent cx="5614035" cy="7946390"/>
            <wp:effectExtent l="0" t="0" r="5715" b="16510"/>
            <wp:docPr id="17" name="图片 17" descr="建设项目环境影响报告表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建设项目环境影响报告表_04"/>
                    <pic:cNvPicPr>
                      <a:picLocks noChangeAspect="1"/>
                    </pic:cNvPicPr>
                  </pic:nvPicPr>
                  <pic:blipFill>
                    <a:blip r:embed="rId36"/>
                    <a:stretch>
                      <a:fillRect/>
                    </a:stretch>
                  </pic:blipFill>
                  <pic:spPr>
                    <a:xfrm>
                      <a:off x="0" y="0"/>
                      <a:ext cx="5614035" cy="7946390"/>
                    </a:xfrm>
                    <a:prstGeom prst="rect">
                      <a:avLst/>
                    </a:prstGeom>
                  </pic:spPr>
                </pic:pic>
              </a:graphicData>
            </a:graphic>
          </wp:inline>
        </w:drawing>
      </w:r>
    </w:p>
    <w:p w14:paraId="04202D73">
      <w:pPr>
        <w:rPr>
          <w:rFonts w:hint="default"/>
          <w:lang w:val="en-US" w:eastAsia="zh-CN"/>
        </w:rPr>
      </w:pPr>
      <w:bookmarkStart w:id="84" w:name="_GoBack"/>
      <w:bookmarkEnd w:id="84"/>
    </w:p>
    <w:sectPr>
      <w:headerReference r:id="rId7" w:type="default"/>
      <w:footerReference r:id="rId8"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42">
      <wne:acd wne:acdName="acd1"/>
    </wne:keymap>
  </wne:keymaps>
  <wne:acds>
    <wne:acd wne:argValue="AQAAAAEA" wne:acdName="acd0" wne:fciIndexBasedOn="0065"/>
    <wne:acd wne:argValue="AgBoiDxoB2iYmA==" wne:acdName="acd1"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新宋体-18030">
    <w:altName w:val="宋体"/>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10" w:usb3="00000000" w:csb0="00040000" w:csb1="00000000"/>
  </w:font>
  <w:font w:name="TimesNewRomanPSMT">
    <w:altName w:val="Times New Roman"/>
    <w:panose1 w:val="00000000000000000000"/>
    <w:charset w:val="00"/>
    <w:family w:val="roman"/>
    <w:pitch w:val="default"/>
    <w:sig w:usb0="00000000" w:usb1="00000000" w:usb2="00000000" w:usb3="00000000" w:csb0="00000001" w:csb1="00000000"/>
  </w:font>
  <w:font w:name="PMingLiU">
    <w:altName w:val="Segoe Print"/>
    <w:panose1 w:val="00000000000000000000"/>
    <w:charset w:val="01"/>
    <w:family w:val="roman"/>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Wingdings 2">
    <w:altName w:val="Wingdings"/>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p&gt;:#">
    <w:altName w:val="Calibri"/>
    <w:panose1 w:val="020B0604020202020204"/>
    <w:charset w:val="4D"/>
    <w:family w:val="auto"/>
    <w:pitch w:val="default"/>
    <w:sig w:usb0="00000000" w:usb1="00000000" w:usb2="00000000" w:usb3="00000000" w:csb0="00000001" w:csb1="00000000"/>
  </w:font>
  <w:font w:name="方正小标宋_GBK">
    <w:altName w:val="微软雅黑"/>
    <w:panose1 w:val="02000000000000000000"/>
    <w:charset w:val="86"/>
    <w:family w:val="script"/>
    <w:pitch w:val="default"/>
    <w:sig w:usb0="00000000" w:usb1="00000000" w:usb2="00082016" w:usb3="00000000" w:csb0="00040001" w:csb1="00000000"/>
  </w:font>
  <w:font w:name="Kingsoft UE">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270960">
    <w:pPr>
      <w:pStyle w:val="23"/>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7DDE6">
    <w:pPr>
      <w:pStyle w:val="23"/>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0" name="文本框 2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F7CA6D">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uUaUI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5RpQjICAABlBAAADgAAAAAAAAABACAAAAAfAQAAZHJzL2Uyb0RvYy54bWxQSwUG&#10;AAAAAAYABgBZAQAAwwUAAAAA&#10;">
              <v:fill on="f" focussize="0,0"/>
              <v:stroke on="f" weight="0.5pt"/>
              <v:imagedata o:title=""/>
              <o:lock v:ext="edit" aspectratio="f"/>
              <v:textbox inset="0mm,0mm,0mm,0mm" style="mso-fit-shape-to-text:t;">
                <w:txbxContent>
                  <w:p w14:paraId="7AF7CA6D">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BAD6F">
    <w:pPr>
      <w:pStyle w:val="23"/>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5" name="文本框 2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9F9D25">
                          <w:pPr>
                            <w:pStyle w:val="2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P14hs1AgAAZQ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s/XiGzUCAABlBAAADgAAAAAAAAABACAAAAAfAQAAZHJzL2Uyb0RvYy54bWxQ&#10;SwUGAAAAAAYABgBZAQAAxgUAAAAA&#10;">
              <v:fill on="f" focussize="0,0"/>
              <v:stroke on="f" weight="0.5pt"/>
              <v:imagedata o:title=""/>
              <o:lock v:ext="edit" aspectratio="f"/>
              <v:textbox inset="0mm,0mm,0mm,0mm" style="mso-fit-shape-to-text:t;">
                <w:txbxContent>
                  <w:p w14:paraId="2E9F9D25">
                    <w:pPr>
                      <w:pStyle w:val="23"/>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8297F">
    <w:pPr>
      <w:pStyle w:val="23"/>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8" name="文本框 2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D2F421">
                          <w:pPr>
                            <w:pStyle w:val="23"/>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ERqc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lERqczAgAAZQQAAA4AAAAAAAAAAQAgAAAAHwEAAGRycy9lMm9Eb2MueG1sUEsF&#10;BgAAAAAGAAYAWQEAAMQFAAAAAA==&#10;">
              <v:fill on="f" focussize="0,0"/>
              <v:stroke on="f" weight="0.5pt"/>
              <v:imagedata o:title=""/>
              <o:lock v:ext="edit" aspectratio="f"/>
              <v:textbox inset="0mm,0mm,0mm,0mm" style="mso-fit-shape-to-text:t;">
                <w:txbxContent>
                  <w:p w14:paraId="4ED2F421">
                    <w:pPr>
                      <w:pStyle w:val="23"/>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7B50C">
    <w:pPr>
      <w:tabs>
        <w:tab w:val="center" w:pos="4153"/>
        <w:tab w:val="right" w:pos="8306"/>
      </w:tabs>
      <w:ind w:firstLine="480"/>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4" name="文本框 2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06799A">
                          <w:pPr>
                            <w:pStyle w:val="23"/>
                          </w:pPr>
                          <w:r>
                            <w:fldChar w:fldCharType="begin"/>
                          </w:r>
                          <w:r>
                            <w:instrText xml:space="preserve"> PAGE  \* MERGEFORMAT </w:instrText>
                          </w:r>
                          <w:r>
                            <w:fldChar w:fldCharType="separate"/>
                          </w:r>
                          <w:r>
                            <w:t>119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0lCTM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tJQkzNAIAAGUEAAAOAAAAAAAAAAEAIAAAAB8BAABkcnMvZTJvRG9jLnhtbFBL&#10;BQYAAAAABgAGAFkBAADFBQAAAAA=&#10;">
              <v:fill on="f" focussize="0,0"/>
              <v:stroke on="f" weight="0.5pt"/>
              <v:imagedata o:title=""/>
              <o:lock v:ext="edit" aspectratio="f"/>
              <v:textbox inset="0mm,0mm,0mm,0mm" style="mso-fit-shape-to-text:t;">
                <w:txbxContent>
                  <w:p w14:paraId="1106799A">
                    <w:pPr>
                      <w:pStyle w:val="23"/>
                    </w:pPr>
                    <w:r>
                      <w:fldChar w:fldCharType="begin"/>
                    </w:r>
                    <w:r>
                      <w:instrText xml:space="preserve"> PAGE  \* MERGEFORMAT </w:instrText>
                    </w:r>
                    <w:r>
                      <w:fldChar w:fldCharType="separate"/>
                    </w:r>
                    <w:r>
                      <w:t>119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112A6">
    <w:pPr>
      <w:ind w:left="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3EFAD0"/>
    <w:multiLevelType w:val="multilevel"/>
    <w:tmpl w:val="883EFAD0"/>
    <w:lvl w:ilvl="0" w:tentative="0">
      <w:start w:val="1"/>
      <w:numFmt w:val="chineseCounting"/>
      <w:suff w:val="nothing"/>
      <w:lvlText w:val="%1、"/>
      <w:lvlJc w:val="left"/>
      <w:pPr>
        <w:tabs>
          <w:tab w:val="left" w:pos="420"/>
        </w:tabs>
        <w:ind w:left="358" w:firstLine="0"/>
      </w:pPr>
      <w:rPr>
        <w:rFonts w:hint="eastAsia" w:ascii="宋体" w:hAnsi="宋体" w:eastAsia="宋体" w:cs="宋体"/>
      </w:rPr>
    </w:lvl>
    <w:lvl w:ilvl="1" w:tentative="0">
      <w:start w:val="1"/>
      <w:numFmt w:val="decimal"/>
      <w:isLgl/>
      <w:suff w:val="space"/>
      <w:lvlText w:val="%1.%2"/>
      <w:lvlJc w:val="left"/>
      <w:pPr>
        <w:tabs>
          <w:tab w:val="left" w:pos="420"/>
        </w:tabs>
        <w:ind w:left="358" w:firstLine="0"/>
      </w:pPr>
      <w:rPr>
        <w:rFonts w:hint="default" w:ascii="Times New Roman" w:hAnsi="Times New Roman" w:eastAsia="宋体" w:cs="Times New Roman"/>
      </w:rPr>
    </w:lvl>
    <w:lvl w:ilvl="2" w:tentative="0">
      <w:start w:val="1"/>
      <w:numFmt w:val="decimal"/>
      <w:isLgl/>
      <w:suff w:val="space"/>
      <w:lvlText w:val="%1.%2.%3"/>
      <w:lvlJc w:val="left"/>
      <w:pPr>
        <w:tabs>
          <w:tab w:val="left" w:pos="420"/>
        </w:tabs>
        <w:ind w:left="358" w:firstLine="0"/>
      </w:pPr>
      <w:rPr>
        <w:rFonts w:hint="default" w:ascii="Times New Roman" w:hAnsi="Times New Roman" w:eastAsia="宋体" w:cs="Times New Roman"/>
        <w:sz w:val="24"/>
        <w:szCs w:val="24"/>
      </w:rPr>
    </w:lvl>
    <w:lvl w:ilvl="3" w:tentative="0">
      <w:start w:val="1"/>
      <w:numFmt w:val="decimal"/>
      <w:isLgl/>
      <w:suff w:val="space"/>
      <w:lvlText w:val="%1.%2.%3.%4"/>
      <w:lvlJc w:val="left"/>
      <w:pPr>
        <w:tabs>
          <w:tab w:val="left" w:pos="420"/>
        </w:tabs>
        <w:ind w:left="358" w:firstLine="0"/>
      </w:pPr>
      <w:rPr>
        <w:rFonts w:hint="eastAsia" w:ascii="Times New Roman" w:hAnsi="Times New Roman" w:eastAsia="宋体" w:cs="宋体"/>
        <w:sz w:val="24"/>
      </w:rPr>
    </w:lvl>
    <w:lvl w:ilvl="4" w:tentative="0">
      <w:start w:val="1"/>
      <w:numFmt w:val="decimal"/>
      <w:lvlText w:val="%1.%2.%3.%4.%5."/>
      <w:lvlJc w:val="left"/>
      <w:pPr>
        <w:ind w:left="1366" w:hanging="1008"/>
      </w:pPr>
      <w:rPr>
        <w:rFonts w:hint="eastAsia"/>
      </w:rPr>
    </w:lvl>
    <w:lvl w:ilvl="5" w:tentative="0">
      <w:start w:val="1"/>
      <w:numFmt w:val="decimal"/>
      <w:lvlText w:val="%1.%2.%3.%4.%5.%6."/>
      <w:lvlJc w:val="left"/>
      <w:pPr>
        <w:ind w:left="1509" w:hanging="1151"/>
      </w:pPr>
      <w:rPr>
        <w:rFonts w:hint="eastAsia"/>
      </w:rPr>
    </w:lvl>
    <w:lvl w:ilvl="6" w:tentative="0">
      <w:start w:val="1"/>
      <w:numFmt w:val="decimal"/>
      <w:lvlText w:val="%1.%2.%3.%4.%5.%6.%7."/>
      <w:lvlJc w:val="left"/>
      <w:pPr>
        <w:ind w:left="1654" w:hanging="1296"/>
      </w:pPr>
      <w:rPr>
        <w:rFonts w:hint="eastAsia"/>
      </w:rPr>
    </w:lvl>
    <w:lvl w:ilvl="7" w:tentative="0">
      <w:start w:val="1"/>
      <w:numFmt w:val="decimal"/>
      <w:pStyle w:val="9"/>
      <w:lvlText w:val="%1.%2.%3.%4.%5.%6.%7.%8."/>
      <w:lvlJc w:val="left"/>
      <w:pPr>
        <w:ind w:left="1798" w:hanging="1440"/>
      </w:pPr>
      <w:rPr>
        <w:rFonts w:hint="eastAsia"/>
      </w:rPr>
    </w:lvl>
    <w:lvl w:ilvl="8" w:tentative="0">
      <w:start w:val="1"/>
      <w:numFmt w:val="decimal"/>
      <w:lvlText w:val="%1.%2.%3.%4.%5.%6.%7.%8.%9."/>
      <w:lvlJc w:val="left"/>
      <w:pPr>
        <w:ind w:left="1941" w:hanging="1583"/>
      </w:pPr>
      <w:rPr>
        <w:rFonts w:hint="eastAsia"/>
      </w:rPr>
    </w:lvl>
  </w:abstractNum>
  <w:abstractNum w:abstractNumId="1">
    <w:nsid w:val="BBEE175C"/>
    <w:multiLevelType w:val="multilevel"/>
    <w:tmpl w:val="BBEE175C"/>
    <w:lvl w:ilvl="0" w:tentative="0">
      <w:start w:val="1"/>
      <w:numFmt w:val="decimal"/>
      <w:suff w:val="space"/>
      <w:lvlText w:val="第%1章 "/>
      <w:lvlJc w:val="left"/>
      <w:pPr>
        <w:tabs>
          <w:tab w:val="left" w:pos="0"/>
        </w:tabs>
        <w:ind w:left="0" w:firstLine="0"/>
      </w:pPr>
      <w:rPr>
        <w:rFonts w:hint="default" w:ascii="Times New Roman" w:hAnsi="Times New Roman" w:eastAsia="宋体" w:cs="宋体"/>
      </w:rPr>
    </w:lvl>
    <w:lvl w:ilvl="1" w:tentative="0">
      <w:start w:val="1"/>
      <w:numFmt w:val="decimal"/>
      <w:suff w:val="space"/>
      <w:lvlText w:val="%1.%2"/>
      <w:lvlJc w:val="left"/>
      <w:pPr>
        <w:tabs>
          <w:tab w:val="left" w:pos="420"/>
        </w:tabs>
        <w:ind w:left="0" w:firstLine="0"/>
      </w:pPr>
      <w:rPr>
        <w:rFonts w:hint="default" w:ascii="Times New Roman" w:hAnsi="Times New Roman" w:eastAsia="宋体" w:cs="宋体"/>
      </w:rPr>
    </w:lvl>
    <w:lvl w:ilvl="2" w:tentative="0">
      <w:start w:val="1"/>
      <w:numFmt w:val="decimal"/>
      <w:suff w:val="space"/>
      <w:lvlText w:val="%1.%2.%3"/>
      <w:lvlJc w:val="left"/>
      <w:pPr>
        <w:tabs>
          <w:tab w:val="left" w:pos="420"/>
        </w:tabs>
        <w:ind w:left="0" w:firstLine="0"/>
      </w:pPr>
      <w:rPr>
        <w:rFonts w:hint="default" w:ascii="Times New Roman" w:hAnsi="Times New Roman" w:eastAsia="宋体" w:cs="宋体"/>
      </w:rPr>
    </w:lvl>
    <w:lvl w:ilvl="3" w:tentative="0">
      <w:start w:val="1"/>
      <w:numFmt w:val="decimal"/>
      <w:suff w:val="space"/>
      <w:lvlText w:val="%1.%2.%3.%4"/>
      <w:lvlJc w:val="left"/>
      <w:pPr>
        <w:tabs>
          <w:tab w:val="left" w:pos="420"/>
        </w:tabs>
        <w:ind w:left="0" w:firstLine="0"/>
      </w:pPr>
      <w:rPr>
        <w:rFonts w:hint="default" w:ascii="Times New Roman" w:hAnsi="Times New Roman" w:eastAsia="宋体" w:cs="宋体"/>
      </w:rPr>
    </w:lvl>
    <w:lvl w:ilvl="4" w:tentative="0">
      <w:start w:val="1"/>
      <w:numFmt w:val="decimal"/>
      <w:lvlRestart w:val="2"/>
      <w:pStyle w:val="76"/>
      <w:suff w:val="space"/>
      <w:lvlText w:val="表%1.%2-%5 "/>
      <w:lvlJc w:val="left"/>
      <w:pPr>
        <w:tabs>
          <w:tab w:val="left" w:pos="420"/>
        </w:tabs>
        <w:ind w:left="0" w:firstLine="0"/>
      </w:pPr>
      <w:rPr>
        <w:rFonts w:hint="default" w:ascii="Times New Roman" w:hAnsi="Times New Roman" w:eastAsia="宋体" w:cs="宋体"/>
      </w:rPr>
    </w:lvl>
    <w:lvl w:ilvl="5" w:tentative="0">
      <w:start w:val="1"/>
      <w:numFmt w:val="decimal"/>
      <w:lvlRestart w:val="2"/>
      <w:suff w:val="space"/>
      <w:lvlText w:val="图%1.%2-%6 "/>
      <w:lvlJc w:val="left"/>
      <w:pPr>
        <w:tabs>
          <w:tab w:val="left" w:pos="420"/>
        </w:tabs>
        <w:ind w:left="0" w:firstLine="0"/>
      </w:pPr>
      <w:rPr>
        <w:rFonts w:hint="default" w:ascii="Times New Roman" w:hAnsi="Times New Roman" w:eastAsia="宋体" w:cs="宋体"/>
      </w:rPr>
    </w:lvl>
    <w:lvl w:ilvl="6" w:tentative="0">
      <w:start w:val="1"/>
      <w:numFmt w:val="none"/>
      <w:suff w:val="nothing"/>
      <w:lvlText w:val=""/>
      <w:lvlJc w:val="left"/>
      <w:pPr>
        <w:tabs>
          <w:tab w:val="left" w:pos="0"/>
        </w:tabs>
        <w:ind w:left="0" w:firstLine="402"/>
      </w:pPr>
      <w:rPr>
        <w:rFonts w:hint="default" w:ascii="宋体" w:hAnsi="宋体" w:eastAsia="宋体" w:cs="宋体"/>
      </w:rPr>
    </w:lvl>
    <w:lvl w:ilvl="7" w:tentative="0">
      <w:start w:val="1"/>
      <w:numFmt w:val="none"/>
      <w:suff w:val="nothing"/>
      <w:lvlText w:val=""/>
      <w:lvlJc w:val="left"/>
      <w:pPr>
        <w:ind w:left="0" w:firstLine="402"/>
      </w:pPr>
      <w:rPr>
        <w:rFonts w:hint="default" w:ascii="宋体" w:hAnsi="宋体" w:eastAsia="宋体" w:cs="宋体"/>
      </w:rPr>
    </w:lvl>
    <w:lvl w:ilvl="8" w:tentative="0">
      <w:start w:val="1"/>
      <w:numFmt w:val="none"/>
      <w:suff w:val="nothing"/>
      <w:lvlText w:val=""/>
      <w:lvlJc w:val="left"/>
      <w:pPr>
        <w:ind w:left="0" w:firstLine="402"/>
      </w:pPr>
      <w:rPr>
        <w:rFonts w:hint="default" w:ascii="宋体" w:hAnsi="宋体" w:eastAsia="宋体" w:cs="宋体"/>
      </w:rPr>
    </w:lvl>
  </w:abstractNum>
  <w:abstractNum w:abstractNumId="2">
    <w:nsid w:val="E17324D8"/>
    <w:multiLevelType w:val="singleLevel"/>
    <w:tmpl w:val="E17324D8"/>
    <w:lvl w:ilvl="0" w:tentative="0">
      <w:start w:val="1"/>
      <w:numFmt w:val="decimal"/>
      <w:lvlText w:val="(%1)"/>
      <w:lvlJc w:val="left"/>
      <w:pPr>
        <w:ind w:left="425" w:hanging="425"/>
      </w:pPr>
      <w:rPr>
        <w:rFonts w:hint="default"/>
      </w:rPr>
    </w:lvl>
  </w:abstractNum>
  <w:abstractNum w:abstractNumId="3">
    <w:nsid w:val="0C388FF6"/>
    <w:multiLevelType w:val="multilevel"/>
    <w:tmpl w:val="0C388FF6"/>
    <w:lvl w:ilvl="0" w:tentative="0">
      <w:start w:val="1"/>
      <w:numFmt w:val="chineseCounting"/>
      <w:suff w:val="nothing"/>
      <w:lvlText w:val="%1、"/>
      <w:lvlJc w:val="left"/>
      <w:pPr>
        <w:tabs>
          <w:tab w:val="left" w:pos="0"/>
        </w:tabs>
        <w:ind w:left="0" w:firstLine="0"/>
      </w:pPr>
      <w:rPr>
        <w:rFonts w:hint="eastAsia" w:ascii="黑体" w:hAnsi="黑体" w:eastAsia="黑体" w:cs="宋体"/>
      </w:rPr>
    </w:lvl>
    <w:lvl w:ilvl="1" w:tentative="0">
      <w:start w:val="1"/>
      <w:numFmt w:val="decimal"/>
      <w:isLgl/>
      <w:suff w:val="space"/>
      <w:lvlText w:val="%1.%2"/>
      <w:lvlJc w:val="left"/>
      <w:pPr>
        <w:tabs>
          <w:tab w:val="left" w:pos="420"/>
        </w:tabs>
        <w:ind w:left="0" w:firstLine="0"/>
      </w:pPr>
      <w:rPr>
        <w:rFonts w:hint="eastAsia" w:ascii="Times New Roman" w:hAnsi="Times New Roman" w:eastAsia="宋体" w:cs="宋体"/>
      </w:rPr>
    </w:lvl>
    <w:lvl w:ilvl="2" w:tentative="0">
      <w:start w:val="1"/>
      <w:numFmt w:val="decimal"/>
      <w:isLgl/>
      <w:suff w:val="space"/>
      <w:lvlText w:val="%1.%2.%3"/>
      <w:lvlJc w:val="left"/>
      <w:pPr>
        <w:tabs>
          <w:tab w:val="left" w:pos="0"/>
        </w:tabs>
        <w:ind w:left="0" w:firstLine="0"/>
      </w:pPr>
      <w:rPr>
        <w:rFonts w:hint="eastAsia" w:ascii="Times New Roman" w:hAnsi="Times New Roman" w:eastAsia="宋体" w:cs="宋体"/>
      </w:rPr>
    </w:lvl>
    <w:lvl w:ilvl="3" w:tentative="0">
      <w:start w:val="1"/>
      <w:numFmt w:val="decimal"/>
      <w:isLgl/>
      <w:suff w:val="space"/>
      <w:lvlText w:val="%1.%2.%3.%4"/>
      <w:lvlJc w:val="left"/>
      <w:pPr>
        <w:tabs>
          <w:tab w:val="left" w:pos="420"/>
        </w:tabs>
        <w:ind w:left="0" w:firstLine="0"/>
      </w:pPr>
      <w:rPr>
        <w:rFonts w:hint="eastAsia" w:ascii="Times New Roman" w:hAnsi="Times New Roman" w:eastAsia="宋体" w:cs="宋体"/>
      </w:rPr>
    </w:lvl>
    <w:lvl w:ilvl="4" w:tentative="0">
      <w:start w:val="1"/>
      <w:numFmt w:val="decimal"/>
      <w:lvlRestart w:val="2"/>
      <w:pStyle w:val="131"/>
      <w:isLgl/>
      <w:suff w:val="space"/>
      <w:lvlText w:val="表%1.%2-%5 "/>
      <w:lvlJc w:val="left"/>
      <w:pPr>
        <w:tabs>
          <w:tab w:val="left" w:pos="0"/>
        </w:tabs>
        <w:ind w:left="0" w:firstLine="0"/>
      </w:pPr>
      <w:rPr>
        <w:rFonts w:hint="eastAsia" w:ascii="Times New Roman" w:hAnsi="Times New Roman" w:eastAsia="宋体" w:cs="宋体"/>
      </w:rPr>
    </w:lvl>
    <w:lvl w:ilvl="5" w:tentative="0">
      <w:start w:val="1"/>
      <w:numFmt w:val="decimal"/>
      <w:lvlRestart w:val="2"/>
      <w:isLgl/>
      <w:suff w:val="space"/>
      <w:lvlText w:val="图%1.%2-%6 "/>
      <w:lvlJc w:val="left"/>
      <w:pPr>
        <w:tabs>
          <w:tab w:val="left" w:pos="0"/>
        </w:tabs>
        <w:ind w:left="0" w:firstLine="0"/>
      </w:pPr>
      <w:rPr>
        <w:rFonts w:hint="eastAsia" w:ascii="Times New Roman" w:hAnsi="Times New Roman" w:eastAsia="宋体" w:cs="宋体"/>
      </w:rPr>
    </w:lvl>
    <w:lvl w:ilvl="6" w:tentative="0">
      <w:start w:val="1"/>
      <w:numFmt w:val="decimal"/>
      <w:lvlText w:val="%1.%2.%3.%4.%5.%6.%7."/>
      <w:lvlJc w:val="left"/>
      <w:pPr>
        <w:tabs>
          <w:tab w:val="left" w:pos="420"/>
        </w:tabs>
        <w:ind w:left="1296" w:hanging="1296"/>
      </w:pPr>
      <w:rPr>
        <w:rFonts w:hint="eastAsia" w:ascii="宋体" w:hAnsi="宋体" w:eastAsia="宋体" w:cs="宋体"/>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3" w:hanging="1583"/>
      </w:pPr>
      <w:rPr>
        <w:rFonts w:hint="eastAsia"/>
      </w:rPr>
    </w:lvl>
  </w:abstractNum>
  <w:abstractNum w:abstractNumId="4">
    <w:nsid w:val="26F55DDD"/>
    <w:multiLevelType w:val="multilevel"/>
    <w:tmpl w:val="26F55DDD"/>
    <w:lvl w:ilvl="0" w:tentative="0">
      <w:start w:val="1"/>
      <w:numFmt w:val="chineseCounting"/>
      <w:suff w:val="nothing"/>
      <w:lvlText w:val="%1、"/>
      <w:lvlJc w:val="left"/>
      <w:pPr>
        <w:tabs>
          <w:tab w:val="left" w:pos="420"/>
        </w:tabs>
        <w:ind w:left="358" w:firstLine="0"/>
      </w:pPr>
      <w:rPr>
        <w:rFonts w:hint="eastAsia" w:ascii="宋体" w:hAnsi="宋体" w:eastAsia="宋体" w:cs="宋体"/>
      </w:rPr>
    </w:lvl>
    <w:lvl w:ilvl="1" w:tentative="0">
      <w:start w:val="1"/>
      <w:numFmt w:val="decimal"/>
      <w:isLgl/>
      <w:suff w:val="space"/>
      <w:lvlText w:val="%1.%2"/>
      <w:lvlJc w:val="left"/>
      <w:pPr>
        <w:tabs>
          <w:tab w:val="left" w:pos="0"/>
        </w:tabs>
        <w:ind w:left="358" w:firstLine="0"/>
      </w:pPr>
      <w:rPr>
        <w:rFonts w:hint="eastAsia" w:ascii="Times New Roman" w:hAnsi="Times New Roman" w:eastAsia="宋体" w:cs="Times New Roman"/>
      </w:rPr>
    </w:lvl>
    <w:lvl w:ilvl="2" w:tentative="0">
      <w:start w:val="1"/>
      <w:numFmt w:val="decimal"/>
      <w:isLgl/>
      <w:suff w:val="space"/>
      <w:lvlText w:val="%1.%2.%3"/>
      <w:lvlJc w:val="left"/>
      <w:pPr>
        <w:tabs>
          <w:tab w:val="left" w:pos="420"/>
        </w:tabs>
        <w:ind w:left="358" w:firstLine="0"/>
      </w:pPr>
      <w:rPr>
        <w:rFonts w:hint="eastAsia" w:ascii="Times New Roman" w:hAnsi="Times New Roman" w:eastAsia="宋体" w:cs="Times New Roman"/>
        <w:sz w:val="24"/>
        <w:szCs w:val="24"/>
      </w:rPr>
    </w:lvl>
    <w:lvl w:ilvl="3" w:tentative="0">
      <w:start w:val="1"/>
      <w:numFmt w:val="decimal"/>
      <w:isLgl/>
      <w:suff w:val="space"/>
      <w:lvlText w:val="%1.%2.%3.%4"/>
      <w:lvlJc w:val="left"/>
      <w:pPr>
        <w:tabs>
          <w:tab w:val="left" w:pos="420"/>
        </w:tabs>
        <w:ind w:left="358" w:firstLine="0"/>
      </w:pPr>
      <w:rPr>
        <w:rFonts w:hint="eastAsia" w:ascii="Times New Roman" w:hAnsi="Times New Roman" w:eastAsia="宋体" w:cs="宋体"/>
        <w:sz w:val="24"/>
      </w:rPr>
    </w:lvl>
    <w:lvl w:ilvl="4" w:tentative="0">
      <w:start w:val="1"/>
      <w:numFmt w:val="decimal"/>
      <w:lvlText w:val="%1.%2.%3.%4.%5."/>
      <w:lvlJc w:val="left"/>
      <w:pPr>
        <w:ind w:left="1366" w:hanging="1008"/>
      </w:pPr>
      <w:rPr>
        <w:rFonts w:hint="eastAsia"/>
      </w:rPr>
    </w:lvl>
    <w:lvl w:ilvl="5" w:tentative="0">
      <w:start w:val="1"/>
      <w:numFmt w:val="decimal"/>
      <w:lvlText w:val="%1.%2.%3.%4.%5.%6."/>
      <w:lvlJc w:val="left"/>
      <w:pPr>
        <w:ind w:left="1509" w:hanging="1151"/>
      </w:pPr>
      <w:rPr>
        <w:rFonts w:hint="eastAsia"/>
      </w:rPr>
    </w:lvl>
    <w:lvl w:ilvl="6" w:tentative="0">
      <w:start w:val="1"/>
      <w:numFmt w:val="decimal"/>
      <w:lvlText w:val="%1.%2.%3.%4.%5.%6.%7."/>
      <w:lvlJc w:val="left"/>
      <w:pPr>
        <w:ind w:left="1654" w:hanging="1296"/>
      </w:pPr>
      <w:rPr>
        <w:rFonts w:hint="eastAsia"/>
      </w:rPr>
    </w:lvl>
    <w:lvl w:ilvl="7" w:tentative="0">
      <w:start w:val="1"/>
      <w:numFmt w:val="decimal"/>
      <w:suff w:val="space"/>
      <w:lvlText w:val="表 %1.%2-%8."/>
      <w:lvlJc w:val="left"/>
      <w:pPr>
        <w:tabs>
          <w:tab w:val="left" w:pos="420"/>
        </w:tabs>
        <w:ind w:left="1798" w:hanging="1440"/>
      </w:pPr>
      <w:rPr>
        <w:rFonts w:hint="eastAsia" w:ascii="宋体" w:hAnsi="宋体" w:eastAsia="宋体" w:cs="宋体"/>
      </w:rPr>
    </w:lvl>
    <w:lvl w:ilvl="8" w:tentative="0">
      <w:start w:val="1"/>
      <w:numFmt w:val="decimal"/>
      <w:pStyle w:val="10"/>
      <w:lvlText w:val="%1.%2.%3.%4.%5.%6.%7.%8.%9."/>
      <w:lvlJc w:val="left"/>
      <w:pPr>
        <w:ind w:left="1941" w:hanging="1583"/>
      </w:pPr>
      <w:rPr>
        <w:rFonts w:hint="eastAsia"/>
      </w:rPr>
    </w:lvl>
  </w:abstractNum>
  <w:abstractNum w:abstractNumId="5">
    <w:nsid w:val="2AA33BED"/>
    <w:multiLevelType w:val="multilevel"/>
    <w:tmpl w:val="2AA33BED"/>
    <w:lvl w:ilvl="0" w:tentative="0">
      <w:start w:val="1"/>
      <w:numFmt w:val="chineseCounting"/>
      <w:suff w:val="nothing"/>
      <w:lvlText w:val="%1、"/>
      <w:lvlJc w:val="left"/>
      <w:pPr>
        <w:tabs>
          <w:tab w:val="left" w:pos="420"/>
        </w:tabs>
        <w:ind w:left="2730" w:leftChars="0" w:firstLine="0" w:firstLineChars="0"/>
      </w:pPr>
      <w:rPr>
        <w:rFonts w:hint="eastAsia" w:ascii="宋体" w:hAnsi="宋体" w:eastAsia="宋体" w:cs="宋体"/>
      </w:rPr>
    </w:lvl>
    <w:lvl w:ilvl="1" w:tentative="0">
      <w:start w:val="1"/>
      <w:numFmt w:val="decimal"/>
      <w:isLgl/>
      <w:suff w:val="space"/>
      <w:lvlText w:val="%1.%2"/>
      <w:lvlJc w:val="left"/>
      <w:pPr>
        <w:tabs>
          <w:tab w:val="left" w:pos="420"/>
        </w:tabs>
        <w:ind w:left="0" w:leftChars="0" w:firstLine="0" w:firstLineChars="0"/>
      </w:pPr>
      <w:rPr>
        <w:rFonts w:hint="eastAsia" w:ascii="Times New Roman" w:hAnsi="Times New Roman" w:eastAsia="宋体" w:cs="Times New Roman"/>
      </w:rPr>
    </w:lvl>
    <w:lvl w:ilvl="2" w:tentative="0">
      <w:start w:val="1"/>
      <w:numFmt w:val="decimal"/>
      <w:isLgl/>
      <w:suff w:val="space"/>
      <w:lvlText w:val="%1.%2.%3"/>
      <w:lvlJc w:val="left"/>
      <w:pPr>
        <w:tabs>
          <w:tab w:val="left" w:pos="420"/>
        </w:tabs>
        <w:ind w:left="0" w:leftChars="0" w:firstLine="0" w:firstLineChars="0"/>
      </w:pPr>
      <w:rPr>
        <w:rFonts w:hint="eastAsia" w:ascii="Times New Roman" w:hAnsi="Times New Roman" w:eastAsia="宋体" w:cs="Times New Roman"/>
        <w:sz w:val="24"/>
        <w:szCs w:val="24"/>
      </w:rPr>
    </w:lvl>
    <w:lvl w:ilvl="3" w:tentative="0">
      <w:start w:val="1"/>
      <w:numFmt w:val="decimal"/>
      <w:isLgl/>
      <w:suff w:val="space"/>
      <w:lvlText w:val="%1.%2.%3.%4"/>
      <w:lvlJc w:val="left"/>
      <w:pPr>
        <w:tabs>
          <w:tab w:val="left" w:pos="420"/>
        </w:tabs>
        <w:ind w:left="0" w:leftChars="0" w:firstLine="0" w:firstLineChars="0"/>
      </w:pPr>
      <w:rPr>
        <w:rFonts w:hint="eastAsia" w:ascii="宋体" w:hAnsi="宋体" w:eastAsia="宋体" w:cs="宋体"/>
        <w:sz w:val="24"/>
      </w:rPr>
    </w:lvl>
    <w:lvl w:ilvl="4" w:tentative="0">
      <w:start w:val="1"/>
      <w:numFmt w:val="decimal"/>
      <w:pStyle w:val="6"/>
      <w:lvlText w:val="%1.%2.%3.%4.%5."/>
      <w:lvlJc w:val="left"/>
      <w:pPr>
        <w:ind w:left="1366" w:hanging="1008"/>
      </w:pPr>
      <w:rPr>
        <w:rFonts w:hint="eastAsia" w:ascii="宋体" w:hAnsi="宋体" w:eastAsia="宋体" w:cs="宋体"/>
      </w:rPr>
    </w:lvl>
    <w:lvl w:ilvl="5" w:tentative="0">
      <w:start w:val="1"/>
      <w:numFmt w:val="decimal"/>
      <w:pStyle w:val="7"/>
      <w:lvlText w:val="%1.%2.%3.%4.%5.%6."/>
      <w:lvlJc w:val="left"/>
      <w:pPr>
        <w:ind w:left="1509" w:hanging="1151"/>
      </w:pPr>
      <w:rPr>
        <w:rFonts w:hint="eastAsia" w:ascii="宋体" w:hAnsi="宋体" w:eastAsia="宋体" w:cs="宋体"/>
      </w:rPr>
    </w:lvl>
    <w:lvl w:ilvl="6" w:tentative="0">
      <w:start w:val="1"/>
      <w:numFmt w:val="decimal"/>
      <w:pStyle w:val="8"/>
      <w:lvlText w:val="%1.%2.%3.%4.%5.%6.%7."/>
      <w:lvlJc w:val="left"/>
      <w:pPr>
        <w:tabs>
          <w:tab w:val="left" w:pos="420"/>
        </w:tabs>
        <w:ind w:left="1654" w:hanging="1296"/>
      </w:pPr>
      <w:rPr>
        <w:rFonts w:hint="eastAsia" w:ascii="宋体" w:hAnsi="宋体" w:eastAsia="宋体" w:cs="宋体"/>
      </w:rPr>
    </w:lvl>
    <w:lvl w:ilvl="7" w:tentative="0">
      <w:start w:val="1"/>
      <w:numFmt w:val="decimal"/>
      <w:isLgl/>
      <w:suff w:val="space"/>
      <w:lvlText w:val="表 %1.%2-%8"/>
      <w:lvlJc w:val="left"/>
      <w:pPr>
        <w:tabs>
          <w:tab w:val="left" w:pos="0"/>
        </w:tabs>
        <w:ind w:left="0" w:leftChars="0" w:firstLine="0" w:firstLineChars="0"/>
      </w:pPr>
      <w:rPr>
        <w:rFonts w:hint="default" w:ascii="Times New Roman" w:hAnsi="Times New Roman" w:eastAsia="宋体" w:cs="Times New Roman"/>
        <w:sz w:val="24"/>
        <w:szCs w:val="24"/>
      </w:rPr>
    </w:lvl>
    <w:lvl w:ilvl="8" w:tentative="0">
      <w:start w:val="1"/>
      <w:numFmt w:val="decimal"/>
      <w:isLgl/>
      <w:suff w:val="space"/>
      <w:lvlText w:val="图 %1.%2-%9"/>
      <w:lvlJc w:val="left"/>
      <w:pPr>
        <w:tabs>
          <w:tab w:val="left" w:pos="420"/>
        </w:tabs>
        <w:ind w:left="0" w:leftChars="0" w:firstLine="0" w:firstLineChars="0"/>
      </w:pPr>
      <w:rPr>
        <w:rFonts w:hint="default" w:ascii="Times New Roman" w:hAnsi="Times New Roman" w:eastAsia="宋体" w:cs="Times New Roman"/>
      </w:rPr>
    </w:lvl>
  </w:abstractNum>
  <w:abstractNum w:abstractNumId="6">
    <w:nsid w:val="335756DA"/>
    <w:multiLevelType w:val="singleLevel"/>
    <w:tmpl w:val="335756DA"/>
    <w:lvl w:ilvl="0" w:tentative="0">
      <w:start w:val="2"/>
      <w:numFmt w:val="decimal"/>
      <w:suff w:val="nothing"/>
      <w:lvlText w:val="（%1）"/>
      <w:lvlJc w:val="left"/>
    </w:lvl>
  </w:abstractNum>
  <w:abstractNum w:abstractNumId="7">
    <w:nsid w:val="64996C12"/>
    <w:multiLevelType w:val="multilevel"/>
    <w:tmpl w:val="64996C12"/>
    <w:lvl w:ilvl="0" w:tentative="0">
      <w:start w:val="7"/>
      <w:numFmt w:val="decimal"/>
      <w:lvlText w:val="%1"/>
      <w:lvlJc w:val="left"/>
      <w:pPr>
        <w:ind w:left="432" w:hanging="432"/>
      </w:pPr>
    </w:lvl>
    <w:lvl w:ilvl="1" w:tentative="0">
      <w:start w:val="1"/>
      <w:numFmt w:val="decimal"/>
      <w:lvlText w:val="%1.%2"/>
      <w:lvlJc w:val="left"/>
      <w:pPr>
        <w:ind w:left="576" w:hanging="576"/>
        <w:textAlignment w:val="baseline"/>
      </w:pPr>
      <w:rPr>
        <w:b/>
        <w:bCs w:val="0"/>
        <w:i w:val="0"/>
        <w:iCs w:val="0"/>
        <w:caps w:val="0"/>
        <w:strike w:val="0"/>
        <w:dstrike w:val="0"/>
        <w:vanish w:val="0"/>
        <w:color w:val="000000"/>
        <w:spacing w:val="0"/>
        <w:position w:val="0"/>
        <w:u w:val="none"/>
      </w:rPr>
    </w:lvl>
    <w:lvl w:ilvl="2" w:tentative="0">
      <w:start w:val="1"/>
      <w:numFmt w:val="decimal"/>
      <w:pStyle w:val="110"/>
      <w:lvlText w:val="%1.%2.%3"/>
      <w:lvlJc w:val="left"/>
      <w:pPr>
        <w:ind w:left="4832" w:hanging="720"/>
      </w:pPr>
    </w:lvl>
    <w:lvl w:ilvl="3" w:tentative="0">
      <w:start w:val="1"/>
      <w:numFmt w:val="decimal"/>
      <w:lvlText w:val="%1.%2.%3.%4"/>
      <w:lvlJc w:val="left"/>
      <w:pPr>
        <w:snapToGrid w:val="0"/>
        <w:ind w:left="864" w:hanging="864"/>
        <w:textAlignment w:val="baseline"/>
      </w:pPr>
      <w:rPr>
        <w:rFonts w:ascii="Times New Roman" w:hAnsi="Times New Roman" w:cs="Times New Roman"/>
        <w:b/>
        <w:bCs w:val="0"/>
        <w:i w:val="0"/>
        <w:iCs w:val="0"/>
        <w:caps w:val="0"/>
        <w:strike w:val="0"/>
        <w:dstrike w:val="0"/>
        <w:vanish w:val="0"/>
        <w:color w:val="000000"/>
        <w:spacing w:val="0"/>
        <w:w w:val="0"/>
        <w:kern w:val="0"/>
        <w:position w:val="0"/>
        <w:szCs w:val="0"/>
        <w:u w:val="none"/>
      </w:r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8">
    <w:nsid w:val="6D196F0D"/>
    <w:multiLevelType w:val="multilevel"/>
    <w:tmpl w:val="6D196F0D"/>
    <w:lvl w:ilvl="0" w:tentative="0">
      <w:start w:val="1"/>
      <w:numFmt w:val="chineseCounting"/>
      <w:pStyle w:val="2"/>
      <w:suff w:val="nothing"/>
      <w:lvlText w:val="%1、"/>
      <w:lvlJc w:val="left"/>
      <w:pPr>
        <w:tabs>
          <w:tab w:val="left" w:pos="0"/>
        </w:tabs>
        <w:ind w:left="432" w:hanging="432"/>
      </w:pPr>
      <w:rPr>
        <w:rFonts w:hint="eastAsia" w:ascii="宋体" w:hAnsi="宋体" w:eastAsia="宋体" w:cs="宋体"/>
        <w:b/>
        <w:bCs/>
        <w:sz w:val="32"/>
        <w:szCs w:val="32"/>
      </w:rPr>
    </w:lvl>
    <w:lvl w:ilvl="1" w:tentative="0">
      <w:start w:val="1"/>
      <w:numFmt w:val="decimal"/>
      <w:pStyle w:val="3"/>
      <w:isLgl/>
      <w:suff w:val="space"/>
      <w:lvlText w:val="%1.%2"/>
      <w:lvlJc w:val="left"/>
      <w:pPr>
        <w:tabs>
          <w:tab w:val="left" w:pos="420"/>
        </w:tabs>
        <w:ind w:left="0" w:firstLine="0"/>
      </w:pPr>
      <w:rPr>
        <w:rFonts w:hint="default" w:ascii="Times New Roman" w:hAnsi="Times New Roman" w:eastAsia="宋体" w:cs="Times New Roman"/>
        <w:b/>
        <w:bCs/>
        <w:sz w:val="30"/>
        <w:szCs w:val="30"/>
      </w:rPr>
    </w:lvl>
    <w:lvl w:ilvl="2" w:tentative="0">
      <w:start w:val="1"/>
      <w:numFmt w:val="decimal"/>
      <w:pStyle w:val="4"/>
      <w:isLgl/>
      <w:suff w:val="space"/>
      <w:lvlText w:val="%1.%2.%3"/>
      <w:lvlJc w:val="left"/>
      <w:pPr>
        <w:tabs>
          <w:tab w:val="left" w:pos="0"/>
        </w:tabs>
        <w:ind w:left="720" w:hanging="720"/>
      </w:pPr>
      <w:rPr>
        <w:rFonts w:hint="default" w:ascii="Times New Roman" w:hAnsi="Times New Roman" w:eastAsia="宋体" w:cs="Times New Roman"/>
        <w:b/>
        <w:bCs/>
        <w:sz w:val="24"/>
        <w:szCs w:val="28"/>
      </w:rPr>
    </w:lvl>
    <w:lvl w:ilvl="3" w:tentative="0">
      <w:start w:val="1"/>
      <w:numFmt w:val="decimal"/>
      <w:pStyle w:val="5"/>
      <w:isLgl/>
      <w:suff w:val="space"/>
      <w:lvlText w:val="%1.%2.%3.%4"/>
      <w:lvlJc w:val="left"/>
      <w:pPr>
        <w:tabs>
          <w:tab w:val="left" w:pos="0"/>
        </w:tabs>
        <w:ind w:left="864" w:hanging="864"/>
      </w:pPr>
      <w:rPr>
        <w:rFonts w:hint="default" w:ascii="Times New Roman" w:hAnsi="Times New Roman" w:eastAsia="宋体" w:cs="Times New Roman"/>
        <w:sz w:val="24"/>
        <w:szCs w:val="24"/>
      </w:rPr>
    </w:lvl>
    <w:lvl w:ilvl="4" w:tentative="0">
      <w:start w:val="1"/>
      <w:numFmt w:val="decimal"/>
      <w:isLgl/>
      <w:suff w:val="nothing"/>
      <w:lvlText w:val="   （%5）"/>
      <w:lvlJc w:val="left"/>
      <w:pPr>
        <w:tabs>
          <w:tab w:val="left" w:pos="420"/>
        </w:tabs>
        <w:ind w:left="0" w:firstLine="0"/>
      </w:pPr>
      <w:rPr>
        <w:rFonts w:hint="eastAsia" w:ascii="宋体" w:hAnsi="宋体" w:eastAsia="宋体" w:cs="宋体"/>
        <w:sz w:val="24"/>
        <w:szCs w:val="24"/>
      </w:rPr>
    </w:lvl>
    <w:lvl w:ilvl="5" w:tentative="0">
      <w:start w:val="1"/>
      <w:numFmt w:val="decimalEnclosedCircleChinese"/>
      <w:suff w:val="nothing"/>
      <w:lvlText w:val="%6"/>
      <w:lvlJc w:val="left"/>
      <w:pPr>
        <w:tabs>
          <w:tab w:val="left" w:pos="420"/>
        </w:tabs>
        <w:ind w:left="1151" w:hanging="1151"/>
      </w:pPr>
      <w:rPr>
        <w:rFonts w:hint="eastAsia" w:ascii="宋体" w:hAnsi="宋体" w:eastAsia="宋体" w:cs="宋体"/>
      </w:rPr>
    </w:lvl>
    <w:lvl w:ilvl="6" w:tentative="0">
      <w:start w:val="1"/>
      <w:numFmt w:val="upperLetter"/>
      <w:lvlText w:val="%7."/>
      <w:lvlJc w:val="center"/>
      <w:pPr>
        <w:tabs>
          <w:tab w:val="left" w:pos="0"/>
        </w:tabs>
        <w:ind w:left="0" w:leftChars="0" w:firstLine="0" w:firstLineChars="0"/>
      </w:pPr>
      <w:rPr>
        <w:rFonts w:hint="eastAsia" w:ascii="宋体" w:hAnsi="宋体" w:eastAsia="宋体" w:cs="宋体"/>
      </w:rPr>
    </w:lvl>
    <w:lvl w:ilvl="7" w:tentative="0">
      <w:start w:val="1"/>
      <w:numFmt w:val="decimal"/>
      <w:lvlRestart w:val="2"/>
      <w:pStyle w:val="44"/>
      <w:isLgl/>
      <w:suff w:val="space"/>
      <w:lvlText w:val="表%1.%2-%8"/>
      <w:lvlJc w:val="center"/>
      <w:pPr>
        <w:tabs>
          <w:tab w:val="left" w:pos="0"/>
        </w:tabs>
        <w:ind w:left="630" w:leftChars="0" w:firstLine="0" w:firstLineChars="0"/>
      </w:pPr>
      <w:rPr>
        <w:rFonts w:hint="eastAsia" w:ascii="Times New Roman" w:hAnsi="Times New Roman" w:eastAsia="宋体" w:cs="宋体"/>
      </w:rPr>
    </w:lvl>
    <w:lvl w:ilvl="8" w:tentative="0">
      <w:start w:val="1"/>
      <w:numFmt w:val="decimal"/>
      <w:lvlRestart w:val="2"/>
      <w:pStyle w:val="49"/>
      <w:isLgl/>
      <w:suff w:val="space"/>
      <w:lvlText w:val="图%1.%2-%9"/>
      <w:lvlJc w:val="left"/>
      <w:pPr>
        <w:tabs>
          <w:tab w:val="left" w:pos="420"/>
        </w:tabs>
        <w:ind w:left="1583" w:hanging="1583"/>
      </w:pPr>
      <w:rPr>
        <w:rFonts w:hint="eastAsia" w:ascii="Times New Roman" w:hAnsi="Times New Roman" w:eastAsia="宋体" w:cs="宋体"/>
      </w:rPr>
    </w:lvl>
  </w:abstractNum>
  <w:num w:numId="1">
    <w:abstractNumId w:val="8"/>
  </w:num>
  <w:num w:numId="2">
    <w:abstractNumId w:val="5"/>
  </w:num>
  <w:num w:numId="3">
    <w:abstractNumId w:val="0"/>
  </w:num>
  <w:num w:numId="4">
    <w:abstractNumId w:val="4"/>
  </w:num>
  <w:num w:numId="5">
    <w:abstractNumId w:val="1"/>
  </w:num>
  <w:num w:numId="6">
    <w:abstractNumId w:val="7"/>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dlODgxMGI5Yzg3MjZlOGMzZTU4NTc1ZGRiMWEwZmIifQ=="/>
  </w:docVars>
  <w:rsids>
    <w:rsidRoot w:val="00172A27"/>
    <w:rsid w:val="000044D7"/>
    <w:rsid w:val="000060B3"/>
    <w:rsid w:val="00010C32"/>
    <w:rsid w:val="00010D61"/>
    <w:rsid w:val="000118A6"/>
    <w:rsid w:val="00013DB6"/>
    <w:rsid w:val="000150ED"/>
    <w:rsid w:val="00017225"/>
    <w:rsid w:val="000244E7"/>
    <w:rsid w:val="00027F64"/>
    <w:rsid w:val="00031A9B"/>
    <w:rsid w:val="00031EFE"/>
    <w:rsid w:val="00040EDE"/>
    <w:rsid w:val="00041B57"/>
    <w:rsid w:val="0004364B"/>
    <w:rsid w:val="000500AF"/>
    <w:rsid w:val="00051602"/>
    <w:rsid w:val="000566B6"/>
    <w:rsid w:val="0005675D"/>
    <w:rsid w:val="00057803"/>
    <w:rsid w:val="0006124E"/>
    <w:rsid w:val="00061B1F"/>
    <w:rsid w:val="00061C20"/>
    <w:rsid w:val="000629F7"/>
    <w:rsid w:val="000733C4"/>
    <w:rsid w:val="00074783"/>
    <w:rsid w:val="00077BD5"/>
    <w:rsid w:val="0008070B"/>
    <w:rsid w:val="000810AC"/>
    <w:rsid w:val="00081A02"/>
    <w:rsid w:val="00082231"/>
    <w:rsid w:val="000841D3"/>
    <w:rsid w:val="00085629"/>
    <w:rsid w:val="00092D38"/>
    <w:rsid w:val="00093075"/>
    <w:rsid w:val="0009377B"/>
    <w:rsid w:val="00094146"/>
    <w:rsid w:val="00094AEE"/>
    <w:rsid w:val="000A20C9"/>
    <w:rsid w:val="000A712D"/>
    <w:rsid w:val="000A76F9"/>
    <w:rsid w:val="000B0530"/>
    <w:rsid w:val="000B058F"/>
    <w:rsid w:val="000B369C"/>
    <w:rsid w:val="000B4467"/>
    <w:rsid w:val="000B4DB9"/>
    <w:rsid w:val="000C09AC"/>
    <w:rsid w:val="000C119D"/>
    <w:rsid w:val="000C1900"/>
    <w:rsid w:val="000C1EE7"/>
    <w:rsid w:val="000C2F92"/>
    <w:rsid w:val="000C3640"/>
    <w:rsid w:val="000C57F5"/>
    <w:rsid w:val="000C6D42"/>
    <w:rsid w:val="000C767F"/>
    <w:rsid w:val="000D03D3"/>
    <w:rsid w:val="000D0960"/>
    <w:rsid w:val="000D54D6"/>
    <w:rsid w:val="000D5A44"/>
    <w:rsid w:val="000E3ED2"/>
    <w:rsid w:val="000E4B00"/>
    <w:rsid w:val="001005DC"/>
    <w:rsid w:val="00100FD2"/>
    <w:rsid w:val="001014DC"/>
    <w:rsid w:val="00102E61"/>
    <w:rsid w:val="001062FE"/>
    <w:rsid w:val="001074DE"/>
    <w:rsid w:val="001075B4"/>
    <w:rsid w:val="00110E2B"/>
    <w:rsid w:val="001133B7"/>
    <w:rsid w:val="00114B58"/>
    <w:rsid w:val="00125D00"/>
    <w:rsid w:val="001260FF"/>
    <w:rsid w:val="0013091B"/>
    <w:rsid w:val="00131F42"/>
    <w:rsid w:val="001357F1"/>
    <w:rsid w:val="00140538"/>
    <w:rsid w:val="00140FA8"/>
    <w:rsid w:val="001418CB"/>
    <w:rsid w:val="00141D71"/>
    <w:rsid w:val="00142FEB"/>
    <w:rsid w:val="00143A2D"/>
    <w:rsid w:val="00145035"/>
    <w:rsid w:val="00145A41"/>
    <w:rsid w:val="00146B60"/>
    <w:rsid w:val="00151675"/>
    <w:rsid w:val="00154C1F"/>
    <w:rsid w:val="001573EA"/>
    <w:rsid w:val="00157435"/>
    <w:rsid w:val="00167BA7"/>
    <w:rsid w:val="00172A27"/>
    <w:rsid w:val="00173954"/>
    <w:rsid w:val="0017504D"/>
    <w:rsid w:val="00175895"/>
    <w:rsid w:val="001762F6"/>
    <w:rsid w:val="0017671A"/>
    <w:rsid w:val="00177422"/>
    <w:rsid w:val="00180EF4"/>
    <w:rsid w:val="00182E99"/>
    <w:rsid w:val="00182F24"/>
    <w:rsid w:val="00184590"/>
    <w:rsid w:val="001870D1"/>
    <w:rsid w:val="0018781E"/>
    <w:rsid w:val="0019262D"/>
    <w:rsid w:val="001968F8"/>
    <w:rsid w:val="001A0E98"/>
    <w:rsid w:val="001A1302"/>
    <w:rsid w:val="001A1944"/>
    <w:rsid w:val="001A1B35"/>
    <w:rsid w:val="001A48A2"/>
    <w:rsid w:val="001A6F61"/>
    <w:rsid w:val="001B3F5A"/>
    <w:rsid w:val="001B72B8"/>
    <w:rsid w:val="001B7EB8"/>
    <w:rsid w:val="001C2D59"/>
    <w:rsid w:val="001C3BF1"/>
    <w:rsid w:val="001C548D"/>
    <w:rsid w:val="001C69B3"/>
    <w:rsid w:val="001D4206"/>
    <w:rsid w:val="001D5595"/>
    <w:rsid w:val="001D59B0"/>
    <w:rsid w:val="001D7874"/>
    <w:rsid w:val="001D7F22"/>
    <w:rsid w:val="001E0F48"/>
    <w:rsid w:val="001E4C8D"/>
    <w:rsid w:val="001F0F17"/>
    <w:rsid w:val="001F1E07"/>
    <w:rsid w:val="001F3347"/>
    <w:rsid w:val="001F3702"/>
    <w:rsid w:val="001F49F6"/>
    <w:rsid w:val="001F69E4"/>
    <w:rsid w:val="001F7DE2"/>
    <w:rsid w:val="00201724"/>
    <w:rsid w:val="002042D4"/>
    <w:rsid w:val="002125B4"/>
    <w:rsid w:val="002155B8"/>
    <w:rsid w:val="00217661"/>
    <w:rsid w:val="00224839"/>
    <w:rsid w:val="002249B2"/>
    <w:rsid w:val="00225378"/>
    <w:rsid w:val="00226574"/>
    <w:rsid w:val="002278EC"/>
    <w:rsid w:val="0023280E"/>
    <w:rsid w:val="002377D1"/>
    <w:rsid w:val="002406E5"/>
    <w:rsid w:val="002452E1"/>
    <w:rsid w:val="00245A88"/>
    <w:rsid w:val="002506BC"/>
    <w:rsid w:val="00253756"/>
    <w:rsid w:val="00253F02"/>
    <w:rsid w:val="00254345"/>
    <w:rsid w:val="002545A7"/>
    <w:rsid w:val="002555A2"/>
    <w:rsid w:val="00256695"/>
    <w:rsid w:val="00264557"/>
    <w:rsid w:val="002701B7"/>
    <w:rsid w:val="0027359D"/>
    <w:rsid w:val="002805AB"/>
    <w:rsid w:val="002812C8"/>
    <w:rsid w:val="002814F1"/>
    <w:rsid w:val="00284204"/>
    <w:rsid w:val="00285085"/>
    <w:rsid w:val="00287861"/>
    <w:rsid w:val="00287A3B"/>
    <w:rsid w:val="00287BFF"/>
    <w:rsid w:val="00291773"/>
    <w:rsid w:val="00292C5F"/>
    <w:rsid w:val="002A168C"/>
    <w:rsid w:val="002A3DC7"/>
    <w:rsid w:val="002A4303"/>
    <w:rsid w:val="002A7B7D"/>
    <w:rsid w:val="002B14DB"/>
    <w:rsid w:val="002B2C5C"/>
    <w:rsid w:val="002B4159"/>
    <w:rsid w:val="002B49E2"/>
    <w:rsid w:val="002B7135"/>
    <w:rsid w:val="002B7B00"/>
    <w:rsid w:val="002B7C44"/>
    <w:rsid w:val="002C2B17"/>
    <w:rsid w:val="002C486B"/>
    <w:rsid w:val="002D1B33"/>
    <w:rsid w:val="002D24B4"/>
    <w:rsid w:val="002D36C8"/>
    <w:rsid w:val="002D3DD0"/>
    <w:rsid w:val="002E1F3A"/>
    <w:rsid w:val="002E298A"/>
    <w:rsid w:val="002F468E"/>
    <w:rsid w:val="002F677F"/>
    <w:rsid w:val="002F6A84"/>
    <w:rsid w:val="00301978"/>
    <w:rsid w:val="00301A3E"/>
    <w:rsid w:val="0030332C"/>
    <w:rsid w:val="003051C2"/>
    <w:rsid w:val="003105DA"/>
    <w:rsid w:val="00312296"/>
    <w:rsid w:val="00314F0E"/>
    <w:rsid w:val="003200F4"/>
    <w:rsid w:val="00320F8F"/>
    <w:rsid w:val="00321AC6"/>
    <w:rsid w:val="00321D8E"/>
    <w:rsid w:val="00325928"/>
    <w:rsid w:val="00332863"/>
    <w:rsid w:val="00332A3D"/>
    <w:rsid w:val="0033684D"/>
    <w:rsid w:val="00336FF9"/>
    <w:rsid w:val="00337B42"/>
    <w:rsid w:val="00340DA9"/>
    <w:rsid w:val="00341B42"/>
    <w:rsid w:val="0034348F"/>
    <w:rsid w:val="00351F64"/>
    <w:rsid w:val="00354BF1"/>
    <w:rsid w:val="00356653"/>
    <w:rsid w:val="003568FE"/>
    <w:rsid w:val="0035743F"/>
    <w:rsid w:val="00357647"/>
    <w:rsid w:val="00357BE2"/>
    <w:rsid w:val="00357C21"/>
    <w:rsid w:val="0036170C"/>
    <w:rsid w:val="003629A3"/>
    <w:rsid w:val="00366E0F"/>
    <w:rsid w:val="00371C4D"/>
    <w:rsid w:val="00375248"/>
    <w:rsid w:val="00376344"/>
    <w:rsid w:val="00376AEF"/>
    <w:rsid w:val="00377DA9"/>
    <w:rsid w:val="00381040"/>
    <w:rsid w:val="0038152B"/>
    <w:rsid w:val="00381A72"/>
    <w:rsid w:val="00383579"/>
    <w:rsid w:val="00384676"/>
    <w:rsid w:val="00386D64"/>
    <w:rsid w:val="00390857"/>
    <w:rsid w:val="003954FA"/>
    <w:rsid w:val="003971F9"/>
    <w:rsid w:val="00397C02"/>
    <w:rsid w:val="003A0C4E"/>
    <w:rsid w:val="003A4BF3"/>
    <w:rsid w:val="003A6D3A"/>
    <w:rsid w:val="003B1284"/>
    <w:rsid w:val="003B2260"/>
    <w:rsid w:val="003B420D"/>
    <w:rsid w:val="003B46BE"/>
    <w:rsid w:val="003C2F0A"/>
    <w:rsid w:val="003C335B"/>
    <w:rsid w:val="003C5606"/>
    <w:rsid w:val="003C6C16"/>
    <w:rsid w:val="003C6E78"/>
    <w:rsid w:val="003D27CC"/>
    <w:rsid w:val="003D476F"/>
    <w:rsid w:val="003D6C52"/>
    <w:rsid w:val="003D794D"/>
    <w:rsid w:val="003E3058"/>
    <w:rsid w:val="003E30EE"/>
    <w:rsid w:val="003E76A9"/>
    <w:rsid w:val="003F0809"/>
    <w:rsid w:val="003F24B7"/>
    <w:rsid w:val="003F6A8C"/>
    <w:rsid w:val="003F755C"/>
    <w:rsid w:val="003F75FD"/>
    <w:rsid w:val="004007F4"/>
    <w:rsid w:val="00403E9E"/>
    <w:rsid w:val="00406F01"/>
    <w:rsid w:val="0041430D"/>
    <w:rsid w:val="00415C4F"/>
    <w:rsid w:val="004163AF"/>
    <w:rsid w:val="004165E4"/>
    <w:rsid w:val="00416721"/>
    <w:rsid w:val="00416D50"/>
    <w:rsid w:val="00416FD5"/>
    <w:rsid w:val="00417772"/>
    <w:rsid w:val="00420E6A"/>
    <w:rsid w:val="004214B1"/>
    <w:rsid w:val="0042178A"/>
    <w:rsid w:val="00424290"/>
    <w:rsid w:val="00425697"/>
    <w:rsid w:val="00425A9E"/>
    <w:rsid w:val="00426D6B"/>
    <w:rsid w:val="00427601"/>
    <w:rsid w:val="00427737"/>
    <w:rsid w:val="00431E6C"/>
    <w:rsid w:val="00433CE7"/>
    <w:rsid w:val="00434CCC"/>
    <w:rsid w:val="00442F7A"/>
    <w:rsid w:val="0044384E"/>
    <w:rsid w:val="00452738"/>
    <w:rsid w:val="00452EB2"/>
    <w:rsid w:val="0045494B"/>
    <w:rsid w:val="00455C13"/>
    <w:rsid w:val="00456091"/>
    <w:rsid w:val="00460877"/>
    <w:rsid w:val="00464233"/>
    <w:rsid w:val="00465D27"/>
    <w:rsid w:val="00466321"/>
    <w:rsid w:val="00471427"/>
    <w:rsid w:val="00480B81"/>
    <w:rsid w:val="004826E8"/>
    <w:rsid w:val="00484B9B"/>
    <w:rsid w:val="004855F6"/>
    <w:rsid w:val="0048661E"/>
    <w:rsid w:val="004930FE"/>
    <w:rsid w:val="0049347D"/>
    <w:rsid w:val="00494670"/>
    <w:rsid w:val="004957F7"/>
    <w:rsid w:val="004977A7"/>
    <w:rsid w:val="004A22C0"/>
    <w:rsid w:val="004A3823"/>
    <w:rsid w:val="004B072F"/>
    <w:rsid w:val="004B4C3D"/>
    <w:rsid w:val="004C0992"/>
    <w:rsid w:val="004C24B9"/>
    <w:rsid w:val="004D03BC"/>
    <w:rsid w:val="004D1DEA"/>
    <w:rsid w:val="004D53C0"/>
    <w:rsid w:val="004D7269"/>
    <w:rsid w:val="004E6946"/>
    <w:rsid w:val="004F1301"/>
    <w:rsid w:val="004F1AB3"/>
    <w:rsid w:val="004F1AD8"/>
    <w:rsid w:val="004F7EF0"/>
    <w:rsid w:val="00501CB7"/>
    <w:rsid w:val="005039CB"/>
    <w:rsid w:val="0050558F"/>
    <w:rsid w:val="00506286"/>
    <w:rsid w:val="00510813"/>
    <w:rsid w:val="00511990"/>
    <w:rsid w:val="00511DE0"/>
    <w:rsid w:val="00514090"/>
    <w:rsid w:val="00514870"/>
    <w:rsid w:val="00514B9B"/>
    <w:rsid w:val="005155CE"/>
    <w:rsid w:val="005166DA"/>
    <w:rsid w:val="0051690D"/>
    <w:rsid w:val="00517F02"/>
    <w:rsid w:val="0052098F"/>
    <w:rsid w:val="00523E89"/>
    <w:rsid w:val="00524283"/>
    <w:rsid w:val="00524303"/>
    <w:rsid w:val="005252E8"/>
    <w:rsid w:val="005258A2"/>
    <w:rsid w:val="00530161"/>
    <w:rsid w:val="005332E5"/>
    <w:rsid w:val="005401AE"/>
    <w:rsid w:val="00540D9F"/>
    <w:rsid w:val="00541FBC"/>
    <w:rsid w:val="00542A31"/>
    <w:rsid w:val="00542E07"/>
    <w:rsid w:val="005441EE"/>
    <w:rsid w:val="00544E42"/>
    <w:rsid w:val="00545424"/>
    <w:rsid w:val="005502E5"/>
    <w:rsid w:val="0055192A"/>
    <w:rsid w:val="005524AB"/>
    <w:rsid w:val="005539A0"/>
    <w:rsid w:val="00554A7B"/>
    <w:rsid w:val="00554A98"/>
    <w:rsid w:val="0055572C"/>
    <w:rsid w:val="0056081F"/>
    <w:rsid w:val="0056106A"/>
    <w:rsid w:val="00562308"/>
    <w:rsid w:val="00562804"/>
    <w:rsid w:val="005630B8"/>
    <w:rsid w:val="00564EAF"/>
    <w:rsid w:val="00566256"/>
    <w:rsid w:val="00571A06"/>
    <w:rsid w:val="005720AE"/>
    <w:rsid w:val="00574266"/>
    <w:rsid w:val="00577718"/>
    <w:rsid w:val="00577855"/>
    <w:rsid w:val="00580EB8"/>
    <w:rsid w:val="00583880"/>
    <w:rsid w:val="00593870"/>
    <w:rsid w:val="00593C6F"/>
    <w:rsid w:val="00594D77"/>
    <w:rsid w:val="005969E4"/>
    <w:rsid w:val="00596E55"/>
    <w:rsid w:val="005A06B7"/>
    <w:rsid w:val="005A1759"/>
    <w:rsid w:val="005A23BB"/>
    <w:rsid w:val="005A569C"/>
    <w:rsid w:val="005A611C"/>
    <w:rsid w:val="005A68A7"/>
    <w:rsid w:val="005B7084"/>
    <w:rsid w:val="005B7E0B"/>
    <w:rsid w:val="005C4544"/>
    <w:rsid w:val="005C5557"/>
    <w:rsid w:val="005C6079"/>
    <w:rsid w:val="005C6B61"/>
    <w:rsid w:val="005C6E58"/>
    <w:rsid w:val="005C6F05"/>
    <w:rsid w:val="005D143F"/>
    <w:rsid w:val="005D2AD3"/>
    <w:rsid w:val="005D36AB"/>
    <w:rsid w:val="005D42D4"/>
    <w:rsid w:val="005D6A8F"/>
    <w:rsid w:val="005E0E91"/>
    <w:rsid w:val="005E45AA"/>
    <w:rsid w:val="005E5417"/>
    <w:rsid w:val="005E6D12"/>
    <w:rsid w:val="005F32A7"/>
    <w:rsid w:val="005F65CD"/>
    <w:rsid w:val="005F678A"/>
    <w:rsid w:val="005F7DA6"/>
    <w:rsid w:val="00612E39"/>
    <w:rsid w:val="00614091"/>
    <w:rsid w:val="00617CC3"/>
    <w:rsid w:val="00620B0A"/>
    <w:rsid w:val="00621FB3"/>
    <w:rsid w:val="0062376A"/>
    <w:rsid w:val="006241B4"/>
    <w:rsid w:val="00626B64"/>
    <w:rsid w:val="006272DC"/>
    <w:rsid w:val="006309E7"/>
    <w:rsid w:val="00630EAA"/>
    <w:rsid w:val="00632DD4"/>
    <w:rsid w:val="00635A2C"/>
    <w:rsid w:val="006377A6"/>
    <w:rsid w:val="00637A3D"/>
    <w:rsid w:val="006411EF"/>
    <w:rsid w:val="00641E35"/>
    <w:rsid w:val="00650286"/>
    <w:rsid w:val="00656DE9"/>
    <w:rsid w:val="006572DD"/>
    <w:rsid w:val="00657F1A"/>
    <w:rsid w:val="00661F6F"/>
    <w:rsid w:val="006622C5"/>
    <w:rsid w:val="006672D3"/>
    <w:rsid w:val="00673BEF"/>
    <w:rsid w:val="006748B8"/>
    <w:rsid w:val="006775C3"/>
    <w:rsid w:val="006803E7"/>
    <w:rsid w:val="006821CB"/>
    <w:rsid w:val="00685593"/>
    <w:rsid w:val="006861A9"/>
    <w:rsid w:val="0069290A"/>
    <w:rsid w:val="00692B71"/>
    <w:rsid w:val="00694CDA"/>
    <w:rsid w:val="0069529F"/>
    <w:rsid w:val="0069775A"/>
    <w:rsid w:val="00697813"/>
    <w:rsid w:val="006A05C5"/>
    <w:rsid w:val="006A2F9F"/>
    <w:rsid w:val="006A3EE8"/>
    <w:rsid w:val="006A4002"/>
    <w:rsid w:val="006A6A7D"/>
    <w:rsid w:val="006A6A99"/>
    <w:rsid w:val="006A6F1A"/>
    <w:rsid w:val="006A72BF"/>
    <w:rsid w:val="006B03F2"/>
    <w:rsid w:val="006B1885"/>
    <w:rsid w:val="006B197D"/>
    <w:rsid w:val="006B37DC"/>
    <w:rsid w:val="006B4F68"/>
    <w:rsid w:val="006B5689"/>
    <w:rsid w:val="006C0592"/>
    <w:rsid w:val="006C272E"/>
    <w:rsid w:val="006C2DF8"/>
    <w:rsid w:val="006C3D18"/>
    <w:rsid w:val="006C52BF"/>
    <w:rsid w:val="006C5479"/>
    <w:rsid w:val="006C7F54"/>
    <w:rsid w:val="006D13B5"/>
    <w:rsid w:val="006D1B7A"/>
    <w:rsid w:val="006E12FF"/>
    <w:rsid w:val="006E1E7B"/>
    <w:rsid w:val="006E1FE5"/>
    <w:rsid w:val="006E2B7C"/>
    <w:rsid w:val="006E3839"/>
    <w:rsid w:val="006E4E7D"/>
    <w:rsid w:val="006E607E"/>
    <w:rsid w:val="006E6121"/>
    <w:rsid w:val="006E6229"/>
    <w:rsid w:val="006E68E5"/>
    <w:rsid w:val="006F4235"/>
    <w:rsid w:val="006F4B3C"/>
    <w:rsid w:val="006F67EF"/>
    <w:rsid w:val="00700434"/>
    <w:rsid w:val="007013BB"/>
    <w:rsid w:val="00706C5D"/>
    <w:rsid w:val="00711ABB"/>
    <w:rsid w:val="00712365"/>
    <w:rsid w:val="00712379"/>
    <w:rsid w:val="00713A0F"/>
    <w:rsid w:val="0071464A"/>
    <w:rsid w:val="007155D2"/>
    <w:rsid w:val="00715E44"/>
    <w:rsid w:val="007206CA"/>
    <w:rsid w:val="0072149F"/>
    <w:rsid w:val="0072691E"/>
    <w:rsid w:val="007270A1"/>
    <w:rsid w:val="00732922"/>
    <w:rsid w:val="0073444E"/>
    <w:rsid w:val="00744027"/>
    <w:rsid w:val="0074513C"/>
    <w:rsid w:val="00750323"/>
    <w:rsid w:val="0075162E"/>
    <w:rsid w:val="00754034"/>
    <w:rsid w:val="00756556"/>
    <w:rsid w:val="007570A8"/>
    <w:rsid w:val="0076052D"/>
    <w:rsid w:val="00761479"/>
    <w:rsid w:val="007618C4"/>
    <w:rsid w:val="007630CE"/>
    <w:rsid w:val="0076455E"/>
    <w:rsid w:val="007662BD"/>
    <w:rsid w:val="00767980"/>
    <w:rsid w:val="00770B19"/>
    <w:rsid w:val="007712CE"/>
    <w:rsid w:val="0077463F"/>
    <w:rsid w:val="00775B08"/>
    <w:rsid w:val="00780C6F"/>
    <w:rsid w:val="00781478"/>
    <w:rsid w:val="007836EA"/>
    <w:rsid w:val="00784CDA"/>
    <w:rsid w:val="007906C4"/>
    <w:rsid w:val="007940EA"/>
    <w:rsid w:val="00796411"/>
    <w:rsid w:val="007967E8"/>
    <w:rsid w:val="00796F67"/>
    <w:rsid w:val="007A2170"/>
    <w:rsid w:val="007A22BF"/>
    <w:rsid w:val="007A3323"/>
    <w:rsid w:val="007A6B91"/>
    <w:rsid w:val="007B3760"/>
    <w:rsid w:val="007B4B49"/>
    <w:rsid w:val="007B506A"/>
    <w:rsid w:val="007B72B8"/>
    <w:rsid w:val="007B7A58"/>
    <w:rsid w:val="007C0F2D"/>
    <w:rsid w:val="007C1109"/>
    <w:rsid w:val="007C21B5"/>
    <w:rsid w:val="007C21CE"/>
    <w:rsid w:val="007C39C9"/>
    <w:rsid w:val="007C453B"/>
    <w:rsid w:val="007D28A2"/>
    <w:rsid w:val="007E05AA"/>
    <w:rsid w:val="007E0EFD"/>
    <w:rsid w:val="007E11D2"/>
    <w:rsid w:val="007E49E5"/>
    <w:rsid w:val="007E4BD2"/>
    <w:rsid w:val="007E58F5"/>
    <w:rsid w:val="007E5A7E"/>
    <w:rsid w:val="007F0743"/>
    <w:rsid w:val="007F1787"/>
    <w:rsid w:val="007F1A14"/>
    <w:rsid w:val="007F5D15"/>
    <w:rsid w:val="00801393"/>
    <w:rsid w:val="00802F88"/>
    <w:rsid w:val="0080332F"/>
    <w:rsid w:val="008056A7"/>
    <w:rsid w:val="008109AB"/>
    <w:rsid w:val="0081293E"/>
    <w:rsid w:val="00812A66"/>
    <w:rsid w:val="00815465"/>
    <w:rsid w:val="00816122"/>
    <w:rsid w:val="00817E9A"/>
    <w:rsid w:val="00820597"/>
    <w:rsid w:val="00820F8F"/>
    <w:rsid w:val="008306BD"/>
    <w:rsid w:val="00831A80"/>
    <w:rsid w:val="00833743"/>
    <w:rsid w:val="00833CC0"/>
    <w:rsid w:val="008340A4"/>
    <w:rsid w:val="008342B6"/>
    <w:rsid w:val="008347C4"/>
    <w:rsid w:val="00834D1D"/>
    <w:rsid w:val="00837E78"/>
    <w:rsid w:val="00844986"/>
    <w:rsid w:val="0084520B"/>
    <w:rsid w:val="00846175"/>
    <w:rsid w:val="00856472"/>
    <w:rsid w:val="00860591"/>
    <w:rsid w:val="0086140A"/>
    <w:rsid w:val="008646BA"/>
    <w:rsid w:val="00866C83"/>
    <w:rsid w:val="0087131C"/>
    <w:rsid w:val="0087135F"/>
    <w:rsid w:val="00872D94"/>
    <w:rsid w:val="008741C4"/>
    <w:rsid w:val="00877FCF"/>
    <w:rsid w:val="00880364"/>
    <w:rsid w:val="008815CB"/>
    <w:rsid w:val="00883579"/>
    <w:rsid w:val="00885337"/>
    <w:rsid w:val="00885689"/>
    <w:rsid w:val="00886DC7"/>
    <w:rsid w:val="00891592"/>
    <w:rsid w:val="00891E9E"/>
    <w:rsid w:val="00893553"/>
    <w:rsid w:val="00893D06"/>
    <w:rsid w:val="00895C9A"/>
    <w:rsid w:val="008A2F68"/>
    <w:rsid w:val="008A3083"/>
    <w:rsid w:val="008A63FF"/>
    <w:rsid w:val="008B17A5"/>
    <w:rsid w:val="008B4FA6"/>
    <w:rsid w:val="008B5282"/>
    <w:rsid w:val="008B5446"/>
    <w:rsid w:val="008B6924"/>
    <w:rsid w:val="008B7C17"/>
    <w:rsid w:val="008C1E6E"/>
    <w:rsid w:val="008C2D01"/>
    <w:rsid w:val="008C40E6"/>
    <w:rsid w:val="008C689E"/>
    <w:rsid w:val="008D0F7A"/>
    <w:rsid w:val="008D1EB4"/>
    <w:rsid w:val="008D68E4"/>
    <w:rsid w:val="008E0506"/>
    <w:rsid w:val="008E0CFF"/>
    <w:rsid w:val="008E169E"/>
    <w:rsid w:val="008E28BC"/>
    <w:rsid w:val="008E34A0"/>
    <w:rsid w:val="008E5D6B"/>
    <w:rsid w:val="008E76F0"/>
    <w:rsid w:val="008F158B"/>
    <w:rsid w:val="008F15FE"/>
    <w:rsid w:val="008F2D29"/>
    <w:rsid w:val="008F3EFD"/>
    <w:rsid w:val="008F5187"/>
    <w:rsid w:val="008F60D8"/>
    <w:rsid w:val="008F6E35"/>
    <w:rsid w:val="008F6EB2"/>
    <w:rsid w:val="00902727"/>
    <w:rsid w:val="00902C2A"/>
    <w:rsid w:val="0090312B"/>
    <w:rsid w:val="009034FB"/>
    <w:rsid w:val="00903F6B"/>
    <w:rsid w:val="00905DCF"/>
    <w:rsid w:val="00906786"/>
    <w:rsid w:val="009110C4"/>
    <w:rsid w:val="0091186E"/>
    <w:rsid w:val="00912D18"/>
    <w:rsid w:val="0091736D"/>
    <w:rsid w:val="009224FE"/>
    <w:rsid w:val="009268D1"/>
    <w:rsid w:val="00927ACB"/>
    <w:rsid w:val="0093037A"/>
    <w:rsid w:val="00930AD3"/>
    <w:rsid w:val="00931EEF"/>
    <w:rsid w:val="00934F08"/>
    <w:rsid w:val="0094154D"/>
    <w:rsid w:val="0094579C"/>
    <w:rsid w:val="00946ED7"/>
    <w:rsid w:val="00950F53"/>
    <w:rsid w:val="009513D1"/>
    <w:rsid w:val="00951439"/>
    <w:rsid w:val="0095155F"/>
    <w:rsid w:val="00954429"/>
    <w:rsid w:val="009563CE"/>
    <w:rsid w:val="00962D9D"/>
    <w:rsid w:val="00963589"/>
    <w:rsid w:val="00973F93"/>
    <w:rsid w:val="00973FCE"/>
    <w:rsid w:val="009760F1"/>
    <w:rsid w:val="00976328"/>
    <w:rsid w:val="0097680D"/>
    <w:rsid w:val="00977EAC"/>
    <w:rsid w:val="00980ACF"/>
    <w:rsid w:val="00982438"/>
    <w:rsid w:val="0098256A"/>
    <w:rsid w:val="009837A2"/>
    <w:rsid w:val="0098404C"/>
    <w:rsid w:val="00984EFB"/>
    <w:rsid w:val="00985283"/>
    <w:rsid w:val="00993133"/>
    <w:rsid w:val="00993585"/>
    <w:rsid w:val="00993935"/>
    <w:rsid w:val="00995992"/>
    <w:rsid w:val="0099731D"/>
    <w:rsid w:val="009A0241"/>
    <w:rsid w:val="009A03E5"/>
    <w:rsid w:val="009A0F3B"/>
    <w:rsid w:val="009A1BB4"/>
    <w:rsid w:val="009A1F39"/>
    <w:rsid w:val="009A2628"/>
    <w:rsid w:val="009A3200"/>
    <w:rsid w:val="009A3379"/>
    <w:rsid w:val="009A45BE"/>
    <w:rsid w:val="009A7CFB"/>
    <w:rsid w:val="009B0897"/>
    <w:rsid w:val="009B4AD9"/>
    <w:rsid w:val="009B5609"/>
    <w:rsid w:val="009B7BD9"/>
    <w:rsid w:val="009C7DD5"/>
    <w:rsid w:val="009D0FEE"/>
    <w:rsid w:val="009D1A93"/>
    <w:rsid w:val="009D2748"/>
    <w:rsid w:val="009D4E2B"/>
    <w:rsid w:val="009D77B2"/>
    <w:rsid w:val="009D79D6"/>
    <w:rsid w:val="009E18E4"/>
    <w:rsid w:val="009E227D"/>
    <w:rsid w:val="009E5019"/>
    <w:rsid w:val="009E5253"/>
    <w:rsid w:val="009E623D"/>
    <w:rsid w:val="009F2204"/>
    <w:rsid w:val="009F58F9"/>
    <w:rsid w:val="00A01AC5"/>
    <w:rsid w:val="00A04E90"/>
    <w:rsid w:val="00A04F1B"/>
    <w:rsid w:val="00A0501B"/>
    <w:rsid w:val="00A069FC"/>
    <w:rsid w:val="00A1108E"/>
    <w:rsid w:val="00A14947"/>
    <w:rsid w:val="00A16D19"/>
    <w:rsid w:val="00A20D6F"/>
    <w:rsid w:val="00A216F9"/>
    <w:rsid w:val="00A22342"/>
    <w:rsid w:val="00A2703B"/>
    <w:rsid w:val="00A27D49"/>
    <w:rsid w:val="00A322B4"/>
    <w:rsid w:val="00A32A83"/>
    <w:rsid w:val="00A3572D"/>
    <w:rsid w:val="00A368DB"/>
    <w:rsid w:val="00A41EB4"/>
    <w:rsid w:val="00A42273"/>
    <w:rsid w:val="00A423AA"/>
    <w:rsid w:val="00A444A9"/>
    <w:rsid w:val="00A44F0A"/>
    <w:rsid w:val="00A53220"/>
    <w:rsid w:val="00A53A1C"/>
    <w:rsid w:val="00A53EC6"/>
    <w:rsid w:val="00A54E5B"/>
    <w:rsid w:val="00A5520C"/>
    <w:rsid w:val="00A55C0F"/>
    <w:rsid w:val="00A5655A"/>
    <w:rsid w:val="00A56967"/>
    <w:rsid w:val="00A576C9"/>
    <w:rsid w:val="00A6159F"/>
    <w:rsid w:val="00A61FB3"/>
    <w:rsid w:val="00A67D58"/>
    <w:rsid w:val="00A703E5"/>
    <w:rsid w:val="00A72FBE"/>
    <w:rsid w:val="00A740FC"/>
    <w:rsid w:val="00A76CFF"/>
    <w:rsid w:val="00A80215"/>
    <w:rsid w:val="00A8386F"/>
    <w:rsid w:val="00A843C5"/>
    <w:rsid w:val="00A85B5B"/>
    <w:rsid w:val="00A8713F"/>
    <w:rsid w:val="00A87252"/>
    <w:rsid w:val="00A90BA1"/>
    <w:rsid w:val="00A90DCD"/>
    <w:rsid w:val="00A97846"/>
    <w:rsid w:val="00A97A9A"/>
    <w:rsid w:val="00A97F0F"/>
    <w:rsid w:val="00AA0417"/>
    <w:rsid w:val="00AA0671"/>
    <w:rsid w:val="00AA21DA"/>
    <w:rsid w:val="00AA2531"/>
    <w:rsid w:val="00AA3A21"/>
    <w:rsid w:val="00AA751B"/>
    <w:rsid w:val="00AB1E09"/>
    <w:rsid w:val="00AB2627"/>
    <w:rsid w:val="00AB5330"/>
    <w:rsid w:val="00AB7747"/>
    <w:rsid w:val="00AB7874"/>
    <w:rsid w:val="00AC017F"/>
    <w:rsid w:val="00AC14CE"/>
    <w:rsid w:val="00AC2A56"/>
    <w:rsid w:val="00AC49F5"/>
    <w:rsid w:val="00AC4D7A"/>
    <w:rsid w:val="00AD055E"/>
    <w:rsid w:val="00AD198C"/>
    <w:rsid w:val="00AD2054"/>
    <w:rsid w:val="00AD43D6"/>
    <w:rsid w:val="00AD47A7"/>
    <w:rsid w:val="00AD575B"/>
    <w:rsid w:val="00AD7338"/>
    <w:rsid w:val="00AE291D"/>
    <w:rsid w:val="00AE2BAC"/>
    <w:rsid w:val="00AE4E5E"/>
    <w:rsid w:val="00AE4FE1"/>
    <w:rsid w:val="00AE6A4E"/>
    <w:rsid w:val="00AF003F"/>
    <w:rsid w:val="00AF0CBF"/>
    <w:rsid w:val="00AF2082"/>
    <w:rsid w:val="00AF257F"/>
    <w:rsid w:val="00AF33CF"/>
    <w:rsid w:val="00AF4D50"/>
    <w:rsid w:val="00AF56FB"/>
    <w:rsid w:val="00AF6179"/>
    <w:rsid w:val="00AF754F"/>
    <w:rsid w:val="00B00D28"/>
    <w:rsid w:val="00B017EA"/>
    <w:rsid w:val="00B0330C"/>
    <w:rsid w:val="00B04662"/>
    <w:rsid w:val="00B07B3D"/>
    <w:rsid w:val="00B12080"/>
    <w:rsid w:val="00B128DD"/>
    <w:rsid w:val="00B1295A"/>
    <w:rsid w:val="00B12E88"/>
    <w:rsid w:val="00B16519"/>
    <w:rsid w:val="00B17FB0"/>
    <w:rsid w:val="00B2009E"/>
    <w:rsid w:val="00B20A45"/>
    <w:rsid w:val="00B22BFD"/>
    <w:rsid w:val="00B22C5C"/>
    <w:rsid w:val="00B24F30"/>
    <w:rsid w:val="00B253F3"/>
    <w:rsid w:val="00B30462"/>
    <w:rsid w:val="00B31ABF"/>
    <w:rsid w:val="00B3380D"/>
    <w:rsid w:val="00B33BE3"/>
    <w:rsid w:val="00B40BF0"/>
    <w:rsid w:val="00B43428"/>
    <w:rsid w:val="00B44183"/>
    <w:rsid w:val="00B4648B"/>
    <w:rsid w:val="00B47BC1"/>
    <w:rsid w:val="00B52557"/>
    <w:rsid w:val="00B531FE"/>
    <w:rsid w:val="00B535D5"/>
    <w:rsid w:val="00B53B5D"/>
    <w:rsid w:val="00B57FDE"/>
    <w:rsid w:val="00B6055E"/>
    <w:rsid w:val="00B60DDB"/>
    <w:rsid w:val="00B62049"/>
    <w:rsid w:val="00B6317D"/>
    <w:rsid w:val="00B63B6F"/>
    <w:rsid w:val="00B659A7"/>
    <w:rsid w:val="00B70EBE"/>
    <w:rsid w:val="00B71018"/>
    <w:rsid w:val="00B7144D"/>
    <w:rsid w:val="00B7723F"/>
    <w:rsid w:val="00B775C1"/>
    <w:rsid w:val="00B801AF"/>
    <w:rsid w:val="00B80534"/>
    <w:rsid w:val="00B8180B"/>
    <w:rsid w:val="00B8377A"/>
    <w:rsid w:val="00B8390D"/>
    <w:rsid w:val="00B839FB"/>
    <w:rsid w:val="00B8433C"/>
    <w:rsid w:val="00B87491"/>
    <w:rsid w:val="00B91147"/>
    <w:rsid w:val="00B95AAA"/>
    <w:rsid w:val="00B96EB4"/>
    <w:rsid w:val="00B9774A"/>
    <w:rsid w:val="00BA1F3E"/>
    <w:rsid w:val="00BA29E9"/>
    <w:rsid w:val="00BA7142"/>
    <w:rsid w:val="00BB1443"/>
    <w:rsid w:val="00BB237C"/>
    <w:rsid w:val="00BB2492"/>
    <w:rsid w:val="00BB41A3"/>
    <w:rsid w:val="00BB4E23"/>
    <w:rsid w:val="00BB7890"/>
    <w:rsid w:val="00BC32DC"/>
    <w:rsid w:val="00BC35B6"/>
    <w:rsid w:val="00BC6C7A"/>
    <w:rsid w:val="00BC7D6F"/>
    <w:rsid w:val="00BD1B51"/>
    <w:rsid w:val="00BD4596"/>
    <w:rsid w:val="00BE1405"/>
    <w:rsid w:val="00BE312D"/>
    <w:rsid w:val="00BE32F3"/>
    <w:rsid w:val="00BE4601"/>
    <w:rsid w:val="00BE7E86"/>
    <w:rsid w:val="00BF1C20"/>
    <w:rsid w:val="00C04FC1"/>
    <w:rsid w:val="00C0619C"/>
    <w:rsid w:val="00C10578"/>
    <w:rsid w:val="00C12D62"/>
    <w:rsid w:val="00C135BC"/>
    <w:rsid w:val="00C15C95"/>
    <w:rsid w:val="00C20E6A"/>
    <w:rsid w:val="00C211BC"/>
    <w:rsid w:val="00C24F0D"/>
    <w:rsid w:val="00C2596A"/>
    <w:rsid w:val="00C27537"/>
    <w:rsid w:val="00C328FE"/>
    <w:rsid w:val="00C33507"/>
    <w:rsid w:val="00C336C7"/>
    <w:rsid w:val="00C37C6E"/>
    <w:rsid w:val="00C4409D"/>
    <w:rsid w:val="00C44E72"/>
    <w:rsid w:val="00C45A06"/>
    <w:rsid w:val="00C4762A"/>
    <w:rsid w:val="00C47E5B"/>
    <w:rsid w:val="00C52DD6"/>
    <w:rsid w:val="00C572CE"/>
    <w:rsid w:val="00C61DEB"/>
    <w:rsid w:val="00C61E4B"/>
    <w:rsid w:val="00C621A8"/>
    <w:rsid w:val="00C64BFF"/>
    <w:rsid w:val="00C652B5"/>
    <w:rsid w:val="00C65AD9"/>
    <w:rsid w:val="00C65D27"/>
    <w:rsid w:val="00C67C87"/>
    <w:rsid w:val="00C67F8B"/>
    <w:rsid w:val="00C704E9"/>
    <w:rsid w:val="00C72ACE"/>
    <w:rsid w:val="00C763C9"/>
    <w:rsid w:val="00C77D12"/>
    <w:rsid w:val="00C80057"/>
    <w:rsid w:val="00C806E5"/>
    <w:rsid w:val="00C81FE5"/>
    <w:rsid w:val="00C82232"/>
    <w:rsid w:val="00C82913"/>
    <w:rsid w:val="00C906D8"/>
    <w:rsid w:val="00C91E1A"/>
    <w:rsid w:val="00C94135"/>
    <w:rsid w:val="00C972B1"/>
    <w:rsid w:val="00C978A8"/>
    <w:rsid w:val="00CA23ED"/>
    <w:rsid w:val="00CA2CCE"/>
    <w:rsid w:val="00CA43FD"/>
    <w:rsid w:val="00CA7EF8"/>
    <w:rsid w:val="00CB09CE"/>
    <w:rsid w:val="00CB184A"/>
    <w:rsid w:val="00CB5002"/>
    <w:rsid w:val="00CC152F"/>
    <w:rsid w:val="00CC2C19"/>
    <w:rsid w:val="00CC489B"/>
    <w:rsid w:val="00CC5CDD"/>
    <w:rsid w:val="00CC7B59"/>
    <w:rsid w:val="00CC7C9E"/>
    <w:rsid w:val="00CD0E6D"/>
    <w:rsid w:val="00CD2A33"/>
    <w:rsid w:val="00CD2BCD"/>
    <w:rsid w:val="00CD3A4C"/>
    <w:rsid w:val="00CE10E9"/>
    <w:rsid w:val="00CE2910"/>
    <w:rsid w:val="00CE5393"/>
    <w:rsid w:val="00CE6CD5"/>
    <w:rsid w:val="00CE7177"/>
    <w:rsid w:val="00CF2259"/>
    <w:rsid w:val="00CF3194"/>
    <w:rsid w:val="00CF36BE"/>
    <w:rsid w:val="00CF50BA"/>
    <w:rsid w:val="00CF6000"/>
    <w:rsid w:val="00CF78AF"/>
    <w:rsid w:val="00CF7E73"/>
    <w:rsid w:val="00D003F3"/>
    <w:rsid w:val="00D008F3"/>
    <w:rsid w:val="00D01B9C"/>
    <w:rsid w:val="00D0364F"/>
    <w:rsid w:val="00D038CB"/>
    <w:rsid w:val="00D06834"/>
    <w:rsid w:val="00D074CA"/>
    <w:rsid w:val="00D14F57"/>
    <w:rsid w:val="00D15112"/>
    <w:rsid w:val="00D15E6A"/>
    <w:rsid w:val="00D21454"/>
    <w:rsid w:val="00D2416B"/>
    <w:rsid w:val="00D245A4"/>
    <w:rsid w:val="00D2732C"/>
    <w:rsid w:val="00D308ED"/>
    <w:rsid w:val="00D31571"/>
    <w:rsid w:val="00D326AC"/>
    <w:rsid w:val="00D36D86"/>
    <w:rsid w:val="00D428AA"/>
    <w:rsid w:val="00D42B17"/>
    <w:rsid w:val="00D451A1"/>
    <w:rsid w:val="00D45BBF"/>
    <w:rsid w:val="00D50A34"/>
    <w:rsid w:val="00D525B9"/>
    <w:rsid w:val="00D53EFA"/>
    <w:rsid w:val="00D621AE"/>
    <w:rsid w:val="00D743B5"/>
    <w:rsid w:val="00D84242"/>
    <w:rsid w:val="00D86FB1"/>
    <w:rsid w:val="00D877C8"/>
    <w:rsid w:val="00D94A7C"/>
    <w:rsid w:val="00D95896"/>
    <w:rsid w:val="00D96B3D"/>
    <w:rsid w:val="00D97760"/>
    <w:rsid w:val="00D979F1"/>
    <w:rsid w:val="00DA3073"/>
    <w:rsid w:val="00DA38D9"/>
    <w:rsid w:val="00DB032D"/>
    <w:rsid w:val="00DB145B"/>
    <w:rsid w:val="00DB18E6"/>
    <w:rsid w:val="00DB2983"/>
    <w:rsid w:val="00DB3425"/>
    <w:rsid w:val="00DC1257"/>
    <w:rsid w:val="00DC38A6"/>
    <w:rsid w:val="00DC3A55"/>
    <w:rsid w:val="00DC3DC0"/>
    <w:rsid w:val="00DC5B2B"/>
    <w:rsid w:val="00DC6AB1"/>
    <w:rsid w:val="00DD318D"/>
    <w:rsid w:val="00DD5525"/>
    <w:rsid w:val="00DD6B72"/>
    <w:rsid w:val="00DD7536"/>
    <w:rsid w:val="00DE19EB"/>
    <w:rsid w:val="00DE5CB4"/>
    <w:rsid w:val="00DF217B"/>
    <w:rsid w:val="00DF2E12"/>
    <w:rsid w:val="00DF3633"/>
    <w:rsid w:val="00DF43B0"/>
    <w:rsid w:val="00DF514A"/>
    <w:rsid w:val="00DF6690"/>
    <w:rsid w:val="00DF6804"/>
    <w:rsid w:val="00E01990"/>
    <w:rsid w:val="00E02630"/>
    <w:rsid w:val="00E02C89"/>
    <w:rsid w:val="00E0358D"/>
    <w:rsid w:val="00E04323"/>
    <w:rsid w:val="00E070A2"/>
    <w:rsid w:val="00E1323E"/>
    <w:rsid w:val="00E16FEF"/>
    <w:rsid w:val="00E17158"/>
    <w:rsid w:val="00E17FF8"/>
    <w:rsid w:val="00E21B57"/>
    <w:rsid w:val="00E23E53"/>
    <w:rsid w:val="00E25546"/>
    <w:rsid w:val="00E2656A"/>
    <w:rsid w:val="00E2752D"/>
    <w:rsid w:val="00E2758C"/>
    <w:rsid w:val="00E330DA"/>
    <w:rsid w:val="00E36010"/>
    <w:rsid w:val="00E37E55"/>
    <w:rsid w:val="00E412D0"/>
    <w:rsid w:val="00E51F01"/>
    <w:rsid w:val="00E56322"/>
    <w:rsid w:val="00E60982"/>
    <w:rsid w:val="00E61CFA"/>
    <w:rsid w:val="00E62C62"/>
    <w:rsid w:val="00E62C94"/>
    <w:rsid w:val="00E654C1"/>
    <w:rsid w:val="00E65D97"/>
    <w:rsid w:val="00E71EEB"/>
    <w:rsid w:val="00E727E4"/>
    <w:rsid w:val="00E72A5A"/>
    <w:rsid w:val="00E73141"/>
    <w:rsid w:val="00E73354"/>
    <w:rsid w:val="00E7523A"/>
    <w:rsid w:val="00E8018A"/>
    <w:rsid w:val="00E82E20"/>
    <w:rsid w:val="00E843F0"/>
    <w:rsid w:val="00E86578"/>
    <w:rsid w:val="00E865C2"/>
    <w:rsid w:val="00E9242D"/>
    <w:rsid w:val="00E96BDF"/>
    <w:rsid w:val="00EA1BCE"/>
    <w:rsid w:val="00EA3264"/>
    <w:rsid w:val="00EA7761"/>
    <w:rsid w:val="00EB5255"/>
    <w:rsid w:val="00EB5C47"/>
    <w:rsid w:val="00EC0730"/>
    <w:rsid w:val="00EC2429"/>
    <w:rsid w:val="00EC332E"/>
    <w:rsid w:val="00ED0639"/>
    <w:rsid w:val="00ED20AB"/>
    <w:rsid w:val="00ED2FA8"/>
    <w:rsid w:val="00ED64CA"/>
    <w:rsid w:val="00EE0251"/>
    <w:rsid w:val="00EF2649"/>
    <w:rsid w:val="00EF3297"/>
    <w:rsid w:val="00EF380F"/>
    <w:rsid w:val="00EF4755"/>
    <w:rsid w:val="00EF5BA2"/>
    <w:rsid w:val="00EF7135"/>
    <w:rsid w:val="00F01B06"/>
    <w:rsid w:val="00F027DB"/>
    <w:rsid w:val="00F06167"/>
    <w:rsid w:val="00F06E9A"/>
    <w:rsid w:val="00F10742"/>
    <w:rsid w:val="00F14A7A"/>
    <w:rsid w:val="00F15CEA"/>
    <w:rsid w:val="00F16279"/>
    <w:rsid w:val="00F22985"/>
    <w:rsid w:val="00F2389E"/>
    <w:rsid w:val="00F26AB1"/>
    <w:rsid w:val="00F271E2"/>
    <w:rsid w:val="00F32FF8"/>
    <w:rsid w:val="00F33347"/>
    <w:rsid w:val="00F3383E"/>
    <w:rsid w:val="00F37BE6"/>
    <w:rsid w:val="00F40357"/>
    <w:rsid w:val="00F4099A"/>
    <w:rsid w:val="00F44E64"/>
    <w:rsid w:val="00F465A7"/>
    <w:rsid w:val="00F4666D"/>
    <w:rsid w:val="00F46F8E"/>
    <w:rsid w:val="00F50B7C"/>
    <w:rsid w:val="00F51ED4"/>
    <w:rsid w:val="00F52A8D"/>
    <w:rsid w:val="00F53303"/>
    <w:rsid w:val="00F550E6"/>
    <w:rsid w:val="00F575A4"/>
    <w:rsid w:val="00F5782B"/>
    <w:rsid w:val="00F63C0C"/>
    <w:rsid w:val="00F6462F"/>
    <w:rsid w:val="00F66529"/>
    <w:rsid w:val="00F70C59"/>
    <w:rsid w:val="00F72660"/>
    <w:rsid w:val="00F74345"/>
    <w:rsid w:val="00F74A57"/>
    <w:rsid w:val="00F755E6"/>
    <w:rsid w:val="00F759F3"/>
    <w:rsid w:val="00F75B94"/>
    <w:rsid w:val="00F80A0A"/>
    <w:rsid w:val="00F82B19"/>
    <w:rsid w:val="00F84D59"/>
    <w:rsid w:val="00F878E7"/>
    <w:rsid w:val="00F9212D"/>
    <w:rsid w:val="00F965DA"/>
    <w:rsid w:val="00F96819"/>
    <w:rsid w:val="00FA2391"/>
    <w:rsid w:val="00FA406A"/>
    <w:rsid w:val="00FB503A"/>
    <w:rsid w:val="00FB516C"/>
    <w:rsid w:val="00FB5674"/>
    <w:rsid w:val="00FB5F7E"/>
    <w:rsid w:val="00FB76CA"/>
    <w:rsid w:val="00FC24AD"/>
    <w:rsid w:val="00FC3895"/>
    <w:rsid w:val="00FC6A10"/>
    <w:rsid w:val="00FC79CB"/>
    <w:rsid w:val="00FD0236"/>
    <w:rsid w:val="00FD18F4"/>
    <w:rsid w:val="00FD26EE"/>
    <w:rsid w:val="00FD54DB"/>
    <w:rsid w:val="00FD619F"/>
    <w:rsid w:val="00FE1B8B"/>
    <w:rsid w:val="00FE2C4F"/>
    <w:rsid w:val="00FE532C"/>
    <w:rsid w:val="00FE5D81"/>
    <w:rsid w:val="00FE754F"/>
    <w:rsid w:val="00FE764F"/>
    <w:rsid w:val="00FF0CC8"/>
    <w:rsid w:val="00FF5B8C"/>
    <w:rsid w:val="01031C21"/>
    <w:rsid w:val="010B03A2"/>
    <w:rsid w:val="011473B7"/>
    <w:rsid w:val="011C4005"/>
    <w:rsid w:val="011F3044"/>
    <w:rsid w:val="01221997"/>
    <w:rsid w:val="01284C10"/>
    <w:rsid w:val="01290F7E"/>
    <w:rsid w:val="01312193"/>
    <w:rsid w:val="013159A7"/>
    <w:rsid w:val="01351B14"/>
    <w:rsid w:val="013637D1"/>
    <w:rsid w:val="01366D4C"/>
    <w:rsid w:val="01381965"/>
    <w:rsid w:val="013E4434"/>
    <w:rsid w:val="013F7DD9"/>
    <w:rsid w:val="01431A4A"/>
    <w:rsid w:val="01435C42"/>
    <w:rsid w:val="014741DA"/>
    <w:rsid w:val="01503F3D"/>
    <w:rsid w:val="01514167"/>
    <w:rsid w:val="01533DD0"/>
    <w:rsid w:val="01534D67"/>
    <w:rsid w:val="01570B0A"/>
    <w:rsid w:val="015772A4"/>
    <w:rsid w:val="0159126E"/>
    <w:rsid w:val="015D1E09"/>
    <w:rsid w:val="015D36C0"/>
    <w:rsid w:val="01626374"/>
    <w:rsid w:val="01635C49"/>
    <w:rsid w:val="01663DA5"/>
    <w:rsid w:val="0169049A"/>
    <w:rsid w:val="016C257C"/>
    <w:rsid w:val="016D6AC7"/>
    <w:rsid w:val="017642C4"/>
    <w:rsid w:val="01795324"/>
    <w:rsid w:val="01822C60"/>
    <w:rsid w:val="01877B89"/>
    <w:rsid w:val="018B4D7A"/>
    <w:rsid w:val="018D787E"/>
    <w:rsid w:val="018E7169"/>
    <w:rsid w:val="019404F8"/>
    <w:rsid w:val="019649B3"/>
    <w:rsid w:val="01992B49"/>
    <w:rsid w:val="01994A5B"/>
    <w:rsid w:val="019978BC"/>
    <w:rsid w:val="019B0C01"/>
    <w:rsid w:val="01A249C3"/>
    <w:rsid w:val="01AA7D1B"/>
    <w:rsid w:val="01B14C06"/>
    <w:rsid w:val="01B711E2"/>
    <w:rsid w:val="01BA61B0"/>
    <w:rsid w:val="01BD17FD"/>
    <w:rsid w:val="01BD4C9A"/>
    <w:rsid w:val="01BF0BDA"/>
    <w:rsid w:val="01C963F3"/>
    <w:rsid w:val="01CC3FA0"/>
    <w:rsid w:val="01CC7C92"/>
    <w:rsid w:val="01D32DCE"/>
    <w:rsid w:val="01D81E3B"/>
    <w:rsid w:val="01D83D26"/>
    <w:rsid w:val="01DE3E81"/>
    <w:rsid w:val="01DE6CE9"/>
    <w:rsid w:val="01E11BC6"/>
    <w:rsid w:val="01E30724"/>
    <w:rsid w:val="01E32192"/>
    <w:rsid w:val="01E7050A"/>
    <w:rsid w:val="01E90844"/>
    <w:rsid w:val="01F27B47"/>
    <w:rsid w:val="01F32EBA"/>
    <w:rsid w:val="01FB408B"/>
    <w:rsid w:val="01FD42EF"/>
    <w:rsid w:val="01FF44CB"/>
    <w:rsid w:val="02005A7B"/>
    <w:rsid w:val="02005B8D"/>
    <w:rsid w:val="020C62E0"/>
    <w:rsid w:val="020E7BCB"/>
    <w:rsid w:val="02160F0D"/>
    <w:rsid w:val="021876EC"/>
    <w:rsid w:val="021B4775"/>
    <w:rsid w:val="021D3D2C"/>
    <w:rsid w:val="02284DF1"/>
    <w:rsid w:val="02290C40"/>
    <w:rsid w:val="022D6017"/>
    <w:rsid w:val="022E6257"/>
    <w:rsid w:val="022F7E4F"/>
    <w:rsid w:val="02304CB8"/>
    <w:rsid w:val="02317AF5"/>
    <w:rsid w:val="02340733"/>
    <w:rsid w:val="02353375"/>
    <w:rsid w:val="023814FB"/>
    <w:rsid w:val="02436CFA"/>
    <w:rsid w:val="02532161"/>
    <w:rsid w:val="02532473"/>
    <w:rsid w:val="02570038"/>
    <w:rsid w:val="02570457"/>
    <w:rsid w:val="025A6E7A"/>
    <w:rsid w:val="025B3F76"/>
    <w:rsid w:val="026115F0"/>
    <w:rsid w:val="026659F0"/>
    <w:rsid w:val="02666686"/>
    <w:rsid w:val="02697903"/>
    <w:rsid w:val="026B1259"/>
    <w:rsid w:val="027A5940"/>
    <w:rsid w:val="027D47AD"/>
    <w:rsid w:val="02801D3F"/>
    <w:rsid w:val="028B583D"/>
    <w:rsid w:val="028E4DFF"/>
    <w:rsid w:val="029167E5"/>
    <w:rsid w:val="0293255D"/>
    <w:rsid w:val="029562D6"/>
    <w:rsid w:val="029E1F6C"/>
    <w:rsid w:val="029F53A6"/>
    <w:rsid w:val="02AE4C2A"/>
    <w:rsid w:val="02B0310F"/>
    <w:rsid w:val="02B153BE"/>
    <w:rsid w:val="02B55F34"/>
    <w:rsid w:val="02BB1EF3"/>
    <w:rsid w:val="02BF1304"/>
    <w:rsid w:val="02BF3C54"/>
    <w:rsid w:val="02C26B15"/>
    <w:rsid w:val="02C82F21"/>
    <w:rsid w:val="02C8425D"/>
    <w:rsid w:val="02CD28BB"/>
    <w:rsid w:val="02D069A1"/>
    <w:rsid w:val="02D2318C"/>
    <w:rsid w:val="02D52B76"/>
    <w:rsid w:val="02D54924"/>
    <w:rsid w:val="02DB3646"/>
    <w:rsid w:val="02E81F09"/>
    <w:rsid w:val="02EC75E1"/>
    <w:rsid w:val="02ED10F0"/>
    <w:rsid w:val="02ED12BC"/>
    <w:rsid w:val="02F0175E"/>
    <w:rsid w:val="02F23728"/>
    <w:rsid w:val="02F31F92"/>
    <w:rsid w:val="02F54220"/>
    <w:rsid w:val="02F73C38"/>
    <w:rsid w:val="02F84D75"/>
    <w:rsid w:val="02F96569"/>
    <w:rsid w:val="02FF5E45"/>
    <w:rsid w:val="02FF7C6D"/>
    <w:rsid w:val="03035935"/>
    <w:rsid w:val="030560C6"/>
    <w:rsid w:val="030627CB"/>
    <w:rsid w:val="03065425"/>
    <w:rsid w:val="03074C27"/>
    <w:rsid w:val="03082EFC"/>
    <w:rsid w:val="03084CFA"/>
    <w:rsid w:val="031418F0"/>
    <w:rsid w:val="0317318F"/>
    <w:rsid w:val="031C2553"/>
    <w:rsid w:val="031C644F"/>
    <w:rsid w:val="03237D85"/>
    <w:rsid w:val="03265180"/>
    <w:rsid w:val="032A4C70"/>
    <w:rsid w:val="033112EF"/>
    <w:rsid w:val="03343D40"/>
    <w:rsid w:val="03345AEF"/>
    <w:rsid w:val="0337738D"/>
    <w:rsid w:val="03411FB9"/>
    <w:rsid w:val="03457CFC"/>
    <w:rsid w:val="03465822"/>
    <w:rsid w:val="034B38FA"/>
    <w:rsid w:val="03504809"/>
    <w:rsid w:val="03575C81"/>
    <w:rsid w:val="035D6367"/>
    <w:rsid w:val="035F4F1E"/>
    <w:rsid w:val="036D1E15"/>
    <w:rsid w:val="036F2B61"/>
    <w:rsid w:val="036F61FC"/>
    <w:rsid w:val="0371289F"/>
    <w:rsid w:val="03764A7A"/>
    <w:rsid w:val="037B371D"/>
    <w:rsid w:val="037F58E9"/>
    <w:rsid w:val="0382266C"/>
    <w:rsid w:val="0385748B"/>
    <w:rsid w:val="038756BD"/>
    <w:rsid w:val="038B270C"/>
    <w:rsid w:val="03925E4A"/>
    <w:rsid w:val="03926793"/>
    <w:rsid w:val="03976119"/>
    <w:rsid w:val="03991DF6"/>
    <w:rsid w:val="03993BA4"/>
    <w:rsid w:val="039A70F6"/>
    <w:rsid w:val="039D18E6"/>
    <w:rsid w:val="03A54299"/>
    <w:rsid w:val="03A74512"/>
    <w:rsid w:val="03A762C0"/>
    <w:rsid w:val="03A826E5"/>
    <w:rsid w:val="03B0291E"/>
    <w:rsid w:val="03B078E4"/>
    <w:rsid w:val="03B3086D"/>
    <w:rsid w:val="03B44E81"/>
    <w:rsid w:val="03B94246"/>
    <w:rsid w:val="03BB4C97"/>
    <w:rsid w:val="03C54999"/>
    <w:rsid w:val="03CF3A69"/>
    <w:rsid w:val="03D96696"/>
    <w:rsid w:val="03DC2C52"/>
    <w:rsid w:val="03DD6566"/>
    <w:rsid w:val="03E11877"/>
    <w:rsid w:val="03E12273"/>
    <w:rsid w:val="03E71595"/>
    <w:rsid w:val="03E9062E"/>
    <w:rsid w:val="03E95DBD"/>
    <w:rsid w:val="03EA7B21"/>
    <w:rsid w:val="03EE0393"/>
    <w:rsid w:val="03EE34DF"/>
    <w:rsid w:val="03EE3EEF"/>
    <w:rsid w:val="03F31C32"/>
    <w:rsid w:val="03F67BF7"/>
    <w:rsid w:val="03F90F5B"/>
    <w:rsid w:val="03F91619"/>
    <w:rsid w:val="03FA7FA9"/>
    <w:rsid w:val="03FF6831"/>
    <w:rsid w:val="0402799B"/>
    <w:rsid w:val="04042F63"/>
    <w:rsid w:val="04060002"/>
    <w:rsid w:val="04086A8E"/>
    <w:rsid w:val="040A58BD"/>
    <w:rsid w:val="040C0819"/>
    <w:rsid w:val="04115E30"/>
    <w:rsid w:val="041312FA"/>
    <w:rsid w:val="041548EB"/>
    <w:rsid w:val="04163DA0"/>
    <w:rsid w:val="041A2F36"/>
    <w:rsid w:val="042079B1"/>
    <w:rsid w:val="04253689"/>
    <w:rsid w:val="0426181E"/>
    <w:rsid w:val="042A2A20"/>
    <w:rsid w:val="04322347"/>
    <w:rsid w:val="04390EE3"/>
    <w:rsid w:val="043F474B"/>
    <w:rsid w:val="044624FA"/>
    <w:rsid w:val="04463D2B"/>
    <w:rsid w:val="044B1342"/>
    <w:rsid w:val="04541040"/>
    <w:rsid w:val="04541A21"/>
    <w:rsid w:val="045803CB"/>
    <w:rsid w:val="04581CB1"/>
    <w:rsid w:val="045A531B"/>
    <w:rsid w:val="045D1075"/>
    <w:rsid w:val="04674EF8"/>
    <w:rsid w:val="0467675D"/>
    <w:rsid w:val="046C3066"/>
    <w:rsid w:val="047069DC"/>
    <w:rsid w:val="047405BC"/>
    <w:rsid w:val="0478072F"/>
    <w:rsid w:val="0483664D"/>
    <w:rsid w:val="04893C18"/>
    <w:rsid w:val="048E317B"/>
    <w:rsid w:val="049525BD"/>
    <w:rsid w:val="0495629B"/>
    <w:rsid w:val="04992B5B"/>
    <w:rsid w:val="049C7160"/>
    <w:rsid w:val="049E533B"/>
    <w:rsid w:val="04A0376C"/>
    <w:rsid w:val="04A24703"/>
    <w:rsid w:val="04A24E62"/>
    <w:rsid w:val="04A37004"/>
    <w:rsid w:val="04A86794"/>
    <w:rsid w:val="04AD224F"/>
    <w:rsid w:val="04B3566F"/>
    <w:rsid w:val="04B3747D"/>
    <w:rsid w:val="04B844FD"/>
    <w:rsid w:val="04BA0275"/>
    <w:rsid w:val="04BC5CE3"/>
    <w:rsid w:val="04BD1B14"/>
    <w:rsid w:val="04C2712A"/>
    <w:rsid w:val="04C6380B"/>
    <w:rsid w:val="04CB5FDF"/>
    <w:rsid w:val="04D23E5A"/>
    <w:rsid w:val="04D806FC"/>
    <w:rsid w:val="04DB187B"/>
    <w:rsid w:val="04DD1649"/>
    <w:rsid w:val="04E2452E"/>
    <w:rsid w:val="04EE6171"/>
    <w:rsid w:val="04F574FF"/>
    <w:rsid w:val="04F95358"/>
    <w:rsid w:val="04F96FF0"/>
    <w:rsid w:val="04FC263C"/>
    <w:rsid w:val="050414F1"/>
    <w:rsid w:val="050634BB"/>
    <w:rsid w:val="05065269"/>
    <w:rsid w:val="050E236F"/>
    <w:rsid w:val="050F6813"/>
    <w:rsid w:val="051239A1"/>
    <w:rsid w:val="052E47BF"/>
    <w:rsid w:val="053E2C54"/>
    <w:rsid w:val="05483AD3"/>
    <w:rsid w:val="0548762F"/>
    <w:rsid w:val="054B2562"/>
    <w:rsid w:val="054B711F"/>
    <w:rsid w:val="054F4E62"/>
    <w:rsid w:val="0550438A"/>
    <w:rsid w:val="0553688F"/>
    <w:rsid w:val="05551E3C"/>
    <w:rsid w:val="05592C3C"/>
    <w:rsid w:val="055E3FA0"/>
    <w:rsid w:val="05616943"/>
    <w:rsid w:val="056401E1"/>
    <w:rsid w:val="05654D72"/>
    <w:rsid w:val="05663F59"/>
    <w:rsid w:val="05685F23"/>
    <w:rsid w:val="056961A2"/>
    <w:rsid w:val="056A3A4A"/>
    <w:rsid w:val="056A57F8"/>
    <w:rsid w:val="056A6DF1"/>
    <w:rsid w:val="056D52E8"/>
    <w:rsid w:val="057C19CF"/>
    <w:rsid w:val="05816655"/>
    <w:rsid w:val="05835E44"/>
    <w:rsid w:val="058C785F"/>
    <w:rsid w:val="058F48A0"/>
    <w:rsid w:val="05900FAE"/>
    <w:rsid w:val="059447BF"/>
    <w:rsid w:val="05973D2B"/>
    <w:rsid w:val="059A343D"/>
    <w:rsid w:val="059B00A7"/>
    <w:rsid w:val="059C5085"/>
    <w:rsid w:val="059C5BCD"/>
    <w:rsid w:val="059D2164"/>
    <w:rsid w:val="05A031FE"/>
    <w:rsid w:val="05AC3D16"/>
    <w:rsid w:val="05AF5900"/>
    <w:rsid w:val="05B22460"/>
    <w:rsid w:val="05B75BEB"/>
    <w:rsid w:val="05B9052D"/>
    <w:rsid w:val="05BC001D"/>
    <w:rsid w:val="05BD1DD8"/>
    <w:rsid w:val="05BD26FC"/>
    <w:rsid w:val="05BF5D55"/>
    <w:rsid w:val="05C173E2"/>
    <w:rsid w:val="05C82AA8"/>
    <w:rsid w:val="05D9472B"/>
    <w:rsid w:val="05DE1D42"/>
    <w:rsid w:val="05E55DA7"/>
    <w:rsid w:val="05EA4E20"/>
    <w:rsid w:val="05F20AC9"/>
    <w:rsid w:val="05F51EB9"/>
    <w:rsid w:val="05F577E4"/>
    <w:rsid w:val="05F61781"/>
    <w:rsid w:val="05F83EAE"/>
    <w:rsid w:val="05F91D68"/>
    <w:rsid w:val="05FB02F8"/>
    <w:rsid w:val="06043E9E"/>
    <w:rsid w:val="060A6FDB"/>
    <w:rsid w:val="0619625D"/>
    <w:rsid w:val="061E65E2"/>
    <w:rsid w:val="061F452A"/>
    <w:rsid w:val="0620235A"/>
    <w:rsid w:val="06233BF8"/>
    <w:rsid w:val="062E385C"/>
    <w:rsid w:val="062E734D"/>
    <w:rsid w:val="063577E2"/>
    <w:rsid w:val="063E7D85"/>
    <w:rsid w:val="064222D0"/>
    <w:rsid w:val="06426774"/>
    <w:rsid w:val="0644429B"/>
    <w:rsid w:val="06455DC2"/>
    <w:rsid w:val="06473D8B"/>
    <w:rsid w:val="06482387"/>
    <w:rsid w:val="06562815"/>
    <w:rsid w:val="0659586C"/>
    <w:rsid w:val="0662414E"/>
    <w:rsid w:val="06640499"/>
    <w:rsid w:val="06695AAF"/>
    <w:rsid w:val="066F0D8B"/>
    <w:rsid w:val="0673273B"/>
    <w:rsid w:val="06772656"/>
    <w:rsid w:val="06776FF6"/>
    <w:rsid w:val="06783F44"/>
    <w:rsid w:val="06787497"/>
    <w:rsid w:val="0680104B"/>
    <w:rsid w:val="0685511C"/>
    <w:rsid w:val="06893E96"/>
    <w:rsid w:val="068A74B1"/>
    <w:rsid w:val="06950A28"/>
    <w:rsid w:val="06952D48"/>
    <w:rsid w:val="069550F6"/>
    <w:rsid w:val="0696086E"/>
    <w:rsid w:val="069A3EBB"/>
    <w:rsid w:val="069F7723"/>
    <w:rsid w:val="06A42F8B"/>
    <w:rsid w:val="06AC1E40"/>
    <w:rsid w:val="06B17456"/>
    <w:rsid w:val="06B66178"/>
    <w:rsid w:val="06B7530D"/>
    <w:rsid w:val="06B84C89"/>
    <w:rsid w:val="06C23411"/>
    <w:rsid w:val="06C471B8"/>
    <w:rsid w:val="06C9640A"/>
    <w:rsid w:val="06D53145"/>
    <w:rsid w:val="06D54CA5"/>
    <w:rsid w:val="06DF1E00"/>
    <w:rsid w:val="06E43569"/>
    <w:rsid w:val="06E710CA"/>
    <w:rsid w:val="06EE2458"/>
    <w:rsid w:val="06F04422"/>
    <w:rsid w:val="06F32E19"/>
    <w:rsid w:val="06F54C0E"/>
    <w:rsid w:val="06FC5AD8"/>
    <w:rsid w:val="06FD0C16"/>
    <w:rsid w:val="06FD4B00"/>
    <w:rsid w:val="07010901"/>
    <w:rsid w:val="07100621"/>
    <w:rsid w:val="07140111"/>
    <w:rsid w:val="0715152D"/>
    <w:rsid w:val="071A6247"/>
    <w:rsid w:val="071B0A73"/>
    <w:rsid w:val="071C0D73"/>
    <w:rsid w:val="07265555"/>
    <w:rsid w:val="07267E44"/>
    <w:rsid w:val="07293586"/>
    <w:rsid w:val="07295285"/>
    <w:rsid w:val="072D35EB"/>
    <w:rsid w:val="073A744C"/>
    <w:rsid w:val="073B3F7A"/>
    <w:rsid w:val="073F54F1"/>
    <w:rsid w:val="07464042"/>
    <w:rsid w:val="07480E14"/>
    <w:rsid w:val="07550729"/>
    <w:rsid w:val="07571191"/>
    <w:rsid w:val="075C154C"/>
    <w:rsid w:val="07636392"/>
    <w:rsid w:val="076A5F83"/>
    <w:rsid w:val="076D7821"/>
    <w:rsid w:val="077000C1"/>
    <w:rsid w:val="077027BF"/>
    <w:rsid w:val="07740BAF"/>
    <w:rsid w:val="07770C56"/>
    <w:rsid w:val="077D5EDE"/>
    <w:rsid w:val="077F1302"/>
    <w:rsid w:val="0781507A"/>
    <w:rsid w:val="07841615"/>
    <w:rsid w:val="07871073"/>
    <w:rsid w:val="078E5C48"/>
    <w:rsid w:val="07941252"/>
    <w:rsid w:val="07985E68"/>
    <w:rsid w:val="079E3E7E"/>
    <w:rsid w:val="07A322FF"/>
    <w:rsid w:val="07AB405C"/>
    <w:rsid w:val="07AC2B56"/>
    <w:rsid w:val="07AC4B4A"/>
    <w:rsid w:val="07AE4AEA"/>
    <w:rsid w:val="07B67872"/>
    <w:rsid w:val="07B90CB8"/>
    <w:rsid w:val="07BA3CB6"/>
    <w:rsid w:val="07BC60B3"/>
    <w:rsid w:val="07BD4AFA"/>
    <w:rsid w:val="07C531B9"/>
    <w:rsid w:val="07CE6099"/>
    <w:rsid w:val="07D04AFD"/>
    <w:rsid w:val="07D20941"/>
    <w:rsid w:val="07DF2BAA"/>
    <w:rsid w:val="07E42167"/>
    <w:rsid w:val="07E421F5"/>
    <w:rsid w:val="07E436C5"/>
    <w:rsid w:val="07EC5935"/>
    <w:rsid w:val="07FC35D5"/>
    <w:rsid w:val="07FD5D01"/>
    <w:rsid w:val="07FE065A"/>
    <w:rsid w:val="07FE491D"/>
    <w:rsid w:val="07FE66CB"/>
    <w:rsid w:val="07FF70D4"/>
    <w:rsid w:val="08023599"/>
    <w:rsid w:val="08031F33"/>
    <w:rsid w:val="08057A5A"/>
    <w:rsid w:val="08177E0E"/>
    <w:rsid w:val="08224729"/>
    <w:rsid w:val="0822685D"/>
    <w:rsid w:val="082A3964"/>
    <w:rsid w:val="082B7A28"/>
    <w:rsid w:val="082D0D5E"/>
    <w:rsid w:val="0836736F"/>
    <w:rsid w:val="08393BA7"/>
    <w:rsid w:val="084367D4"/>
    <w:rsid w:val="08485B98"/>
    <w:rsid w:val="08491082"/>
    <w:rsid w:val="084A5733"/>
    <w:rsid w:val="084C7436"/>
    <w:rsid w:val="085F46B4"/>
    <w:rsid w:val="086C1887"/>
    <w:rsid w:val="086E23EC"/>
    <w:rsid w:val="086E3851"/>
    <w:rsid w:val="08716E9D"/>
    <w:rsid w:val="087A0447"/>
    <w:rsid w:val="08860018"/>
    <w:rsid w:val="0886648E"/>
    <w:rsid w:val="08872B64"/>
    <w:rsid w:val="088766C0"/>
    <w:rsid w:val="088E13EE"/>
    <w:rsid w:val="088F37C7"/>
    <w:rsid w:val="08924756"/>
    <w:rsid w:val="08927A28"/>
    <w:rsid w:val="08975A73"/>
    <w:rsid w:val="08976A82"/>
    <w:rsid w:val="08993A4E"/>
    <w:rsid w:val="089B216C"/>
    <w:rsid w:val="08AC25CB"/>
    <w:rsid w:val="08AE1E9F"/>
    <w:rsid w:val="08B17BE1"/>
    <w:rsid w:val="08B4633C"/>
    <w:rsid w:val="08B562F5"/>
    <w:rsid w:val="08B97F61"/>
    <w:rsid w:val="08BC2855"/>
    <w:rsid w:val="08BD6586"/>
    <w:rsid w:val="08C1646C"/>
    <w:rsid w:val="08C7739B"/>
    <w:rsid w:val="08D86F1C"/>
    <w:rsid w:val="08DE690B"/>
    <w:rsid w:val="08ED686D"/>
    <w:rsid w:val="08EE0192"/>
    <w:rsid w:val="08EE4992"/>
    <w:rsid w:val="08F33D56"/>
    <w:rsid w:val="08F55D20"/>
    <w:rsid w:val="09061CDB"/>
    <w:rsid w:val="09095327"/>
    <w:rsid w:val="0910671C"/>
    <w:rsid w:val="091270F8"/>
    <w:rsid w:val="091508CA"/>
    <w:rsid w:val="0917056E"/>
    <w:rsid w:val="091E602A"/>
    <w:rsid w:val="092217DD"/>
    <w:rsid w:val="09265ED9"/>
    <w:rsid w:val="09271EEA"/>
    <w:rsid w:val="09306D58"/>
    <w:rsid w:val="09336848"/>
    <w:rsid w:val="093A7294"/>
    <w:rsid w:val="093E197F"/>
    <w:rsid w:val="093F343F"/>
    <w:rsid w:val="0946032A"/>
    <w:rsid w:val="094E763E"/>
    <w:rsid w:val="09516776"/>
    <w:rsid w:val="09522CD3"/>
    <w:rsid w:val="0955056D"/>
    <w:rsid w:val="09650D30"/>
    <w:rsid w:val="0974300E"/>
    <w:rsid w:val="09784CC1"/>
    <w:rsid w:val="097B3C16"/>
    <w:rsid w:val="097D7547"/>
    <w:rsid w:val="097F55EA"/>
    <w:rsid w:val="0983157E"/>
    <w:rsid w:val="098350DA"/>
    <w:rsid w:val="0984499B"/>
    <w:rsid w:val="098451E2"/>
    <w:rsid w:val="09862E1C"/>
    <w:rsid w:val="098D18E2"/>
    <w:rsid w:val="09903C9B"/>
    <w:rsid w:val="09971C3C"/>
    <w:rsid w:val="09972933"/>
    <w:rsid w:val="09976F5B"/>
    <w:rsid w:val="099872E7"/>
    <w:rsid w:val="099A01B0"/>
    <w:rsid w:val="09A3752A"/>
    <w:rsid w:val="09A67019"/>
    <w:rsid w:val="09AD19E0"/>
    <w:rsid w:val="09B4439A"/>
    <w:rsid w:val="09BA137D"/>
    <w:rsid w:val="09C2764F"/>
    <w:rsid w:val="09C33728"/>
    <w:rsid w:val="09C347D2"/>
    <w:rsid w:val="09C51AEE"/>
    <w:rsid w:val="09CD45A7"/>
    <w:rsid w:val="09DF0151"/>
    <w:rsid w:val="09DF6712"/>
    <w:rsid w:val="09E37206"/>
    <w:rsid w:val="09EC6316"/>
    <w:rsid w:val="09F00295"/>
    <w:rsid w:val="09F0752D"/>
    <w:rsid w:val="09F10707"/>
    <w:rsid w:val="09F14739"/>
    <w:rsid w:val="09F215F6"/>
    <w:rsid w:val="09F63AFE"/>
    <w:rsid w:val="09F7191B"/>
    <w:rsid w:val="09F73401"/>
    <w:rsid w:val="09F775B4"/>
    <w:rsid w:val="0A0023A1"/>
    <w:rsid w:val="0A0077B9"/>
    <w:rsid w:val="0A0148F0"/>
    <w:rsid w:val="0A032F38"/>
    <w:rsid w:val="0A090190"/>
    <w:rsid w:val="0A0D78C6"/>
    <w:rsid w:val="0A122902"/>
    <w:rsid w:val="0A1246B0"/>
    <w:rsid w:val="0A1B3564"/>
    <w:rsid w:val="0A1C0257"/>
    <w:rsid w:val="0A21224E"/>
    <w:rsid w:val="0A263993"/>
    <w:rsid w:val="0A2A37A7"/>
    <w:rsid w:val="0A2C39C3"/>
    <w:rsid w:val="0A2D3AC2"/>
    <w:rsid w:val="0A2E773B"/>
    <w:rsid w:val="0A301556"/>
    <w:rsid w:val="0A3C1312"/>
    <w:rsid w:val="0A407F4A"/>
    <w:rsid w:val="0A454492"/>
    <w:rsid w:val="0A481E7F"/>
    <w:rsid w:val="0A49242C"/>
    <w:rsid w:val="0A4F4935"/>
    <w:rsid w:val="0A516F86"/>
    <w:rsid w:val="0A5258D9"/>
    <w:rsid w:val="0A5470C9"/>
    <w:rsid w:val="0A6740A8"/>
    <w:rsid w:val="0A6767AA"/>
    <w:rsid w:val="0A7274CC"/>
    <w:rsid w:val="0A784193"/>
    <w:rsid w:val="0A8259B1"/>
    <w:rsid w:val="0A884A60"/>
    <w:rsid w:val="0A886720"/>
    <w:rsid w:val="0A907017"/>
    <w:rsid w:val="0A981335"/>
    <w:rsid w:val="0A9817DB"/>
    <w:rsid w:val="0A984BB5"/>
    <w:rsid w:val="0A9C4C1B"/>
    <w:rsid w:val="0AA33AA0"/>
    <w:rsid w:val="0AA45322"/>
    <w:rsid w:val="0AA55524"/>
    <w:rsid w:val="0AA755DF"/>
    <w:rsid w:val="0AA856C0"/>
    <w:rsid w:val="0ABB1630"/>
    <w:rsid w:val="0ACA6D38"/>
    <w:rsid w:val="0ACC485F"/>
    <w:rsid w:val="0AD169DA"/>
    <w:rsid w:val="0AD772DE"/>
    <w:rsid w:val="0AE24082"/>
    <w:rsid w:val="0AE4604C"/>
    <w:rsid w:val="0AE61DC4"/>
    <w:rsid w:val="0AEE2A27"/>
    <w:rsid w:val="0AF53DB5"/>
    <w:rsid w:val="0AF73FD1"/>
    <w:rsid w:val="0AFA5870"/>
    <w:rsid w:val="0B09160F"/>
    <w:rsid w:val="0B0C10FF"/>
    <w:rsid w:val="0B0E7932"/>
    <w:rsid w:val="0B120D44"/>
    <w:rsid w:val="0B1676E4"/>
    <w:rsid w:val="0B1D330C"/>
    <w:rsid w:val="0B260413"/>
    <w:rsid w:val="0B2E5519"/>
    <w:rsid w:val="0B30290D"/>
    <w:rsid w:val="0B347497"/>
    <w:rsid w:val="0B357B6B"/>
    <w:rsid w:val="0B376726"/>
    <w:rsid w:val="0B3820A2"/>
    <w:rsid w:val="0B3F3282"/>
    <w:rsid w:val="0B41524D"/>
    <w:rsid w:val="0B440899"/>
    <w:rsid w:val="0B444D3D"/>
    <w:rsid w:val="0B492353"/>
    <w:rsid w:val="0B497A74"/>
    <w:rsid w:val="0B4F3EE4"/>
    <w:rsid w:val="0B580CA0"/>
    <w:rsid w:val="0B5A00BC"/>
    <w:rsid w:val="0B5A402C"/>
    <w:rsid w:val="0B5D195B"/>
    <w:rsid w:val="0B5D5CE3"/>
    <w:rsid w:val="0B61144B"/>
    <w:rsid w:val="0B6B3E24"/>
    <w:rsid w:val="0B6C6BC1"/>
    <w:rsid w:val="0B6D4294"/>
    <w:rsid w:val="0B6E3B68"/>
    <w:rsid w:val="0B6F27AF"/>
    <w:rsid w:val="0B736D54"/>
    <w:rsid w:val="0B7F172C"/>
    <w:rsid w:val="0B854B0F"/>
    <w:rsid w:val="0B882E7B"/>
    <w:rsid w:val="0B887641"/>
    <w:rsid w:val="0B892750"/>
    <w:rsid w:val="0B8A42B3"/>
    <w:rsid w:val="0B901D30"/>
    <w:rsid w:val="0B9335CE"/>
    <w:rsid w:val="0B9428A2"/>
    <w:rsid w:val="0B9A2502"/>
    <w:rsid w:val="0BA6715E"/>
    <w:rsid w:val="0BA837F1"/>
    <w:rsid w:val="0BAB0918"/>
    <w:rsid w:val="0BB43C70"/>
    <w:rsid w:val="0BB71B42"/>
    <w:rsid w:val="0BBB4168"/>
    <w:rsid w:val="0BBF24FF"/>
    <w:rsid w:val="0BC65752"/>
    <w:rsid w:val="0BC67500"/>
    <w:rsid w:val="0BC7515D"/>
    <w:rsid w:val="0BC948B1"/>
    <w:rsid w:val="0BCA561A"/>
    <w:rsid w:val="0BD240F7"/>
    <w:rsid w:val="0BD27BF6"/>
    <w:rsid w:val="0BDD5322"/>
    <w:rsid w:val="0BE34248"/>
    <w:rsid w:val="0BE5207C"/>
    <w:rsid w:val="0BE539E8"/>
    <w:rsid w:val="0BF6421D"/>
    <w:rsid w:val="0BF7590B"/>
    <w:rsid w:val="0BF95B27"/>
    <w:rsid w:val="0BFC73C5"/>
    <w:rsid w:val="0BFF537C"/>
    <w:rsid w:val="0C0226A1"/>
    <w:rsid w:val="0C03314E"/>
    <w:rsid w:val="0C0A1AE2"/>
    <w:rsid w:val="0C175FAD"/>
    <w:rsid w:val="0C177116"/>
    <w:rsid w:val="0C1907D5"/>
    <w:rsid w:val="0C194C0B"/>
    <w:rsid w:val="0C1B5C6F"/>
    <w:rsid w:val="0C1E04B1"/>
    <w:rsid w:val="0C210BDA"/>
    <w:rsid w:val="0C24583E"/>
    <w:rsid w:val="0C2562F9"/>
    <w:rsid w:val="0C264F49"/>
    <w:rsid w:val="0C26538B"/>
    <w:rsid w:val="0C30706F"/>
    <w:rsid w:val="0C375EA8"/>
    <w:rsid w:val="0C3974BF"/>
    <w:rsid w:val="0C3B3C7D"/>
    <w:rsid w:val="0C3C492C"/>
    <w:rsid w:val="0C405504"/>
    <w:rsid w:val="0C47331D"/>
    <w:rsid w:val="0C475BCF"/>
    <w:rsid w:val="0C4D5B93"/>
    <w:rsid w:val="0C5A6B62"/>
    <w:rsid w:val="0C5D60B6"/>
    <w:rsid w:val="0C633433"/>
    <w:rsid w:val="0C6F07CA"/>
    <w:rsid w:val="0C707DF8"/>
    <w:rsid w:val="0C750F4B"/>
    <w:rsid w:val="0C752FB1"/>
    <w:rsid w:val="0C7927C4"/>
    <w:rsid w:val="0C796C68"/>
    <w:rsid w:val="0C7A1C57"/>
    <w:rsid w:val="0C7B1859"/>
    <w:rsid w:val="0C7B478E"/>
    <w:rsid w:val="0C7C270A"/>
    <w:rsid w:val="0C7E727A"/>
    <w:rsid w:val="0C807FF6"/>
    <w:rsid w:val="0C833643"/>
    <w:rsid w:val="0C85421C"/>
    <w:rsid w:val="0C871034"/>
    <w:rsid w:val="0C907472"/>
    <w:rsid w:val="0C965124"/>
    <w:rsid w:val="0C9F66CF"/>
    <w:rsid w:val="0CA10AFC"/>
    <w:rsid w:val="0CA32D23"/>
    <w:rsid w:val="0CA5180B"/>
    <w:rsid w:val="0CAB2EAE"/>
    <w:rsid w:val="0CB5460A"/>
    <w:rsid w:val="0CB61638"/>
    <w:rsid w:val="0CB96281"/>
    <w:rsid w:val="0CBD6427"/>
    <w:rsid w:val="0CCB7DB3"/>
    <w:rsid w:val="0CCD7495"/>
    <w:rsid w:val="0CD46235"/>
    <w:rsid w:val="0CDB6FDB"/>
    <w:rsid w:val="0CDC06BB"/>
    <w:rsid w:val="0CDF2F6F"/>
    <w:rsid w:val="0CE328FF"/>
    <w:rsid w:val="0CED10CD"/>
    <w:rsid w:val="0CF26929"/>
    <w:rsid w:val="0CF93D55"/>
    <w:rsid w:val="0CFC1697"/>
    <w:rsid w:val="0D004C93"/>
    <w:rsid w:val="0D0227BA"/>
    <w:rsid w:val="0D0A78C0"/>
    <w:rsid w:val="0D1129FD"/>
    <w:rsid w:val="0D1150F2"/>
    <w:rsid w:val="0D1424ED"/>
    <w:rsid w:val="0D145F83"/>
    <w:rsid w:val="0D1522B7"/>
    <w:rsid w:val="0D1653D3"/>
    <w:rsid w:val="0D1B16BD"/>
    <w:rsid w:val="0D1C0526"/>
    <w:rsid w:val="0D2210AE"/>
    <w:rsid w:val="0D2414F5"/>
    <w:rsid w:val="0D256754"/>
    <w:rsid w:val="0D297801"/>
    <w:rsid w:val="0D2C79FD"/>
    <w:rsid w:val="0D2F1884"/>
    <w:rsid w:val="0D305579"/>
    <w:rsid w:val="0D33458A"/>
    <w:rsid w:val="0D3606B5"/>
    <w:rsid w:val="0D3B3F1D"/>
    <w:rsid w:val="0D3D37F2"/>
    <w:rsid w:val="0D4032E2"/>
    <w:rsid w:val="0D431422"/>
    <w:rsid w:val="0D473A32"/>
    <w:rsid w:val="0D4A5F0F"/>
    <w:rsid w:val="0D4B4161"/>
    <w:rsid w:val="0D51729D"/>
    <w:rsid w:val="0D5A25F6"/>
    <w:rsid w:val="0D5B011C"/>
    <w:rsid w:val="0D5E339D"/>
    <w:rsid w:val="0D613984"/>
    <w:rsid w:val="0D6214AA"/>
    <w:rsid w:val="0D621C7D"/>
    <w:rsid w:val="0D624BAF"/>
    <w:rsid w:val="0D6B3773"/>
    <w:rsid w:val="0D755FFE"/>
    <w:rsid w:val="0D7A3989"/>
    <w:rsid w:val="0D7A7EA4"/>
    <w:rsid w:val="0D7B1B27"/>
    <w:rsid w:val="0D7B39BE"/>
    <w:rsid w:val="0D8060B9"/>
    <w:rsid w:val="0D8A61D3"/>
    <w:rsid w:val="0D9172AB"/>
    <w:rsid w:val="0D961154"/>
    <w:rsid w:val="0DA0092E"/>
    <w:rsid w:val="0DA6583B"/>
    <w:rsid w:val="0DB00467"/>
    <w:rsid w:val="0DBA12E6"/>
    <w:rsid w:val="0DBA7538"/>
    <w:rsid w:val="0DBB64A9"/>
    <w:rsid w:val="0DC27315"/>
    <w:rsid w:val="0DC65EBE"/>
    <w:rsid w:val="0DC65EDD"/>
    <w:rsid w:val="0DCB34F3"/>
    <w:rsid w:val="0DCF4D92"/>
    <w:rsid w:val="0DD24882"/>
    <w:rsid w:val="0DD759F4"/>
    <w:rsid w:val="0DD8176C"/>
    <w:rsid w:val="0DDE6877"/>
    <w:rsid w:val="0DE2767D"/>
    <w:rsid w:val="0DE900B9"/>
    <w:rsid w:val="0DED346A"/>
    <w:rsid w:val="0DF5231E"/>
    <w:rsid w:val="0DF5338E"/>
    <w:rsid w:val="0DFD4F28"/>
    <w:rsid w:val="0E0019BA"/>
    <w:rsid w:val="0E0367E9"/>
    <w:rsid w:val="0E0C69F8"/>
    <w:rsid w:val="0E0E371C"/>
    <w:rsid w:val="0E0F3672"/>
    <w:rsid w:val="0E115619"/>
    <w:rsid w:val="0E1327A4"/>
    <w:rsid w:val="0E1529C0"/>
    <w:rsid w:val="0E1B7FD7"/>
    <w:rsid w:val="0E26072A"/>
    <w:rsid w:val="0E303DCA"/>
    <w:rsid w:val="0E356BBF"/>
    <w:rsid w:val="0E3746E5"/>
    <w:rsid w:val="0E39295C"/>
    <w:rsid w:val="0E3F5557"/>
    <w:rsid w:val="0E4669CF"/>
    <w:rsid w:val="0E4A3AEE"/>
    <w:rsid w:val="0E4B34AC"/>
    <w:rsid w:val="0E4C2056"/>
    <w:rsid w:val="0E507888"/>
    <w:rsid w:val="0E5E6115"/>
    <w:rsid w:val="0E64251A"/>
    <w:rsid w:val="0E653000"/>
    <w:rsid w:val="0E654F27"/>
    <w:rsid w:val="0E666D78"/>
    <w:rsid w:val="0E673D73"/>
    <w:rsid w:val="0E6D762C"/>
    <w:rsid w:val="0E73034D"/>
    <w:rsid w:val="0E7771D7"/>
    <w:rsid w:val="0E793B97"/>
    <w:rsid w:val="0E7A3FC0"/>
    <w:rsid w:val="0E7C2DCE"/>
    <w:rsid w:val="0E83018A"/>
    <w:rsid w:val="0E96765D"/>
    <w:rsid w:val="0E99714E"/>
    <w:rsid w:val="0E9D2B11"/>
    <w:rsid w:val="0E9D6C3E"/>
    <w:rsid w:val="0EA0228A"/>
    <w:rsid w:val="0EA33EF7"/>
    <w:rsid w:val="0EA74990"/>
    <w:rsid w:val="0EAA05FC"/>
    <w:rsid w:val="0EAB6D84"/>
    <w:rsid w:val="0EB67D00"/>
    <w:rsid w:val="0EB77E38"/>
    <w:rsid w:val="0EB9334C"/>
    <w:rsid w:val="0EC07097"/>
    <w:rsid w:val="0ECC2D59"/>
    <w:rsid w:val="0ED1069F"/>
    <w:rsid w:val="0ED10E76"/>
    <w:rsid w:val="0ED75FF3"/>
    <w:rsid w:val="0ED76E18"/>
    <w:rsid w:val="0ED92472"/>
    <w:rsid w:val="0EDB32C2"/>
    <w:rsid w:val="0EDD346A"/>
    <w:rsid w:val="0EDE591C"/>
    <w:rsid w:val="0EE228A3"/>
    <w:rsid w:val="0EE25041"/>
    <w:rsid w:val="0EE51585"/>
    <w:rsid w:val="0EE52393"/>
    <w:rsid w:val="0EE654DD"/>
    <w:rsid w:val="0EE71826"/>
    <w:rsid w:val="0EEA5BFB"/>
    <w:rsid w:val="0EF41053"/>
    <w:rsid w:val="0EF460F9"/>
    <w:rsid w:val="0EF600FC"/>
    <w:rsid w:val="0EF80318"/>
    <w:rsid w:val="0EF86860"/>
    <w:rsid w:val="0EFE0513"/>
    <w:rsid w:val="0EFE6510"/>
    <w:rsid w:val="0F0547E3"/>
    <w:rsid w:val="0F0942D3"/>
    <w:rsid w:val="0F0A1DF9"/>
    <w:rsid w:val="0F0A4F36"/>
    <w:rsid w:val="0F0C3DC3"/>
    <w:rsid w:val="0F0E604F"/>
    <w:rsid w:val="0F13775A"/>
    <w:rsid w:val="0F1D21B0"/>
    <w:rsid w:val="0F1D38DB"/>
    <w:rsid w:val="0F2509E1"/>
    <w:rsid w:val="0F2E5AE8"/>
    <w:rsid w:val="0F3763CB"/>
    <w:rsid w:val="0F3A2647"/>
    <w:rsid w:val="0F3D21CF"/>
    <w:rsid w:val="0F4027BC"/>
    <w:rsid w:val="0F40581B"/>
    <w:rsid w:val="0F410892"/>
    <w:rsid w:val="0F4D4849"/>
    <w:rsid w:val="0F504D75"/>
    <w:rsid w:val="0F56503F"/>
    <w:rsid w:val="0F580DB7"/>
    <w:rsid w:val="0F5A0F7A"/>
    <w:rsid w:val="0F5F45FE"/>
    <w:rsid w:val="0F5F7650"/>
    <w:rsid w:val="0F6045F2"/>
    <w:rsid w:val="0F6459AD"/>
    <w:rsid w:val="0F696B20"/>
    <w:rsid w:val="0F6B6D3C"/>
    <w:rsid w:val="0F6E05DA"/>
    <w:rsid w:val="0F706100"/>
    <w:rsid w:val="0F753EFF"/>
    <w:rsid w:val="0F786D63"/>
    <w:rsid w:val="0F803E6A"/>
    <w:rsid w:val="0F842B9A"/>
    <w:rsid w:val="0F843812"/>
    <w:rsid w:val="0F87344A"/>
    <w:rsid w:val="0F8A3E81"/>
    <w:rsid w:val="0F917E25"/>
    <w:rsid w:val="0F924F7F"/>
    <w:rsid w:val="0F9470FA"/>
    <w:rsid w:val="0F9638D0"/>
    <w:rsid w:val="0F97684E"/>
    <w:rsid w:val="0F9A112B"/>
    <w:rsid w:val="0FA364D6"/>
    <w:rsid w:val="0FA740F0"/>
    <w:rsid w:val="0FAB538A"/>
    <w:rsid w:val="0FAF0CB0"/>
    <w:rsid w:val="0FB36E3D"/>
    <w:rsid w:val="0FB51D65"/>
    <w:rsid w:val="0FBE2C88"/>
    <w:rsid w:val="0FBF4992"/>
    <w:rsid w:val="0FC05FDF"/>
    <w:rsid w:val="0FC65D20"/>
    <w:rsid w:val="0FC91CB4"/>
    <w:rsid w:val="0FC93A62"/>
    <w:rsid w:val="0FCD3553"/>
    <w:rsid w:val="0FD07339"/>
    <w:rsid w:val="0FD146C5"/>
    <w:rsid w:val="0FDA5C70"/>
    <w:rsid w:val="0FDD51C2"/>
    <w:rsid w:val="0FEB39D9"/>
    <w:rsid w:val="0FF60BFB"/>
    <w:rsid w:val="0FF91F75"/>
    <w:rsid w:val="0FFC0386"/>
    <w:rsid w:val="0FFC1742"/>
    <w:rsid w:val="0FFE6E51"/>
    <w:rsid w:val="100625C1"/>
    <w:rsid w:val="1013011B"/>
    <w:rsid w:val="101F18D4"/>
    <w:rsid w:val="10214329"/>
    <w:rsid w:val="10234F21"/>
    <w:rsid w:val="102A03A0"/>
    <w:rsid w:val="102E2AE3"/>
    <w:rsid w:val="10421006"/>
    <w:rsid w:val="10432474"/>
    <w:rsid w:val="10477DE2"/>
    <w:rsid w:val="10484987"/>
    <w:rsid w:val="10525806"/>
    <w:rsid w:val="1057025C"/>
    <w:rsid w:val="10586CA8"/>
    <w:rsid w:val="106169ED"/>
    <w:rsid w:val="106339EB"/>
    <w:rsid w:val="1066305F"/>
    <w:rsid w:val="10667503"/>
    <w:rsid w:val="106B4B1A"/>
    <w:rsid w:val="106C18F3"/>
    <w:rsid w:val="106D2F64"/>
    <w:rsid w:val="10702130"/>
    <w:rsid w:val="10725EEA"/>
    <w:rsid w:val="10727C56"/>
    <w:rsid w:val="107514F4"/>
    <w:rsid w:val="107647A0"/>
    <w:rsid w:val="10835914"/>
    <w:rsid w:val="108B6001"/>
    <w:rsid w:val="108C1CE2"/>
    <w:rsid w:val="108C615E"/>
    <w:rsid w:val="108F6F4D"/>
    <w:rsid w:val="10976D85"/>
    <w:rsid w:val="109B089C"/>
    <w:rsid w:val="10A36062"/>
    <w:rsid w:val="10AA73F0"/>
    <w:rsid w:val="10B224C7"/>
    <w:rsid w:val="10B36533"/>
    <w:rsid w:val="10B62239"/>
    <w:rsid w:val="10B62EE4"/>
    <w:rsid w:val="10B63710"/>
    <w:rsid w:val="10B63FE7"/>
    <w:rsid w:val="10B65D95"/>
    <w:rsid w:val="10C078BD"/>
    <w:rsid w:val="10C217ED"/>
    <w:rsid w:val="10C336E4"/>
    <w:rsid w:val="10C34956"/>
    <w:rsid w:val="10C85AC8"/>
    <w:rsid w:val="10CD7582"/>
    <w:rsid w:val="10CF790B"/>
    <w:rsid w:val="10D43D2C"/>
    <w:rsid w:val="10D62C4F"/>
    <w:rsid w:val="10D80401"/>
    <w:rsid w:val="10D872D0"/>
    <w:rsid w:val="10DB5880"/>
    <w:rsid w:val="10E10521"/>
    <w:rsid w:val="10E13D97"/>
    <w:rsid w:val="10F10820"/>
    <w:rsid w:val="10F13271"/>
    <w:rsid w:val="10F16DCD"/>
    <w:rsid w:val="10F26EA5"/>
    <w:rsid w:val="10F90377"/>
    <w:rsid w:val="10F95750"/>
    <w:rsid w:val="10FC5772"/>
    <w:rsid w:val="10FD1F0A"/>
    <w:rsid w:val="11016E0F"/>
    <w:rsid w:val="110472BA"/>
    <w:rsid w:val="11065765"/>
    <w:rsid w:val="110F2985"/>
    <w:rsid w:val="110F6D61"/>
    <w:rsid w:val="111927C8"/>
    <w:rsid w:val="111C2F7A"/>
    <w:rsid w:val="112847B9"/>
    <w:rsid w:val="112C6B8F"/>
    <w:rsid w:val="112C7AF5"/>
    <w:rsid w:val="112C7CAB"/>
    <w:rsid w:val="1133021E"/>
    <w:rsid w:val="11337C03"/>
    <w:rsid w:val="113413B0"/>
    <w:rsid w:val="11351DE6"/>
    <w:rsid w:val="1139527B"/>
    <w:rsid w:val="113C4CD1"/>
    <w:rsid w:val="113D2012"/>
    <w:rsid w:val="113D6807"/>
    <w:rsid w:val="113F5854"/>
    <w:rsid w:val="114026B7"/>
    <w:rsid w:val="11405448"/>
    <w:rsid w:val="11407FD1"/>
    <w:rsid w:val="11486486"/>
    <w:rsid w:val="11497CF6"/>
    <w:rsid w:val="114B3686"/>
    <w:rsid w:val="114C04A7"/>
    <w:rsid w:val="11506D23"/>
    <w:rsid w:val="115074B9"/>
    <w:rsid w:val="11551A52"/>
    <w:rsid w:val="115B693C"/>
    <w:rsid w:val="115E1DEE"/>
    <w:rsid w:val="116432A2"/>
    <w:rsid w:val="11643A43"/>
    <w:rsid w:val="11665CA1"/>
    <w:rsid w:val="116D479C"/>
    <w:rsid w:val="116E4122"/>
    <w:rsid w:val="1172671C"/>
    <w:rsid w:val="1176761B"/>
    <w:rsid w:val="11801A2F"/>
    <w:rsid w:val="118045F5"/>
    <w:rsid w:val="11895257"/>
    <w:rsid w:val="118C21B4"/>
    <w:rsid w:val="118E6D12"/>
    <w:rsid w:val="11912563"/>
    <w:rsid w:val="11940F05"/>
    <w:rsid w:val="11951E4E"/>
    <w:rsid w:val="119610D6"/>
    <w:rsid w:val="11973C1D"/>
    <w:rsid w:val="119F4A7B"/>
    <w:rsid w:val="11AB1672"/>
    <w:rsid w:val="11AD072E"/>
    <w:rsid w:val="11AE4CBE"/>
    <w:rsid w:val="11B524F0"/>
    <w:rsid w:val="11B9125B"/>
    <w:rsid w:val="11BA3663"/>
    <w:rsid w:val="11BC6D80"/>
    <w:rsid w:val="11BD1AE3"/>
    <w:rsid w:val="11BF336F"/>
    <w:rsid w:val="11C1549D"/>
    <w:rsid w:val="11C27375"/>
    <w:rsid w:val="11C30D95"/>
    <w:rsid w:val="11C66D88"/>
    <w:rsid w:val="11CD727D"/>
    <w:rsid w:val="11D50FAE"/>
    <w:rsid w:val="11D612CB"/>
    <w:rsid w:val="11D81D3B"/>
    <w:rsid w:val="11D84431"/>
    <w:rsid w:val="11E06E41"/>
    <w:rsid w:val="11E32BE3"/>
    <w:rsid w:val="11E37E0A"/>
    <w:rsid w:val="11E7673F"/>
    <w:rsid w:val="11EC3A38"/>
    <w:rsid w:val="12025774"/>
    <w:rsid w:val="120312C4"/>
    <w:rsid w:val="12042B30"/>
    <w:rsid w:val="12071881"/>
    <w:rsid w:val="120B496E"/>
    <w:rsid w:val="120C4D1D"/>
    <w:rsid w:val="121277D8"/>
    <w:rsid w:val="12166C60"/>
    <w:rsid w:val="12173DEA"/>
    <w:rsid w:val="122371C4"/>
    <w:rsid w:val="12260B76"/>
    <w:rsid w:val="12367933"/>
    <w:rsid w:val="123D3439"/>
    <w:rsid w:val="124037F5"/>
    <w:rsid w:val="12415B32"/>
    <w:rsid w:val="12423479"/>
    <w:rsid w:val="12466EEF"/>
    <w:rsid w:val="124B4C03"/>
    <w:rsid w:val="124F64A1"/>
    <w:rsid w:val="12502B3B"/>
    <w:rsid w:val="12584CB9"/>
    <w:rsid w:val="125D0492"/>
    <w:rsid w:val="125D2D63"/>
    <w:rsid w:val="126857B5"/>
    <w:rsid w:val="126B2BAF"/>
    <w:rsid w:val="127001C5"/>
    <w:rsid w:val="127203E1"/>
    <w:rsid w:val="12791770"/>
    <w:rsid w:val="12812F7B"/>
    <w:rsid w:val="1283614B"/>
    <w:rsid w:val="12847522"/>
    <w:rsid w:val="12867423"/>
    <w:rsid w:val="128B3915"/>
    <w:rsid w:val="128C1201"/>
    <w:rsid w:val="128E14A8"/>
    <w:rsid w:val="128E2FDB"/>
    <w:rsid w:val="12916AA6"/>
    <w:rsid w:val="129C545E"/>
    <w:rsid w:val="129E7212"/>
    <w:rsid w:val="12A12A5B"/>
    <w:rsid w:val="12A8795F"/>
    <w:rsid w:val="12B37A9B"/>
    <w:rsid w:val="12B71B99"/>
    <w:rsid w:val="12C0286C"/>
    <w:rsid w:val="12C16C73"/>
    <w:rsid w:val="12C241E1"/>
    <w:rsid w:val="12D57132"/>
    <w:rsid w:val="12DC585B"/>
    <w:rsid w:val="12E04FE4"/>
    <w:rsid w:val="12F232D0"/>
    <w:rsid w:val="12F30695"/>
    <w:rsid w:val="12F4756B"/>
    <w:rsid w:val="12FB6FCB"/>
    <w:rsid w:val="12FC5EFD"/>
    <w:rsid w:val="130649E5"/>
    <w:rsid w:val="130725B8"/>
    <w:rsid w:val="13091A27"/>
    <w:rsid w:val="130A686C"/>
    <w:rsid w:val="130D57ED"/>
    <w:rsid w:val="131256EE"/>
    <w:rsid w:val="13147D53"/>
    <w:rsid w:val="13160A9B"/>
    <w:rsid w:val="1319085D"/>
    <w:rsid w:val="131B58EC"/>
    <w:rsid w:val="13250612"/>
    <w:rsid w:val="13252B32"/>
    <w:rsid w:val="13263708"/>
    <w:rsid w:val="132C233E"/>
    <w:rsid w:val="13337B71"/>
    <w:rsid w:val="133E106E"/>
    <w:rsid w:val="134168FD"/>
    <w:rsid w:val="134A4EBA"/>
    <w:rsid w:val="134B3EA6"/>
    <w:rsid w:val="134C0C32"/>
    <w:rsid w:val="134F24D1"/>
    <w:rsid w:val="13516249"/>
    <w:rsid w:val="13566748"/>
    <w:rsid w:val="13596E11"/>
    <w:rsid w:val="136476FE"/>
    <w:rsid w:val="136F4C00"/>
    <w:rsid w:val="13710699"/>
    <w:rsid w:val="137633A8"/>
    <w:rsid w:val="13841D40"/>
    <w:rsid w:val="13875453"/>
    <w:rsid w:val="13884F5B"/>
    <w:rsid w:val="138C102F"/>
    <w:rsid w:val="139300F1"/>
    <w:rsid w:val="13951726"/>
    <w:rsid w:val="139630E6"/>
    <w:rsid w:val="139B74C4"/>
    <w:rsid w:val="13A51DF8"/>
    <w:rsid w:val="13A66473"/>
    <w:rsid w:val="13A90FB1"/>
    <w:rsid w:val="13A97E33"/>
    <w:rsid w:val="13AA53E8"/>
    <w:rsid w:val="13AD2810"/>
    <w:rsid w:val="13B6042B"/>
    <w:rsid w:val="13B8757C"/>
    <w:rsid w:val="13BD7245"/>
    <w:rsid w:val="13C35E4E"/>
    <w:rsid w:val="13DA207F"/>
    <w:rsid w:val="13DA623E"/>
    <w:rsid w:val="13DA7FEC"/>
    <w:rsid w:val="13DE5507"/>
    <w:rsid w:val="13E1581F"/>
    <w:rsid w:val="13E16790"/>
    <w:rsid w:val="13E42C19"/>
    <w:rsid w:val="13E548CB"/>
    <w:rsid w:val="13E9022F"/>
    <w:rsid w:val="13ED1715"/>
    <w:rsid w:val="13EE5846"/>
    <w:rsid w:val="13EE708C"/>
    <w:rsid w:val="13F366E5"/>
    <w:rsid w:val="13F72D89"/>
    <w:rsid w:val="13F85EAD"/>
    <w:rsid w:val="13FA068E"/>
    <w:rsid w:val="13FA0EB0"/>
    <w:rsid w:val="13FD09D7"/>
    <w:rsid w:val="140831E2"/>
    <w:rsid w:val="140F69EF"/>
    <w:rsid w:val="141334FE"/>
    <w:rsid w:val="14137D1C"/>
    <w:rsid w:val="141E7449"/>
    <w:rsid w:val="141F4656"/>
    <w:rsid w:val="142071CE"/>
    <w:rsid w:val="142474B9"/>
    <w:rsid w:val="14257900"/>
    <w:rsid w:val="142E37AA"/>
    <w:rsid w:val="14305E5E"/>
    <w:rsid w:val="14356565"/>
    <w:rsid w:val="14396509"/>
    <w:rsid w:val="143B6AC6"/>
    <w:rsid w:val="143C0390"/>
    <w:rsid w:val="143D057B"/>
    <w:rsid w:val="1441006B"/>
    <w:rsid w:val="14496F20"/>
    <w:rsid w:val="144B3CAB"/>
    <w:rsid w:val="144E2788"/>
    <w:rsid w:val="145204CA"/>
    <w:rsid w:val="14531B4D"/>
    <w:rsid w:val="145C2705"/>
    <w:rsid w:val="14634486"/>
    <w:rsid w:val="14652D2E"/>
    <w:rsid w:val="14673E8A"/>
    <w:rsid w:val="1468329B"/>
    <w:rsid w:val="146975C2"/>
    <w:rsid w:val="146F280C"/>
    <w:rsid w:val="147F2942"/>
    <w:rsid w:val="14814211"/>
    <w:rsid w:val="14904B4F"/>
    <w:rsid w:val="149363ED"/>
    <w:rsid w:val="14952165"/>
    <w:rsid w:val="14991C55"/>
    <w:rsid w:val="149E1A09"/>
    <w:rsid w:val="149E53A8"/>
    <w:rsid w:val="149E726C"/>
    <w:rsid w:val="14A33FBE"/>
    <w:rsid w:val="14A779A2"/>
    <w:rsid w:val="14AB6958"/>
    <w:rsid w:val="14AC691B"/>
    <w:rsid w:val="14AE207C"/>
    <w:rsid w:val="14B60A59"/>
    <w:rsid w:val="14BA1BCC"/>
    <w:rsid w:val="14BB3567"/>
    <w:rsid w:val="14BD7A07"/>
    <w:rsid w:val="14C276A9"/>
    <w:rsid w:val="14C50E0E"/>
    <w:rsid w:val="14C52A4A"/>
    <w:rsid w:val="14DD2C3C"/>
    <w:rsid w:val="14DF1632"/>
    <w:rsid w:val="14E1184E"/>
    <w:rsid w:val="14E60C13"/>
    <w:rsid w:val="14E86F37"/>
    <w:rsid w:val="14ED1FA1"/>
    <w:rsid w:val="14F96B98"/>
    <w:rsid w:val="14FE7D0A"/>
    <w:rsid w:val="150317C5"/>
    <w:rsid w:val="15062A62"/>
    <w:rsid w:val="150A5D36"/>
    <w:rsid w:val="150D1602"/>
    <w:rsid w:val="150F3CC6"/>
    <w:rsid w:val="15104ED0"/>
    <w:rsid w:val="1514752E"/>
    <w:rsid w:val="151632A6"/>
    <w:rsid w:val="15196C6C"/>
    <w:rsid w:val="151C1D06"/>
    <w:rsid w:val="152010FA"/>
    <w:rsid w:val="15211C2B"/>
    <w:rsid w:val="15225EAA"/>
    <w:rsid w:val="15273705"/>
    <w:rsid w:val="15273F9C"/>
    <w:rsid w:val="15280A08"/>
    <w:rsid w:val="152B494E"/>
    <w:rsid w:val="152C0D1B"/>
    <w:rsid w:val="152D21D3"/>
    <w:rsid w:val="1536685F"/>
    <w:rsid w:val="153800CF"/>
    <w:rsid w:val="1539337C"/>
    <w:rsid w:val="154047C7"/>
    <w:rsid w:val="1540687E"/>
    <w:rsid w:val="154F4A0A"/>
    <w:rsid w:val="15542020"/>
    <w:rsid w:val="155B515D"/>
    <w:rsid w:val="155D0ED5"/>
    <w:rsid w:val="155D7127"/>
    <w:rsid w:val="156009C5"/>
    <w:rsid w:val="15604521"/>
    <w:rsid w:val="15610299"/>
    <w:rsid w:val="15676294"/>
    <w:rsid w:val="1568787A"/>
    <w:rsid w:val="1569600E"/>
    <w:rsid w:val="156B2D54"/>
    <w:rsid w:val="156C0FD0"/>
    <w:rsid w:val="1571358E"/>
    <w:rsid w:val="157C0F10"/>
    <w:rsid w:val="157F5AE9"/>
    <w:rsid w:val="15875F52"/>
    <w:rsid w:val="158B1366"/>
    <w:rsid w:val="158C17BA"/>
    <w:rsid w:val="15933FC9"/>
    <w:rsid w:val="15945BD8"/>
    <w:rsid w:val="15A46B04"/>
    <w:rsid w:val="15A765F4"/>
    <w:rsid w:val="15AE34DE"/>
    <w:rsid w:val="15AE7982"/>
    <w:rsid w:val="15AF7257"/>
    <w:rsid w:val="15B27C83"/>
    <w:rsid w:val="15B4298A"/>
    <w:rsid w:val="15C076B6"/>
    <w:rsid w:val="15C2342E"/>
    <w:rsid w:val="15C86F27"/>
    <w:rsid w:val="15C90318"/>
    <w:rsid w:val="15C965B4"/>
    <w:rsid w:val="15D23CCD"/>
    <w:rsid w:val="15D47330"/>
    <w:rsid w:val="15D6261D"/>
    <w:rsid w:val="15E16159"/>
    <w:rsid w:val="15E44D75"/>
    <w:rsid w:val="15E52C78"/>
    <w:rsid w:val="15E55653"/>
    <w:rsid w:val="15EA028F"/>
    <w:rsid w:val="15EA5BD2"/>
    <w:rsid w:val="15ED4C0D"/>
    <w:rsid w:val="15F1161D"/>
    <w:rsid w:val="15F31284"/>
    <w:rsid w:val="15F8662E"/>
    <w:rsid w:val="15FD4107"/>
    <w:rsid w:val="15FE1933"/>
    <w:rsid w:val="1602382A"/>
    <w:rsid w:val="16087E1D"/>
    <w:rsid w:val="160F5030"/>
    <w:rsid w:val="16100520"/>
    <w:rsid w:val="16104199"/>
    <w:rsid w:val="161720CF"/>
    <w:rsid w:val="16193209"/>
    <w:rsid w:val="161A7D77"/>
    <w:rsid w:val="16221331"/>
    <w:rsid w:val="16226BBD"/>
    <w:rsid w:val="162639BD"/>
    <w:rsid w:val="162714E3"/>
    <w:rsid w:val="164215E6"/>
    <w:rsid w:val="164B53B3"/>
    <w:rsid w:val="164C0F14"/>
    <w:rsid w:val="16525639"/>
    <w:rsid w:val="16552777"/>
    <w:rsid w:val="165D6CB3"/>
    <w:rsid w:val="16671013"/>
    <w:rsid w:val="167214D2"/>
    <w:rsid w:val="167A2A3F"/>
    <w:rsid w:val="167A7865"/>
    <w:rsid w:val="167E337C"/>
    <w:rsid w:val="167E6D9E"/>
    <w:rsid w:val="167F12F4"/>
    <w:rsid w:val="16824E45"/>
    <w:rsid w:val="16870995"/>
    <w:rsid w:val="168801D3"/>
    <w:rsid w:val="168C6CAB"/>
    <w:rsid w:val="169067A1"/>
    <w:rsid w:val="169104A3"/>
    <w:rsid w:val="16930926"/>
    <w:rsid w:val="169E17A5"/>
    <w:rsid w:val="16A17133"/>
    <w:rsid w:val="16A239F0"/>
    <w:rsid w:val="16A65C05"/>
    <w:rsid w:val="16A947D3"/>
    <w:rsid w:val="16A95FB0"/>
    <w:rsid w:val="16A97EE1"/>
    <w:rsid w:val="16AA3D7D"/>
    <w:rsid w:val="16AA5385"/>
    <w:rsid w:val="16AB2114"/>
    <w:rsid w:val="16B0772A"/>
    <w:rsid w:val="16B311A4"/>
    <w:rsid w:val="16B8519F"/>
    <w:rsid w:val="16BC3FE0"/>
    <w:rsid w:val="16BE6656"/>
    <w:rsid w:val="16C7125F"/>
    <w:rsid w:val="16C848EF"/>
    <w:rsid w:val="16CA07EC"/>
    <w:rsid w:val="16CA259A"/>
    <w:rsid w:val="16CC200A"/>
    <w:rsid w:val="16D37283"/>
    <w:rsid w:val="16D52CED"/>
    <w:rsid w:val="16DF7733"/>
    <w:rsid w:val="16E01DBD"/>
    <w:rsid w:val="16E77551"/>
    <w:rsid w:val="16EA0415"/>
    <w:rsid w:val="16F05D79"/>
    <w:rsid w:val="16FD0075"/>
    <w:rsid w:val="17041A51"/>
    <w:rsid w:val="17050E64"/>
    <w:rsid w:val="1706559C"/>
    <w:rsid w:val="170961D4"/>
    <w:rsid w:val="170A508C"/>
    <w:rsid w:val="171001C9"/>
    <w:rsid w:val="17123F41"/>
    <w:rsid w:val="17141A67"/>
    <w:rsid w:val="171D6F79"/>
    <w:rsid w:val="172311CA"/>
    <w:rsid w:val="1728765F"/>
    <w:rsid w:val="172E1F8A"/>
    <w:rsid w:val="173079FD"/>
    <w:rsid w:val="173C0FBE"/>
    <w:rsid w:val="173C10D1"/>
    <w:rsid w:val="173D7ECA"/>
    <w:rsid w:val="17430B04"/>
    <w:rsid w:val="174312CB"/>
    <w:rsid w:val="17444901"/>
    <w:rsid w:val="174E0C78"/>
    <w:rsid w:val="174F1B03"/>
    <w:rsid w:val="1753361B"/>
    <w:rsid w:val="17540E4C"/>
    <w:rsid w:val="17556BAC"/>
    <w:rsid w:val="176302F9"/>
    <w:rsid w:val="1767428D"/>
    <w:rsid w:val="176C34D8"/>
    <w:rsid w:val="17701D14"/>
    <w:rsid w:val="1773037A"/>
    <w:rsid w:val="17735226"/>
    <w:rsid w:val="1773582D"/>
    <w:rsid w:val="17740758"/>
    <w:rsid w:val="17763DC2"/>
    <w:rsid w:val="1779567C"/>
    <w:rsid w:val="177B5642"/>
    <w:rsid w:val="178065ED"/>
    <w:rsid w:val="17813E0E"/>
    <w:rsid w:val="17817AC7"/>
    <w:rsid w:val="17860A7E"/>
    <w:rsid w:val="1787048B"/>
    <w:rsid w:val="17895FD3"/>
    <w:rsid w:val="178C784F"/>
    <w:rsid w:val="17914E66"/>
    <w:rsid w:val="179928AA"/>
    <w:rsid w:val="179E26DB"/>
    <w:rsid w:val="17A032FB"/>
    <w:rsid w:val="17A10E21"/>
    <w:rsid w:val="17A821AF"/>
    <w:rsid w:val="17AB51FB"/>
    <w:rsid w:val="17AE3CDD"/>
    <w:rsid w:val="17B1375A"/>
    <w:rsid w:val="17B7090E"/>
    <w:rsid w:val="17B76721"/>
    <w:rsid w:val="17BD027B"/>
    <w:rsid w:val="17C2727D"/>
    <w:rsid w:val="17C90AA4"/>
    <w:rsid w:val="17CB2112"/>
    <w:rsid w:val="17CC6F89"/>
    <w:rsid w:val="17CE4184"/>
    <w:rsid w:val="17D564E4"/>
    <w:rsid w:val="17D734C7"/>
    <w:rsid w:val="17D75D7F"/>
    <w:rsid w:val="17D86F39"/>
    <w:rsid w:val="17DB2585"/>
    <w:rsid w:val="17DD454F"/>
    <w:rsid w:val="17E30D6D"/>
    <w:rsid w:val="17E854FA"/>
    <w:rsid w:val="17E86A50"/>
    <w:rsid w:val="17E94CA2"/>
    <w:rsid w:val="17EB07C7"/>
    <w:rsid w:val="17EB6C6C"/>
    <w:rsid w:val="17ED7AA9"/>
    <w:rsid w:val="17EE78BD"/>
    <w:rsid w:val="17F1593F"/>
    <w:rsid w:val="17F17FFA"/>
    <w:rsid w:val="18027B12"/>
    <w:rsid w:val="18027D54"/>
    <w:rsid w:val="180D4CD7"/>
    <w:rsid w:val="180E6F53"/>
    <w:rsid w:val="180F222F"/>
    <w:rsid w:val="1812011E"/>
    <w:rsid w:val="18136C2D"/>
    <w:rsid w:val="18147845"/>
    <w:rsid w:val="18185587"/>
    <w:rsid w:val="181F0AA9"/>
    <w:rsid w:val="18216A70"/>
    <w:rsid w:val="18250A27"/>
    <w:rsid w:val="18306AB5"/>
    <w:rsid w:val="183F0D66"/>
    <w:rsid w:val="18421907"/>
    <w:rsid w:val="18422604"/>
    <w:rsid w:val="18455C50"/>
    <w:rsid w:val="18475E6C"/>
    <w:rsid w:val="185540E5"/>
    <w:rsid w:val="185D11EC"/>
    <w:rsid w:val="18624A54"/>
    <w:rsid w:val="186A0E96"/>
    <w:rsid w:val="18732EE3"/>
    <w:rsid w:val="187C3D68"/>
    <w:rsid w:val="18856728"/>
    <w:rsid w:val="188622FA"/>
    <w:rsid w:val="1887378A"/>
    <w:rsid w:val="188B7B07"/>
    <w:rsid w:val="188C3A80"/>
    <w:rsid w:val="188C7154"/>
    <w:rsid w:val="189440E7"/>
    <w:rsid w:val="189A30ED"/>
    <w:rsid w:val="189F624C"/>
    <w:rsid w:val="18A1557C"/>
    <w:rsid w:val="18AD3F21"/>
    <w:rsid w:val="18AD58E7"/>
    <w:rsid w:val="18B2778A"/>
    <w:rsid w:val="18B40068"/>
    <w:rsid w:val="18B43325"/>
    <w:rsid w:val="18BC1226"/>
    <w:rsid w:val="18C3272C"/>
    <w:rsid w:val="18C80D5B"/>
    <w:rsid w:val="18C96E4C"/>
    <w:rsid w:val="18CD45C3"/>
    <w:rsid w:val="18D07816"/>
    <w:rsid w:val="18D27471"/>
    <w:rsid w:val="18D45952"/>
    <w:rsid w:val="18D63751"/>
    <w:rsid w:val="18D771F0"/>
    <w:rsid w:val="18E454B9"/>
    <w:rsid w:val="18E757E1"/>
    <w:rsid w:val="18E91412"/>
    <w:rsid w:val="18F356AC"/>
    <w:rsid w:val="18F45BA2"/>
    <w:rsid w:val="18F470D3"/>
    <w:rsid w:val="18F720F3"/>
    <w:rsid w:val="18FA1BDE"/>
    <w:rsid w:val="18FE3C0F"/>
    <w:rsid w:val="18FE6837"/>
    <w:rsid w:val="18FF4051"/>
    <w:rsid w:val="19006747"/>
    <w:rsid w:val="190E2D74"/>
    <w:rsid w:val="190F158D"/>
    <w:rsid w:val="191061F1"/>
    <w:rsid w:val="19140BA8"/>
    <w:rsid w:val="19155A3E"/>
    <w:rsid w:val="19175E02"/>
    <w:rsid w:val="191E2F8B"/>
    <w:rsid w:val="19212BB3"/>
    <w:rsid w:val="192252A0"/>
    <w:rsid w:val="192F4E41"/>
    <w:rsid w:val="19306658"/>
    <w:rsid w:val="1932246C"/>
    <w:rsid w:val="19334B3D"/>
    <w:rsid w:val="1934019F"/>
    <w:rsid w:val="19352849"/>
    <w:rsid w:val="193622D8"/>
    <w:rsid w:val="19376F6E"/>
    <w:rsid w:val="193B39B3"/>
    <w:rsid w:val="193B6B04"/>
    <w:rsid w:val="193C1CDB"/>
    <w:rsid w:val="19432476"/>
    <w:rsid w:val="19457133"/>
    <w:rsid w:val="194B4C86"/>
    <w:rsid w:val="195070AB"/>
    <w:rsid w:val="19526C77"/>
    <w:rsid w:val="19545BF2"/>
    <w:rsid w:val="195645B9"/>
    <w:rsid w:val="19573E8D"/>
    <w:rsid w:val="195846A8"/>
    <w:rsid w:val="195A572B"/>
    <w:rsid w:val="19616685"/>
    <w:rsid w:val="19622F5E"/>
    <w:rsid w:val="19762565"/>
    <w:rsid w:val="1977008B"/>
    <w:rsid w:val="1977321F"/>
    <w:rsid w:val="197D38E3"/>
    <w:rsid w:val="19802744"/>
    <w:rsid w:val="19814DA7"/>
    <w:rsid w:val="198937BC"/>
    <w:rsid w:val="198B6D5B"/>
    <w:rsid w:val="198D3D53"/>
    <w:rsid w:val="198F49A9"/>
    <w:rsid w:val="19930790"/>
    <w:rsid w:val="199332F6"/>
    <w:rsid w:val="199926F8"/>
    <w:rsid w:val="19A90B8D"/>
    <w:rsid w:val="19A93778"/>
    <w:rsid w:val="19AC1C8E"/>
    <w:rsid w:val="19AC5F87"/>
    <w:rsid w:val="19AF7825"/>
    <w:rsid w:val="19B24CE4"/>
    <w:rsid w:val="19B46E78"/>
    <w:rsid w:val="19BE3F0C"/>
    <w:rsid w:val="19CB7118"/>
    <w:rsid w:val="19CF6119"/>
    <w:rsid w:val="19CF6B1C"/>
    <w:rsid w:val="19D12263"/>
    <w:rsid w:val="19D63004"/>
    <w:rsid w:val="19D76D7C"/>
    <w:rsid w:val="19DB686C"/>
    <w:rsid w:val="19DE3827"/>
    <w:rsid w:val="19DE56BA"/>
    <w:rsid w:val="19E21F67"/>
    <w:rsid w:val="19E60D5F"/>
    <w:rsid w:val="19EA1DF8"/>
    <w:rsid w:val="19EC0A79"/>
    <w:rsid w:val="19ED66F3"/>
    <w:rsid w:val="19EF5A99"/>
    <w:rsid w:val="19F77872"/>
    <w:rsid w:val="19FD1A2C"/>
    <w:rsid w:val="19FF1D60"/>
    <w:rsid w:val="1A004B69"/>
    <w:rsid w:val="1A044015"/>
    <w:rsid w:val="1A057015"/>
    <w:rsid w:val="1A0A53A3"/>
    <w:rsid w:val="1A0A5C1B"/>
    <w:rsid w:val="1A0C14D1"/>
    <w:rsid w:val="1A0E4AA5"/>
    <w:rsid w:val="1A136006"/>
    <w:rsid w:val="1A1678A4"/>
    <w:rsid w:val="1A1A7675"/>
    <w:rsid w:val="1A1C66C0"/>
    <w:rsid w:val="1A253F8B"/>
    <w:rsid w:val="1A2C531A"/>
    <w:rsid w:val="1A2D7AAA"/>
    <w:rsid w:val="1A3E0932"/>
    <w:rsid w:val="1A3E4845"/>
    <w:rsid w:val="1A42393B"/>
    <w:rsid w:val="1A4239CB"/>
    <w:rsid w:val="1A4D6898"/>
    <w:rsid w:val="1A50725A"/>
    <w:rsid w:val="1A582E70"/>
    <w:rsid w:val="1A5A2DE1"/>
    <w:rsid w:val="1A5F6A15"/>
    <w:rsid w:val="1A6C1BBA"/>
    <w:rsid w:val="1A6E7F98"/>
    <w:rsid w:val="1A710E2A"/>
    <w:rsid w:val="1A714D3D"/>
    <w:rsid w:val="1A7A7E33"/>
    <w:rsid w:val="1A7B0F93"/>
    <w:rsid w:val="1A826D31"/>
    <w:rsid w:val="1A8962C8"/>
    <w:rsid w:val="1A8A3DEE"/>
    <w:rsid w:val="1A8B60F3"/>
    <w:rsid w:val="1A905843"/>
    <w:rsid w:val="1A96061B"/>
    <w:rsid w:val="1A975EF7"/>
    <w:rsid w:val="1A995465"/>
    <w:rsid w:val="1A9A4026"/>
    <w:rsid w:val="1A9C647F"/>
    <w:rsid w:val="1A9F5AEC"/>
    <w:rsid w:val="1AA0767C"/>
    <w:rsid w:val="1AA1138B"/>
    <w:rsid w:val="1AAD45DE"/>
    <w:rsid w:val="1AB250DF"/>
    <w:rsid w:val="1AB8095B"/>
    <w:rsid w:val="1ABA46D4"/>
    <w:rsid w:val="1ABC412F"/>
    <w:rsid w:val="1ABF7180"/>
    <w:rsid w:val="1ABF7F3C"/>
    <w:rsid w:val="1AC75042"/>
    <w:rsid w:val="1ACB4A8B"/>
    <w:rsid w:val="1ACB4B33"/>
    <w:rsid w:val="1ACF421E"/>
    <w:rsid w:val="1ACF4EEE"/>
    <w:rsid w:val="1AD75285"/>
    <w:rsid w:val="1AE532C2"/>
    <w:rsid w:val="1AE6371B"/>
    <w:rsid w:val="1AE75AAF"/>
    <w:rsid w:val="1AE87493"/>
    <w:rsid w:val="1AE92581"/>
    <w:rsid w:val="1AED4AA9"/>
    <w:rsid w:val="1AF20311"/>
    <w:rsid w:val="1AFA2B88"/>
    <w:rsid w:val="1AFA63AD"/>
    <w:rsid w:val="1AFC4CEC"/>
    <w:rsid w:val="1B046F80"/>
    <w:rsid w:val="1B0523FF"/>
    <w:rsid w:val="1B0B4F2F"/>
    <w:rsid w:val="1B0D6EF9"/>
    <w:rsid w:val="1B0E67CD"/>
    <w:rsid w:val="1B1436F0"/>
    <w:rsid w:val="1B234C9B"/>
    <w:rsid w:val="1B2840D9"/>
    <w:rsid w:val="1B2A7C8E"/>
    <w:rsid w:val="1B2B737F"/>
    <w:rsid w:val="1B3267B5"/>
    <w:rsid w:val="1B3A6F73"/>
    <w:rsid w:val="1B3E7FE4"/>
    <w:rsid w:val="1B40161D"/>
    <w:rsid w:val="1B410951"/>
    <w:rsid w:val="1B441859"/>
    <w:rsid w:val="1B45265B"/>
    <w:rsid w:val="1B4747B6"/>
    <w:rsid w:val="1B490E98"/>
    <w:rsid w:val="1B4A3025"/>
    <w:rsid w:val="1B4D553A"/>
    <w:rsid w:val="1B4F12C0"/>
    <w:rsid w:val="1B522B5E"/>
    <w:rsid w:val="1B544B28"/>
    <w:rsid w:val="1B5508A0"/>
    <w:rsid w:val="1B5563F0"/>
    <w:rsid w:val="1B5565C8"/>
    <w:rsid w:val="1B5C1C2F"/>
    <w:rsid w:val="1B6606B1"/>
    <w:rsid w:val="1B682381"/>
    <w:rsid w:val="1B695789"/>
    <w:rsid w:val="1B732BA1"/>
    <w:rsid w:val="1B762CF0"/>
    <w:rsid w:val="1B7658E2"/>
    <w:rsid w:val="1B7B0307"/>
    <w:rsid w:val="1B7D6BEA"/>
    <w:rsid w:val="1B8120B5"/>
    <w:rsid w:val="1B87021B"/>
    <w:rsid w:val="1B9F38C9"/>
    <w:rsid w:val="1BA20491"/>
    <w:rsid w:val="1BAA0AF2"/>
    <w:rsid w:val="1BAA0BEC"/>
    <w:rsid w:val="1BAC3E4E"/>
    <w:rsid w:val="1BAF1D5E"/>
    <w:rsid w:val="1BB14E59"/>
    <w:rsid w:val="1BBB416A"/>
    <w:rsid w:val="1BBD01E0"/>
    <w:rsid w:val="1BC83936"/>
    <w:rsid w:val="1BCB6AA7"/>
    <w:rsid w:val="1BCF4B8C"/>
    <w:rsid w:val="1BD14514"/>
    <w:rsid w:val="1BD417C5"/>
    <w:rsid w:val="1BD619E1"/>
    <w:rsid w:val="1BDC68CC"/>
    <w:rsid w:val="1BDE124D"/>
    <w:rsid w:val="1BE3033D"/>
    <w:rsid w:val="1BE7774A"/>
    <w:rsid w:val="1BEC092D"/>
    <w:rsid w:val="1BF30ADC"/>
    <w:rsid w:val="1BFB31F6"/>
    <w:rsid w:val="1BFC7309"/>
    <w:rsid w:val="1C0C4C1E"/>
    <w:rsid w:val="1C0C71B1"/>
    <w:rsid w:val="1C133137"/>
    <w:rsid w:val="1C18299F"/>
    <w:rsid w:val="1C1E6EE4"/>
    <w:rsid w:val="1C250273"/>
    <w:rsid w:val="1C253471"/>
    <w:rsid w:val="1C38518D"/>
    <w:rsid w:val="1C3C426C"/>
    <w:rsid w:val="1C3E1334"/>
    <w:rsid w:val="1C427076"/>
    <w:rsid w:val="1C4306F9"/>
    <w:rsid w:val="1C451E8D"/>
    <w:rsid w:val="1C4A101B"/>
    <w:rsid w:val="1C4E0858"/>
    <w:rsid w:val="1C4F52EF"/>
    <w:rsid w:val="1C592FF9"/>
    <w:rsid w:val="1C5D6CE6"/>
    <w:rsid w:val="1C5E7925"/>
    <w:rsid w:val="1C67332C"/>
    <w:rsid w:val="1C6D688A"/>
    <w:rsid w:val="1C6E7E6B"/>
    <w:rsid w:val="1C6F417C"/>
    <w:rsid w:val="1C71317B"/>
    <w:rsid w:val="1C751B4D"/>
    <w:rsid w:val="1C783E1E"/>
    <w:rsid w:val="1C796CC0"/>
    <w:rsid w:val="1C7C4FAA"/>
    <w:rsid w:val="1C7D5C81"/>
    <w:rsid w:val="1C7F6310"/>
    <w:rsid w:val="1C8165C7"/>
    <w:rsid w:val="1C827766"/>
    <w:rsid w:val="1C8925AF"/>
    <w:rsid w:val="1C8B186A"/>
    <w:rsid w:val="1C96041C"/>
    <w:rsid w:val="1C9E08E0"/>
    <w:rsid w:val="1CA34F4C"/>
    <w:rsid w:val="1CAA0778"/>
    <w:rsid w:val="1CAD4631"/>
    <w:rsid w:val="1CB17D58"/>
    <w:rsid w:val="1CB841CA"/>
    <w:rsid w:val="1CBD0BF0"/>
    <w:rsid w:val="1CC11027"/>
    <w:rsid w:val="1CC1746F"/>
    <w:rsid w:val="1CC31F3D"/>
    <w:rsid w:val="1CC45CDD"/>
    <w:rsid w:val="1CCA6B98"/>
    <w:rsid w:val="1CCE5D2E"/>
    <w:rsid w:val="1CCF6669"/>
    <w:rsid w:val="1CDA72AF"/>
    <w:rsid w:val="1CE04199"/>
    <w:rsid w:val="1CE161F5"/>
    <w:rsid w:val="1CE27781"/>
    <w:rsid w:val="1CE42735"/>
    <w:rsid w:val="1CE72814"/>
    <w:rsid w:val="1CE82086"/>
    <w:rsid w:val="1CEB326A"/>
    <w:rsid w:val="1CEB65DF"/>
    <w:rsid w:val="1CEC2B3E"/>
    <w:rsid w:val="1CEF7619"/>
    <w:rsid w:val="1CF33784"/>
    <w:rsid w:val="1CF617BC"/>
    <w:rsid w:val="1CF917A7"/>
    <w:rsid w:val="1CFB15A0"/>
    <w:rsid w:val="1CFD070F"/>
    <w:rsid w:val="1D0600A4"/>
    <w:rsid w:val="1D076D5E"/>
    <w:rsid w:val="1D084214"/>
    <w:rsid w:val="1D0E0D07"/>
    <w:rsid w:val="1D126D38"/>
    <w:rsid w:val="1D152095"/>
    <w:rsid w:val="1D225A6E"/>
    <w:rsid w:val="1D270E9D"/>
    <w:rsid w:val="1D273A22"/>
    <w:rsid w:val="1D3342DB"/>
    <w:rsid w:val="1D36584D"/>
    <w:rsid w:val="1D3A1AFC"/>
    <w:rsid w:val="1D4E4115"/>
    <w:rsid w:val="1D552DD9"/>
    <w:rsid w:val="1D571E02"/>
    <w:rsid w:val="1D5B4DC6"/>
    <w:rsid w:val="1D5F6196"/>
    <w:rsid w:val="1D6132A5"/>
    <w:rsid w:val="1D6C11CA"/>
    <w:rsid w:val="1D7165FD"/>
    <w:rsid w:val="1D794860"/>
    <w:rsid w:val="1D7B4A10"/>
    <w:rsid w:val="1D7B65A1"/>
    <w:rsid w:val="1D7C1643"/>
    <w:rsid w:val="1D7D4F81"/>
    <w:rsid w:val="1D7F16EB"/>
    <w:rsid w:val="1D814DB7"/>
    <w:rsid w:val="1D816DBF"/>
    <w:rsid w:val="1D862F93"/>
    <w:rsid w:val="1D8B05A9"/>
    <w:rsid w:val="1D8E56D5"/>
    <w:rsid w:val="1D8F38EF"/>
    <w:rsid w:val="1D90796E"/>
    <w:rsid w:val="1D917260"/>
    <w:rsid w:val="1D963C5A"/>
    <w:rsid w:val="1D9873A5"/>
    <w:rsid w:val="1D9A259A"/>
    <w:rsid w:val="1D9A4E1B"/>
    <w:rsid w:val="1D9B34A2"/>
    <w:rsid w:val="1DA70300"/>
    <w:rsid w:val="1DAF315C"/>
    <w:rsid w:val="1DB25B36"/>
    <w:rsid w:val="1DB751AC"/>
    <w:rsid w:val="1DB908BF"/>
    <w:rsid w:val="1DBC69B5"/>
    <w:rsid w:val="1DBD61A7"/>
    <w:rsid w:val="1DC31D56"/>
    <w:rsid w:val="1DC35F95"/>
    <w:rsid w:val="1DC37D43"/>
    <w:rsid w:val="1DC6338F"/>
    <w:rsid w:val="1DCB7E93"/>
    <w:rsid w:val="1DD12460"/>
    <w:rsid w:val="1DD31078"/>
    <w:rsid w:val="1DD43CFE"/>
    <w:rsid w:val="1DD91315"/>
    <w:rsid w:val="1DD957B9"/>
    <w:rsid w:val="1DD979BE"/>
    <w:rsid w:val="1DDB32DF"/>
    <w:rsid w:val="1DE047C6"/>
    <w:rsid w:val="1DE877AA"/>
    <w:rsid w:val="1DE93768"/>
    <w:rsid w:val="1DF75C3F"/>
    <w:rsid w:val="1DF84CBF"/>
    <w:rsid w:val="1DF93765"/>
    <w:rsid w:val="1DFB3993"/>
    <w:rsid w:val="1DFB5164"/>
    <w:rsid w:val="1E036392"/>
    <w:rsid w:val="1E054CC9"/>
    <w:rsid w:val="1E067C30"/>
    <w:rsid w:val="1E0A3BC4"/>
    <w:rsid w:val="1E0C0B57"/>
    <w:rsid w:val="1E0C16EA"/>
    <w:rsid w:val="1E0D5462"/>
    <w:rsid w:val="1E115081"/>
    <w:rsid w:val="1E195BB5"/>
    <w:rsid w:val="1E1F222A"/>
    <w:rsid w:val="1E220F0E"/>
    <w:rsid w:val="1E2419AF"/>
    <w:rsid w:val="1E262080"/>
    <w:rsid w:val="1E2B113A"/>
    <w:rsid w:val="1E326C0D"/>
    <w:rsid w:val="1E342A1C"/>
    <w:rsid w:val="1E34479D"/>
    <w:rsid w:val="1E380731"/>
    <w:rsid w:val="1E392745"/>
    <w:rsid w:val="1E393859"/>
    <w:rsid w:val="1E3B1FCF"/>
    <w:rsid w:val="1E3D2E33"/>
    <w:rsid w:val="1E4221DE"/>
    <w:rsid w:val="1E52011B"/>
    <w:rsid w:val="1E526701"/>
    <w:rsid w:val="1E535688"/>
    <w:rsid w:val="1E537319"/>
    <w:rsid w:val="1E607108"/>
    <w:rsid w:val="1E634270"/>
    <w:rsid w:val="1E6428E0"/>
    <w:rsid w:val="1E664002"/>
    <w:rsid w:val="1E674B72"/>
    <w:rsid w:val="1E727739"/>
    <w:rsid w:val="1E7A4110"/>
    <w:rsid w:val="1E7A43DA"/>
    <w:rsid w:val="1E7B6870"/>
    <w:rsid w:val="1E7E1EBC"/>
    <w:rsid w:val="1E7E3C6A"/>
    <w:rsid w:val="1E806D8A"/>
    <w:rsid w:val="1E831280"/>
    <w:rsid w:val="1E86139B"/>
    <w:rsid w:val="1E8759F3"/>
    <w:rsid w:val="1E8A260F"/>
    <w:rsid w:val="1E950C29"/>
    <w:rsid w:val="1E965B18"/>
    <w:rsid w:val="1E983954"/>
    <w:rsid w:val="1E9B246D"/>
    <w:rsid w:val="1E9C1F92"/>
    <w:rsid w:val="1E9C767B"/>
    <w:rsid w:val="1E9D139F"/>
    <w:rsid w:val="1EA27A4D"/>
    <w:rsid w:val="1EA41923"/>
    <w:rsid w:val="1EA825AB"/>
    <w:rsid w:val="1EAE2DD9"/>
    <w:rsid w:val="1EB57234"/>
    <w:rsid w:val="1EC43D73"/>
    <w:rsid w:val="1EC54878"/>
    <w:rsid w:val="1ECA1DD5"/>
    <w:rsid w:val="1ECA5FEF"/>
    <w:rsid w:val="1ECA6EAF"/>
    <w:rsid w:val="1ED0096A"/>
    <w:rsid w:val="1EDB2E6A"/>
    <w:rsid w:val="1EDD1822"/>
    <w:rsid w:val="1EDE67E5"/>
    <w:rsid w:val="1EE2069D"/>
    <w:rsid w:val="1EE30CEA"/>
    <w:rsid w:val="1EEF72D8"/>
    <w:rsid w:val="1EF1354B"/>
    <w:rsid w:val="1EF13911"/>
    <w:rsid w:val="1EF2469F"/>
    <w:rsid w:val="1EF5217E"/>
    <w:rsid w:val="1EF740FB"/>
    <w:rsid w:val="1EFC175F"/>
    <w:rsid w:val="1EFF07F4"/>
    <w:rsid w:val="1F017D5D"/>
    <w:rsid w:val="1F081BD7"/>
    <w:rsid w:val="1F10520A"/>
    <w:rsid w:val="1F152820"/>
    <w:rsid w:val="1F1545CE"/>
    <w:rsid w:val="1F196E7F"/>
    <w:rsid w:val="1F204D21"/>
    <w:rsid w:val="1F244811"/>
    <w:rsid w:val="1F2C5F1E"/>
    <w:rsid w:val="1F2D4DD8"/>
    <w:rsid w:val="1F30765A"/>
    <w:rsid w:val="1F310441"/>
    <w:rsid w:val="1F31742D"/>
    <w:rsid w:val="1F354072"/>
    <w:rsid w:val="1F3A5DE3"/>
    <w:rsid w:val="1F3F164B"/>
    <w:rsid w:val="1F4B6242"/>
    <w:rsid w:val="1F4D3D68"/>
    <w:rsid w:val="1F4E5D32"/>
    <w:rsid w:val="1F502710"/>
    <w:rsid w:val="1F511F82"/>
    <w:rsid w:val="1F51492C"/>
    <w:rsid w:val="1F63002C"/>
    <w:rsid w:val="1F64288F"/>
    <w:rsid w:val="1F7A63FD"/>
    <w:rsid w:val="1F7B1B7C"/>
    <w:rsid w:val="1F802E8E"/>
    <w:rsid w:val="1F817EB6"/>
    <w:rsid w:val="1F841754"/>
    <w:rsid w:val="1F8800CF"/>
    <w:rsid w:val="1F8A5DA8"/>
    <w:rsid w:val="1F8B1FA7"/>
    <w:rsid w:val="1F9000F9"/>
    <w:rsid w:val="1F903C55"/>
    <w:rsid w:val="1F9C5E34"/>
    <w:rsid w:val="1F9D69FC"/>
    <w:rsid w:val="1F9E4E56"/>
    <w:rsid w:val="1FA47700"/>
    <w:rsid w:val="1FAF67D1"/>
    <w:rsid w:val="1FB2006F"/>
    <w:rsid w:val="1FB77434"/>
    <w:rsid w:val="1FB9734B"/>
    <w:rsid w:val="1FBB4BD6"/>
    <w:rsid w:val="1FC61FBB"/>
    <w:rsid w:val="1FCD4EA9"/>
    <w:rsid w:val="1FD10527"/>
    <w:rsid w:val="1FD47FE6"/>
    <w:rsid w:val="1FD9384E"/>
    <w:rsid w:val="1FDB3B0B"/>
    <w:rsid w:val="1FE548C7"/>
    <w:rsid w:val="1FE70AFA"/>
    <w:rsid w:val="1FE7539E"/>
    <w:rsid w:val="1FF02384"/>
    <w:rsid w:val="1FF97A4C"/>
    <w:rsid w:val="1FFB1A16"/>
    <w:rsid w:val="1FFB7C68"/>
    <w:rsid w:val="20052895"/>
    <w:rsid w:val="200563F1"/>
    <w:rsid w:val="200B5F1D"/>
    <w:rsid w:val="201B3E66"/>
    <w:rsid w:val="201E3957"/>
    <w:rsid w:val="201F4F8C"/>
    <w:rsid w:val="20250841"/>
    <w:rsid w:val="202C4C92"/>
    <w:rsid w:val="20322F5E"/>
    <w:rsid w:val="20347C60"/>
    <w:rsid w:val="20365F39"/>
    <w:rsid w:val="2037160E"/>
    <w:rsid w:val="20450EE3"/>
    <w:rsid w:val="20466E53"/>
    <w:rsid w:val="204C2272"/>
    <w:rsid w:val="204D5FEA"/>
    <w:rsid w:val="204E53F7"/>
    <w:rsid w:val="205245F4"/>
    <w:rsid w:val="205C383A"/>
    <w:rsid w:val="20601879"/>
    <w:rsid w:val="20621A95"/>
    <w:rsid w:val="206524E5"/>
    <w:rsid w:val="20671BE0"/>
    <w:rsid w:val="20673EB8"/>
    <w:rsid w:val="206A26F8"/>
    <w:rsid w:val="206D3F96"/>
    <w:rsid w:val="206E6121"/>
    <w:rsid w:val="20775413"/>
    <w:rsid w:val="207B2B57"/>
    <w:rsid w:val="207B4905"/>
    <w:rsid w:val="208631DE"/>
    <w:rsid w:val="20947775"/>
    <w:rsid w:val="20963CB8"/>
    <w:rsid w:val="20A235B8"/>
    <w:rsid w:val="20A51982"/>
    <w:rsid w:val="20A65B06"/>
    <w:rsid w:val="20A7715D"/>
    <w:rsid w:val="20A81A1B"/>
    <w:rsid w:val="20AF683C"/>
    <w:rsid w:val="20B06D0A"/>
    <w:rsid w:val="20B07FB6"/>
    <w:rsid w:val="20B646FB"/>
    <w:rsid w:val="20B6593D"/>
    <w:rsid w:val="20B70619"/>
    <w:rsid w:val="20BD5F40"/>
    <w:rsid w:val="20C473D6"/>
    <w:rsid w:val="20C53DD2"/>
    <w:rsid w:val="20C61E70"/>
    <w:rsid w:val="20CB083F"/>
    <w:rsid w:val="20CF69FF"/>
    <w:rsid w:val="20D504B9"/>
    <w:rsid w:val="20D93FCC"/>
    <w:rsid w:val="20DB53A4"/>
    <w:rsid w:val="20DC7CCA"/>
    <w:rsid w:val="20DD736E"/>
    <w:rsid w:val="20E41F8D"/>
    <w:rsid w:val="20E83BDD"/>
    <w:rsid w:val="20EE157B"/>
    <w:rsid w:val="20EE50D7"/>
    <w:rsid w:val="20F11D81"/>
    <w:rsid w:val="20F14BC7"/>
    <w:rsid w:val="20F51A7A"/>
    <w:rsid w:val="20F6042F"/>
    <w:rsid w:val="20F956A3"/>
    <w:rsid w:val="20FD6F5D"/>
    <w:rsid w:val="20FF525D"/>
    <w:rsid w:val="21020B82"/>
    <w:rsid w:val="210668C5"/>
    <w:rsid w:val="210C37AF"/>
    <w:rsid w:val="210C783E"/>
    <w:rsid w:val="210F504D"/>
    <w:rsid w:val="21107C54"/>
    <w:rsid w:val="21154D5A"/>
    <w:rsid w:val="21155E4F"/>
    <w:rsid w:val="21166A94"/>
    <w:rsid w:val="21167D9E"/>
    <w:rsid w:val="211846B7"/>
    <w:rsid w:val="21275C65"/>
    <w:rsid w:val="212C128C"/>
    <w:rsid w:val="212E5E1B"/>
    <w:rsid w:val="21303453"/>
    <w:rsid w:val="21303941"/>
    <w:rsid w:val="21331AEE"/>
    <w:rsid w:val="2136082C"/>
    <w:rsid w:val="2136263D"/>
    <w:rsid w:val="213B74B1"/>
    <w:rsid w:val="213D54C1"/>
    <w:rsid w:val="213F5933"/>
    <w:rsid w:val="21435E4B"/>
    <w:rsid w:val="21442F49"/>
    <w:rsid w:val="21457588"/>
    <w:rsid w:val="21462CF9"/>
    <w:rsid w:val="214815A8"/>
    <w:rsid w:val="21486EDD"/>
    <w:rsid w:val="214B2529"/>
    <w:rsid w:val="215319AD"/>
    <w:rsid w:val="2153584A"/>
    <w:rsid w:val="21582E98"/>
    <w:rsid w:val="2159704D"/>
    <w:rsid w:val="215A2310"/>
    <w:rsid w:val="215C4736"/>
    <w:rsid w:val="215E639F"/>
    <w:rsid w:val="216B497A"/>
    <w:rsid w:val="216E7FC6"/>
    <w:rsid w:val="21702385"/>
    <w:rsid w:val="217575A6"/>
    <w:rsid w:val="21787096"/>
    <w:rsid w:val="217A775E"/>
    <w:rsid w:val="217C6B87"/>
    <w:rsid w:val="21837F15"/>
    <w:rsid w:val="21845A3B"/>
    <w:rsid w:val="21863561"/>
    <w:rsid w:val="21871088"/>
    <w:rsid w:val="218839EC"/>
    <w:rsid w:val="21921F06"/>
    <w:rsid w:val="21957C48"/>
    <w:rsid w:val="219A6A7B"/>
    <w:rsid w:val="219C2F65"/>
    <w:rsid w:val="219C6421"/>
    <w:rsid w:val="21A43E37"/>
    <w:rsid w:val="21A97250"/>
    <w:rsid w:val="21AA2DB3"/>
    <w:rsid w:val="21AD6D40"/>
    <w:rsid w:val="21B24356"/>
    <w:rsid w:val="21B43FEB"/>
    <w:rsid w:val="21B70496"/>
    <w:rsid w:val="21BA76AF"/>
    <w:rsid w:val="21BC576A"/>
    <w:rsid w:val="21BF0821"/>
    <w:rsid w:val="21C010A5"/>
    <w:rsid w:val="21C91D49"/>
    <w:rsid w:val="21D01DDA"/>
    <w:rsid w:val="21D172DC"/>
    <w:rsid w:val="21D4251F"/>
    <w:rsid w:val="21D47F5E"/>
    <w:rsid w:val="21D534C8"/>
    <w:rsid w:val="21D9264D"/>
    <w:rsid w:val="21DE318A"/>
    <w:rsid w:val="21E14C3C"/>
    <w:rsid w:val="21E169EA"/>
    <w:rsid w:val="21E93AF0"/>
    <w:rsid w:val="21E95CE4"/>
    <w:rsid w:val="21EA27D2"/>
    <w:rsid w:val="21EC4122"/>
    <w:rsid w:val="21EF5B80"/>
    <w:rsid w:val="21F26B5D"/>
    <w:rsid w:val="21F73A2D"/>
    <w:rsid w:val="21F872EB"/>
    <w:rsid w:val="22023A3F"/>
    <w:rsid w:val="220A5F40"/>
    <w:rsid w:val="220C2FA2"/>
    <w:rsid w:val="22106C59"/>
    <w:rsid w:val="221072CF"/>
    <w:rsid w:val="22171248"/>
    <w:rsid w:val="2217240B"/>
    <w:rsid w:val="221E19EC"/>
    <w:rsid w:val="221F7512"/>
    <w:rsid w:val="222248DF"/>
    <w:rsid w:val="22230DB0"/>
    <w:rsid w:val="222D4B7C"/>
    <w:rsid w:val="22357465"/>
    <w:rsid w:val="223A511A"/>
    <w:rsid w:val="223B0D62"/>
    <w:rsid w:val="223B259E"/>
    <w:rsid w:val="22492B40"/>
    <w:rsid w:val="224A27E1"/>
    <w:rsid w:val="224C6559"/>
    <w:rsid w:val="224D1A5F"/>
    <w:rsid w:val="224E784D"/>
    <w:rsid w:val="22525502"/>
    <w:rsid w:val="22525B39"/>
    <w:rsid w:val="22532A8E"/>
    <w:rsid w:val="2254426B"/>
    <w:rsid w:val="22576990"/>
    <w:rsid w:val="225777EA"/>
    <w:rsid w:val="225B679C"/>
    <w:rsid w:val="225C34E1"/>
    <w:rsid w:val="2265175A"/>
    <w:rsid w:val="226A4C31"/>
    <w:rsid w:val="226D64CF"/>
    <w:rsid w:val="226E1036"/>
    <w:rsid w:val="227710FC"/>
    <w:rsid w:val="227D2BB6"/>
    <w:rsid w:val="227F4D69"/>
    <w:rsid w:val="228757AF"/>
    <w:rsid w:val="22885820"/>
    <w:rsid w:val="228D0920"/>
    <w:rsid w:val="228D0B2B"/>
    <w:rsid w:val="229E781B"/>
    <w:rsid w:val="22A0050B"/>
    <w:rsid w:val="22A13A6D"/>
    <w:rsid w:val="22A2261D"/>
    <w:rsid w:val="22A46395"/>
    <w:rsid w:val="22AB1C1C"/>
    <w:rsid w:val="22B365D8"/>
    <w:rsid w:val="22B50492"/>
    <w:rsid w:val="22B9432E"/>
    <w:rsid w:val="22BB548D"/>
    <w:rsid w:val="22C205C9"/>
    <w:rsid w:val="22C32F28"/>
    <w:rsid w:val="22C34341"/>
    <w:rsid w:val="22C51354"/>
    <w:rsid w:val="22CA56D0"/>
    <w:rsid w:val="22D121FB"/>
    <w:rsid w:val="22D12F89"/>
    <w:rsid w:val="22D9192F"/>
    <w:rsid w:val="22DA41CE"/>
    <w:rsid w:val="22DB78DD"/>
    <w:rsid w:val="22E83DA8"/>
    <w:rsid w:val="22E973C1"/>
    <w:rsid w:val="22EC5646"/>
    <w:rsid w:val="22ED71CD"/>
    <w:rsid w:val="22F0540B"/>
    <w:rsid w:val="22F46501"/>
    <w:rsid w:val="22F47480"/>
    <w:rsid w:val="22FC32BB"/>
    <w:rsid w:val="22FD4884"/>
    <w:rsid w:val="23010E45"/>
    <w:rsid w:val="2302130E"/>
    <w:rsid w:val="230227A2"/>
    <w:rsid w:val="230339DB"/>
    <w:rsid w:val="23042C3F"/>
    <w:rsid w:val="23045086"/>
    <w:rsid w:val="23052BAC"/>
    <w:rsid w:val="230722D5"/>
    <w:rsid w:val="23093BF2"/>
    <w:rsid w:val="23151041"/>
    <w:rsid w:val="2318643B"/>
    <w:rsid w:val="23270F67"/>
    <w:rsid w:val="232B2612"/>
    <w:rsid w:val="23353491"/>
    <w:rsid w:val="23386ADD"/>
    <w:rsid w:val="23403BE4"/>
    <w:rsid w:val="23451001"/>
    <w:rsid w:val="234C2589"/>
    <w:rsid w:val="234D4382"/>
    <w:rsid w:val="234D5002"/>
    <w:rsid w:val="23502079"/>
    <w:rsid w:val="23580F2E"/>
    <w:rsid w:val="235C0A1E"/>
    <w:rsid w:val="235D4796"/>
    <w:rsid w:val="235E3DED"/>
    <w:rsid w:val="23624DB5"/>
    <w:rsid w:val="236E3309"/>
    <w:rsid w:val="237377C7"/>
    <w:rsid w:val="23753F06"/>
    <w:rsid w:val="237C2E6E"/>
    <w:rsid w:val="237C7FD3"/>
    <w:rsid w:val="238345EB"/>
    <w:rsid w:val="23844F6C"/>
    <w:rsid w:val="23867849"/>
    <w:rsid w:val="2398654C"/>
    <w:rsid w:val="239B2269"/>
    <w:rsid w:val="239E6529"/>
    <w:rsid w:val="239F08A1"/>
    <w:rsid w:val="23A260EE"/>
    <w:rsid w:val="23A756FE"/>
    <w:rsid w:val="23A92B1C"/>
    <w:rsid w:val="23AD2A56"/>
    <w:rsid w:val="23AF3E8B"/>
    <w:rsid w:val="23AF726E"/>
    <w:rsid w:val="23B02B18"/>
    <w:rsid w:val="23B27A99"/>
    <w:rsid w:val="23B60FC1"/>
    <w:rsid w:val="23BC2D52"/>
    <w:rsid w:val="23C43527"/>
    <w:rsid w:val="23C74E66"/>
    <w:rsid w:val="23D06D16"/>
    <w:rsid w:val="23D22A8E"/>
    <w:rsid w:val="23DA1B50"/>
    <w:rsid w:val="23DE1C48"/>
    <w:rsid w:val="23E05F11"/>
    <w:rsid w:val="23EC65F4"/>
    <w:rsid w:val="23ED3D6C"/>
    <w:rsid w:val="23FC3FAF"/>
    <w:rsid w:val="23FE6BEB"/>
    <w:rsid w:val="23FF584D"/>
    <w:rsid w:val="240074B3"/>
    <w:rsid w:val="240210CD"/>
    <w:rsid w:val="240A1454"/>
    <w:rsid w:val="240D0A6F"/>
    <w:rsid w:val="240E783E"/>
    <w:rsid w:val="2416517D"/>
    <w:rsid w:val="241C09BC"/>
    <w:rsid w:val="24210E46"/>
    <w:rsid w:val="2426751B"/>
    <w:rsid w:val="24280900"/>
    <w:rsid w:val="242B1A8A"/>
    <w:rsid w:val="242F3360"/>
    <w:rsid w:val="24302E90"/>
    <w:rsid w:val="24305A06"/>
    <w:rsid w:val="24311EAA"/>
    <w:rsid w:val="24324FC7"/>
    <w:rsid w:val="24364169"/>
    <w:rsid w:val="24375129"/>
    <w:rsid w:val="243A62E1"/>
    <w:rsid w:val="24466FD8"/>
    <w:rsid w:val="244A2F6C"/>
    <w:rsid w:val="244D65B8"/>
    <w:rsid w:val="244D6BB4"/>
    <w:rsid w:val="24510B78"/>
    <w:rsid w:val="245636BF"/>
    <w:rsid w:val="24574D2F"/>
    <w:rsid w:val="24612064"/>
    <w:rsid w:val="24651B54"/>
    <w:rsid w:val="246B0A5C"/>
    <w:rsid w:val="246B2680"/>
    <w:rsid w:val="246F29D3"/>
    <w:rsid w:val="247213BB"/>
    <w:rsid w:val="247955FF"/>
    <w:rsid w:val="247A3BCF"/>
    <w:rsid w:val="247A4C9D"/>
    <w:rsid w:val="247D0F86"/>
    <w:rsid w:val="248C70E1"/>
    <w:rsid w:val="24901B57"/>
    <w:rsid w:val="24990604"/>
    <w:rsid w:val="249A18B6"/>
    <w:rsid w:val="249C4E4A"/>
    <w:rsid w:val="24A00DDE"/>
    <w:rsid w:val="24A020FD"/>
    <w:rsid w:val="24A14A8B"/>
    <w:rsid w:val="24A55F24"/>
    <w:rsid w:val="24A972A7"/>
    <w:rsid w:val="24AA677E"/>
    <w:rsid w:val="24AC1531"/>
    <w:rsid w:val="24AF7273"/>
    <w:rsid w:val="24B01BD1"/>
    <w:rsid w:val="24B403E6"/>
    <w:rsid w:val="24BB0C9B"/>
    <w:rsid w:val="24BF09F7"/>
    <w:rsid w:val="24BF727F"/>
    <w:rsid w:val="24C26858"/>
    <w:rsid w:val="24C26FA6"/>
    <w:rsid w:val="24C51723"/>
    <w:rsid w:val="24C56B78"/>
    <w:rsid w:val="24C7636B"/>
    <w:rsid w:val="24CC1BD3"/>
    <w:rsid w:val="24D23759"/>
    <w:rsid w:val="24DE3A8A"/>
    <w:rsid w:val="24E16D01"/>
    <w:rsid w:val="24E4622E"/>
    <w:rsid w:val="24E83D02"/>
    <w:rsid w:val="24E842A0"/>
    <w:rsid w:val="24EF35A7"/>
    <w:rsid w:val="24F627AC"/>
    <w:rsid w:val="24F84776"/>
    <w:rsid w:val="24F86524"/>
    <w:rsid w:val="25012AC9"/>
    <w:rsid w:val="25023740"/>
    <w:rsid w:val="250E0B9D"/>
    <w:rsid w:val="25145328"/>
    <w:rsid w:val="25186BC6"/>
    <w:rsid w:val="251A0B90"/>
    <w:rsid w:val="251A395F"/>
    <w:rsid w:val="252206FC"/>
    <w:rsid w:val="252375A1"/>
    <w:rsid w:val="25266D60"/>
    <w:rsid w:val="25292B82"/>
    <w:rsid w:val="252D53FE"/>
    <w:rsid w:val="2530657B"/>
    <w:rsid w:val="25317C88"/>
    <w:rsid w:val="25322AEC"/>
    <w:rsid w:val="25355754"/>
    <w:rsid w:val="25384F68"/>
    <w:rsid w:val="25421E95"/>
    <w:rsid w:val="254701D7"/>
    <w:rsid w:val="254A0D4A"/>
    <w:rsid w:val="25506DE7"/>
    <w:rsid w:val="255B2F57"/>
    <w:rsid w:val="255F2A47"/>
    <w:rsid w:val="25642B1A"/>
    <w:rsid w:val="256718FC"/>
    <w:rsid w:val="256E2C8A"/>
    <w:rsid w:val="2575265A"/>
    <w:rsid w:val="2576226F"/>
    <w:rsid w:val="25777D91"/>
    <w:rsid w:val="2579618A"/>
    <w:rsid w:val="257D111F"/>
    <w:rsid w:val="257F27A2"/>
    <w:rsid w:val="25801633"/>
    <w:rsid w:val="2580476C"/>
    <w:rsid w:val="2581437A"/>
    <w:rsid w:val="25826736"/>
    <w:rsid w:val="25867FD4"/>
    <w:rsid w:val="25884E57"/>
    <w:rsid w:val="25896B32"/>
    <w:rsid w:val="258B383C"/>
    <w:rsid w:val="258D4A38"/>
    <w:rsid w:val="259049AF"/>
    <w:rsid w:val="2593449F"/>
    <w:rsid w:val="259A582D"/>
    <w:rsid w:val="25A93CC2"/>
    <w:rsid w:val="25AC432A"/>
    <w:rsid w:val="25AF7C37"/>
    <w:rsid w:val="25BC7FE5"/>
    <w:rsid w:val="25C74149"/>
    <w:rsid w:val="25CA6327"/>
    <w:rsid w:val="25D238C2"/>
    <w:rsid w:val="25D32AED"/>
    <w:rsid w:val="25D532F5"/>
    <w:rsid w:val="25D7082F"/>
    <w:rsid w:val="25D91447"/>
    <w:rsid w:val="25E14378"/>
    <w:rsid w:val="25EC2D81"/>
    <w:rsid w:val="25EC3BAF"/>
    <w:rsid w:val="25ED78CC"/>
    <w:rsid w:val="25EE406E"/>
    <w:rsid w:val="25EE5B79"/>
    <w:rsid w:val="25EF6C49"/>
    <w:rsid w:val="25F80363"/>
    <w:rsid w:val="25FA33D7"/>
    <w:rsid w:val="25FA451E"/>
    <w:rsid w:val="25FB7DFA"/>
    <w:rsid w:val="25FC570B"/>
    <w:rsid w:val="25FD157D"/>
    <w:rsid w:val="26022290"/>
    <w:rsid w:val="26061115"/>
    <w:rsid w:val="260C1366"/>
    <w:rsid w:val="260C3BF8"/>
    <w:rsid w:val="26105AEF"/>
    <w:rsid w:val="261A696E"/>
    <w:rsid w:val="261D5164"/>
    <w:rsid w:val="261D5C26"/>
    <w:rsid w:val="261F1582"/>
    <w:rsid w:val="262275D1"/>
    <w:rsid w:val="26233A75"/>
    <w:rsid w:val="26290526"/>
    <w:rsid w:val="262923F6"/>
    <w:rsid w:val="262A010B"/>
    <w:rsid w:val="26326399"/>
    <w:rsid w:val="26345C82"/>
    <w:rsid w:val="26355556"/>
    <w:rsid w:val="26461511"/>
    <w:rsid w:val="26490757"/>
    <w:rsid w:val="264B4D7A"/>
    <w:rsid w:val="264D0B0B"/>
    <w:rsid w:val="26527EB6"/>
    <w:rsid w:val="265500DB"/>
    <w:rsid w:val="26554BA2"/>
    <w:rsid w:val="26575089"/>
    <w:rsid w:val="265D00EF"/>
    <w:rsid w:val="265F23FB"/>
    <w:rsid w:val="265F42E5"/>
    <w:rsid w:val="26675339"/>
    <w:rsid w:val="266801EC"/>
    <w:rsid w:val="26707BFD"/>
    <w:rsid w:val="26730B70"/>
    <w:rsid w:val="267728FE"/>
    <w:rsid w:val="26773A40"/>
    <w:rsid w:val="26774667"/>
    <w:rsid w:val="26782D8B"/>
    <w:rsid w:val="267B4ABE"/>
    <w:rsid w:val="26802413"/>
    <w:rsid w:val="26881B2A"/>
    <w:rsid w:val="268868C6"/>
    <w:rsid w:val="268A3AF3"/>
    <w:rsid w:val="26937070"/>
    <w:rsid w:val="26993BB7"/>
    <w:rsid w:val="269A068B"/>
    <w:rsid w:val="26A01315"/>
    <w:rsid w:val="26A30712"/>
    <w:rsid w:val="26A7372A"/>
    <w:rsid w:val="26AD1F5C"/>
    <w:rsid w:val="26AF70B6"/>
    <w:rsid w:val="26B0669F"/>
    <w:rsid w:val="26B172D2"/>
    <w:rsid w:val="26B25CB6"/>
    <w:rsid w:val="26C02C7C"/>
    <w:rsid w:val="26C22739"/>
    <w:rsid w:val="26C2719B"/>
    <w:rsid w:val="26C32B62"/>
    <w:rsid w:val="26C95C8A"/>
    <w:rsid w:val="26CD7731"/>
    <w:rsid w:val="26D37A9A"/>
    <w:rsid w:val="26D42FC1"/>
    <w:rsid w:val="26D751C9"/>
    <w:rsid w:val="26DD4469"/>
    <w:rsid w:val="26DD68A6"/>
    <w:rsid w:val="26DE174A"/>
    <w:rsid w:val="26DE799C"/>
    <w:rsid w:val="26E1252E"/>
    <w:rsid w:val="26E52AD8"/>
    <w:rsid w:val="26E72CF4"/>
    <w:rsid w:val="26E8614E"/>
    <w:rsid w:val="26EF1BA9"/>
    <w:rsid w:val="26F36771"/>
    <w:rsid w:val="26F6667B"/>
    <w:rsid w:val="26F75FB5"/>
    <w:rsid w:val="2702368A"/>
    <w:rsid w:val="27026F7D"/>
    <w:rsid w:val="270365B6"/>
    <w:rsid w:val="270D4219"/>
    <w:rsid w:val="27107C76"/>
    <w:rsid w:val="27127645"/>
    <w:rsid w:val="27182E78"/>
    <w:rsid w:val="271B0BF0"/>
    <w:rsid w:val="27201D62"/>
    <w:rsid w:val="272950BB"/>
    <w:rsid w:val="272C2E7E"/>
    <w:rsid w:val="2736379E"/>
    <w:rsid w:val="27364CD2"/>
    <w:rsid w:val="2738300C"/>
    <w:rsid w:val="2753038A"/>
    <w:rsid w:val="275E5EB1"/>
    <w:rsid w:val="2762425F"/>
    <w:rsid w:val="27645958"/>
    <w:rsid w:val="276A6AC7"/>
    <w:rsid w:val="276E51C4"/>
    <w:rsid w:val="277057A2"/>
    <w:rsid w:val="27734588"/>
    <w:rsid w:val="277463FD"/>
    <w:rsid w:val="277C5005"/>
    <w:rsid w:val="277C6476"/>
    <w:rsid w:val="277D0F63"/>
    <w:rsid w:val="277F117F"/>
    <w:rsid w:val="27811702"/>
    <w:rsid w:val="27871429"/>
    <w:rsid w:val="27894A00"/>
    <w:rsid w:val="278F0C96"/>
    <w:rsid w:val="27906EE8"/>
    <w:rsid w:val="27934C2A"/>
    <w:rsid w:val="2797250D"/>
    <w:rsid w:val="279F537D"/>
    <w:rsid w:val="279F712B"/>
    <w:rsid w:val="27A02EA3"/>
    <w:rsid w:val="27A50616"/>
    <w:rsid w:val="27A961FC"/>
    <w:rsid w:val="27B01338"/>
    <w:rsid w:val="27B349B0"/>
    <w:rsid w:val="27BA4E27"/>
    <w:rsid w:val="27BB69CA"/>
    <w:rsid w:val="27BC5F2F"/>
    <w:rsid w:val="27C052F3"/>
    <w:rsid w:val="27C2106B"/>
    <w:rsid w:val="27C528E9"/>
    <w:rsid w:val="27C83FC7"/>
    <w:rsid w:val="27CA2E76"/>
    <w:rsid w:val="27CA411A"/>
    <w:rsid w:val="27CB0C61"/>
    <w:rsid w:val="27CB36FC"/>
    <w:rsid w:val="27CB6172"/>
    <w:rsid w:val="27CB7F20"/>
    <w:rsid w:val="27CE64E0"/>
    <w:rsid w:val="27CF0D33"/>
    <w:rsid w:val="27D165A2"/>
    <w:rsid w:val="27D61381"/>
    <w:rsid w:val="27DA0163"/>
    <w:rsid w:val="27DA4607"/>
    <w:rsid w:val="27E15995"/>
    <w:rsid w:val="27E170DE"/>
    <w:rsid w:val="27E63962"/>
    <w:rsid w:val="27EC0339"/>
    <w:rsid w:val="27EC60E8"/>
    <w:rsid w:val="27ED066B"/>
    <w:rsid w:val="27F6220F"/>
    <w:rsid w:val="27F67CAD"/>
    <w:rsid w:val="27F8683B"/>
    <w:rsid w:val="27FC473B"/>
    <w:rsid w:val="27FC54C9"/>
    <w:rsid w:val="27FF5E1C"/>
    <w:rsid w:val="2801645C"/>
    <w:rsid w:val="280A69B3"/>
    <w:rsid w:val="2815563F"/>
    <w:rsid w:val="28173165"/>
    <w:rsid w:val="28230735"/>
    <w:rsid w:val="28245882"/>
    <w:rsid w:val="282569DC"/>
    <w:rsid w:val="282910EA"/>
    <w:rsid w:val="28305FD5"/>
    <w:rsid w:val="28333D17"/>
    <w:rsid w:val="28341F69"/>
    <w:rsid w:val="283F06D6"/>
    <w:rsid w:val="28480BDC"/>
    <w:rsid w:val="28485A15"/>
    <w:rsid w:val="285056E3"/>
    <w:rsid w:val="28625A0D"/>
    <w:rsid w:val="286D40BC"/>
    <w:rsid w:val="286D547B"/>
    <w:rsid w:val="286E4893"/>
    <w:rsid w:val="287064F9"/>
    <w:rsid w:val="28711B50"/>
    <w:rsid w:val="28714E9D"/>
    <w:rsid w:val="2876140E"/>
    <w:rsid w:val="28803712"/>
    <w:rsid w:val="28836A4D"/>
    <w:rsid w:val="28844573"/>
    <w:rsid w:val="288A00A4"/>
    <w:rsid w:val="288A1B89"/>
    <w:rsid w:val="288D3427"/>
    <w:rsid w:val="289901CD"/>
    <w:rsid w:val="289A5B44"/>
    <w:rsid w:val="289A6CA9"/>
    <w:rsid w:val="289E0BEF"/>
    <w:rsid w:val="28A013AD"/>
    <w:rsid w:val="28A864B3"/>
    <w:rsid w:val="28AF7842"/>
    <w:rsid w:val="28B05368"/>
    <w:rsid w:val="28B90367"/>
    <w:rsid w:val="28BB5181"/>
    <w:rsid w:val="28C0181B"/>
    <w:rsid w:val="28C055AB"/>
    <w:rsid w:val="28C114CB"/>
    <w:rsid w:val="28C12636"/>
    <w:rsid w:val="28C22AF5"/>
    <w:rsid w:val="28C6024F"/>
    <w:rsid w:val="28C82DA7"/>
    <w:rsid w:val="28CB3F50"/>
    <w:rsid w:val="28D41F8A"/>
    <w:rsid w:val="28D51396"/>
    <w:rsid w:val="28DB23E5"/>
    <w:rsid w:val="28E3573D"/>
    <w:rsid w:val="28E84B02"/>
    <w:rsid w:val="28E8751C"/>
    <w:rsid w:val="28EA6ACC"/>
    <w:rsid w:val="28EF40E2"/>
    <w:rsid w:val="290319E9"/>
    <w:rsid w:val="29037624"/>
    <w:rsid w:val="29051210"/>
    <w:rsid w:val="2912392D"/>
    <w:rsid w:val="291C47AB"/>
    <w:rsid w:val="291D29FD"/>
    <w:rsid w:val="291E49C7"/>
    <w:rsid w:val="29206EB8"/>
    <w:rsid w:val="292C0E92"/>
    <w:rsid w:val="2936586D"/>
    <w:rsid w:val="293A128F"/>
    <w:rsid w:val="293A2302"/>
    <w:rsid w:val="293F0FBC"/>
    <w:rsid w:val="29405A28"/>
    <w:rsid w:val="29407343"/>
    <w:rsid w:val="29422464"/>
    <w:rsid w:val="294A756A"/>
    <w:rsid w:val="294D1FF0"/>
    <w:rsid w:val="294E705B"/>
    <w:rsid w:val="295313EB"/>
    <w:rsid w:val="29595666"/>
    <w:rsid w:val="295C2DFA"/>
    <w:rsid w:val="295D54F0"/>
    <w:rsid w:val="295E6B72"/>
    <w:rsid w:val="296543A4"/>
    <w:rsid w:val="29657F00"/>
    <w:rsid w:val="2967011C"/>
    <w:rsid w:val="29672844"/>
    <w:rsid w:val="296D0D14"/>
    <w:rsid w:val="296D5007"/>
    <w:rsid w:val="296D7A74"/>
    <w:rsid w:val="29714AD8"/>
    <w:rsid w:val="297621BD"/>
    <w:rsid w:val="29802F8C"/>
    <w:rsid w:val="298078CA"/>
    <w:rsid w:val="29844510"/>
    <w:rsid w:val="2984482A"/>
    <w:rsid w:val="29862BBA"/>
    <w:rsid w:val="29874881"/>
    <w:rsid w:val="298760C9"/>
    <w:rsid w:val="298E79EF"/>
    <w:rsid w:val="29944736"/>
    <w:rsid w:val="2995461C"/>
    <w:rsid w:val="29961F06"/>
    <w:rsid w:val="29985B65"/>
    <w:rsid w:val="299A404E"/>
    <w:rsid w:val="299F78B6"/>
    <w:rsid w:val="29A273A6"/>
    <w:rsid w:val="29A749BD"/>
    <w:rsid w:val="29B30428"/>
    <w:rsid w:val="29B36EBE"/>
    <w:rsid w:val="29B669AE"/>
    <w:rsid w:val="29B81A52"/>
    <w:rsid w:val="29B9024C"/>
    <w:rsid w:val="29BD3630"/>
    <w:rsid w:val="29C3473D"/>
    <w:rsid w:val="29C9116F"/>
    <w:rsid w:val="29CA2459"/>
    <w:rsid w:val="29CA4207"/>
    <w:rsid w:val="29CB7425"/>
    <w:rsid w:val="29D07A70"/>
    <w:rsid w:val="29D3130E"/>
    <w:rsid w:val="29D54687"/>
    <w:rsid w:val="29E03A2B"/>
    <w:rsid w:val="29E325E0"/>
    <w:rsid w:val="29E41AEB"/>
    <w:rsid w:val="29EA6657"/>
    <w:rsid w:val="29EC6874"/>
    <w:rsid w:val="29EC73FD"/>
    <w:rsid w:val="29F3375E"/>
    <w:rsid w:val="29F90863"/>
    <w:rsid w:val="29FD0655"/>
    <w:rsid w:val="29FD45DD"/>
    <w:rsid w:val="2A006588"/>
    <w:rsid w:val="2A025360"/>
    <w:rsid w:val="2A027E45"/>
    <w:rsid w:val="2A0A2888"/>
    <w:rsid w:val="2A0C2A72"/>
    <w:rsid w:val="2A0C4820"/>
    <w:rsid w:val="2A0D0CC4"/>
    <w:rsid w:val="2A1173FF"/>
    <w:rsid w:val="2A17569E"/>
    <w:rsid w:val="2A181D54"/>
    <w:rsid w:val="2A187669"/>
    <w:rsid w:val="2A21197B"/>
    <w:rsid w:val="2A2360AA"/>
    <w:rsid w:val="2A236769"/>
    <w:rsid w:val="2A247DBB"/>
    <w:rsid w:val="2A3066F0"/>
    <w:rsid w:val="2A3224D8"/>
    <w:rsid w:val="2A32274B"/>
    <w:rsid w:val="2A355B25"/>
    <w:rsid w:val="2A3E3B2A"/>
    <w:rsid w:val="2A3F154A"/>
    <w:rsid w:val="2A3F58D2"/>
    <w:rsid w:val="2A412F18"/>
    <w:rsid w:val="2A426494"/>
    <w:rsid w:val="2A447531"/>
    <w:rsid w:val="2A452503"/>
    <w:rsid w:val="2A466501"/>
    <w:rsid w:val="2A4D2E68"/>
    <w:rsid w:val="2A506E02"/>
    <w:rsid w:val="2A515973"/>
    <w:rsid w:val="2A544870"/>
    <w:rsid w:val="2A5F0DF4"/>
    <w:rsid w:val="2A680DF1"/>
    <w:rsid w:val="2A6E1037"/>
    <w:rsid w:val="2A750617"/>
    <w:rsid w:val="2A761AC6"/>
    <w:rsid w:val="2A7D3A62"/>
    <w:rsid w:val="2A7E3970"/>
    <w:rsid w:val="2A810D6A"/>
    <w:rsid w:val="2A834AE2"/>
    <w:rsid w:val="2A870664"/>
    <w:rsid w:val="2A915D79"/>
    <w:rsid w:val="2A924C61"/>
    <w:rsid w:val="2A932698"/>
    <w:rsid w:val="2A97058D"/>
    <w:rsid w:val="2A9D438D"/>
    <w:rsid w:val="2A9E4611"/>
    <w:rsid w:val="2A9F38FB"/>
    <w:rsid w:val="2A9F6557"/>
    <w:rsid w:val="2AA42CAA"/>
    <w:rsid w:val="2AA70541"/>
    <w:rsid w:val="2AA915E9"/>
    <w:rsid w:val="2AAB1450"/>
    <w:rsid w:val="2AAB37E8"/>
    <w:rsid w:val="2AAB7338"/>
    <w:rsid w:val="2AAE79DD"/>
    <w:rsid w:val="2AB0164F"/>
    <w:rsid w:val="2AB27175"/>
    <w:rsid w:val="2ABA24CE"/>
    <w:rsid w:val="2AD06880"/>
    <w:rsid w:val="2AD92954"/>
    <w:rsid w:val="2ADC2444"/>
    <w:rsid w:val="2AE86C56"/>
    <w:rsid w:val="2B005BEA"/>
    <w:rsid w:val="2B03039C"/>
    <w:rsid w:val="2B035C23"/>
    <w:rsid w:val="2B0F0198"/>
    <w:rsid w:val="2B116592"/>
    <w:rsid w:val="2B16676D"/>
    <w:rsid w:val="2B186F94"/>
    <w:rsid w:val="2B1A4D1A"/>
    <w:rsid w:val="2B1B28D9"/>
    <w:rsid w:val="2B1E642A"/>
    <w:rsid w:val="2B20129D"/>
    <w:rsid w:val="2B257DBC"/>
    <w:rsid w:val="2B320BC0"/>
    <w:rsid w:val="2B3C1ADC"/>
    <w:rsid w:val="2B3D7387"/>
    <w:rsid w:val="2B3E7185"/>
    <w:rsid w:val="2B4F2C16"/>
    <w:rsid w:val="2B512E32"/>
    <w:rsid w:val="2B5244B4"/>
    <w:rsid w:val="2B5869C9"/>
    <w:rsid w:val="2B594282"/>
    <w:rsid w:val="2B632B65"/>
    <w:rsid w:val="2B64300E"/>
    <w:rsid w:val="2B6D0F5F"/>
    <w:rsid w:val="2B715282"/>
    <w:rsid w:val="2B724877"/>
    <w:rsid w:val="2B746B21"/>
    <w:rsid w:val="2B7F138E"/>
    <w:rsid w:val="2B8801B3"/>
    <w:rsid w:val="2B920D55"/>
    <w:rsid w:val="2B923DD2"/>
    <w:rsid w:val="2B942D1F"/>
    <w:rsid w:val="2B960845"/>
    <w:rsid w:val="2B9A2341"/>
    <w:rsid w:val="2BA32F62"/>
    <w:rsid w:val="2BA50A88"/>
    <w:rsid w:val="2BA74404"/>
    <w:rsid w:val="2BA936A8"/>
    <w:rsid w:val="2BAA42F0"/>
    <w:rsid w:val="2BB34EE4"/>
    <w:rsid w:val="2BB46CFE"/>
    <w:rsid w:val="2BB86CB1"/>
    <w:rsid w:val="2BBB64FD"/>
    <w:rsid w:val="2BC144F7"/>
    <w:rsid w:val="2BC2788C"/>
    <w:rsid w:val="2BC3635A"/>
    <w:rsid w:val="2BC41856"/>
    <w:rsid w:val="2BC43604"/>
    <w:rsid w:val="2BC71AAA"/>
    <w:rsid w:val="2BC74EA2"/>
    <w:rsid w:val="2BCC7096"/>
    <w:rsid w:val="2BD220D6"/>
    <w:rsid w:val="2BD355F5"/>
    <w:rsid w:val="2BD414DD"/>
    <w:rsid w:val="2BD4296D"/>
    <w:rsid w:val="2BD74818"/>
    <w:rsid w:val="2BDC76D9"/>
    <w:rsid w:val="2BE05F64"/>
    <w:rsid w:val="2BE11407"/>
    <w:rsid w:val="2BE23A8A"/>
    <w:rsid w:val="2BEB3615"/>
    <w:rsid w:val="2BEF0CB6"/>
    <w:rsid w:val="2BF10171"/>
    <w:rsid w:val="2BF523C4"/>
    <w:rsid w:val="2BF7152C"/>
    <w:rsid w:val="2BFD08C4"/>
    <w:rsid w:val="2BFF01D4"/>
    <w:rsid w:val="2C167BD8"/>
    <w:rsid w:val="2C2220D9"/>
    <w:rsid w:val="2C315A5A"/>
    <w:rsid w:val="2C347F55"/>
    <w:rsid w:val="2C380E88"/>
    <w:rsid w:val="2C3818FC"/>
    <w:rsid w:val="2C3F06C9"/>
    <w:rsid w:val="2C3F2B42"/>
    <w:rsid w:val="2C406BF4"/>
    <w:rsid w:val="2C4B1C25"/>
    <w:rsid w:val="2C4B2DF0"/>
    <w:rsid w:val="2C551528"/>
    <w:rsid w:val="2C55425C"/>
    <w:rsid w:val="2C566690"/>
    <w:rsid w:val="2C5A3803"/>
    <w:rsid w:val="2C5D5807"/>
    <w:rsid w:val="2C6D3C9C"/>
    <w:rsid w:val="2C766A33"/>
    <w:rsid w:val="2C7A1F15"/>
    <w:rsid w:val="2C7A413A"/>
    <w:rsid w:val="2C7E6F7E"/>
    <w:rsid w:val="2C8221EC"/>
    <w:rsid w:val="2C866B0B"/>
    <w:rsid w:val="2C882884"/>
    <w:rsid w:val="2C8D1C48"/>
    <w:rsid w:val="2C911FBC"/>
    <w:rsid w:val="2C952D0F"/>
    <w:rsid w:val="2C9A6113"/>
    <w:rsid w:val="2C9C3242"/>
    <w:rsid w:val="2CA00B5B"/>
    <w:rsid w:val="2CA06BAE"/>
    <w:rsid w:val="2CA2761E"/>
    <w:rsid w:val="2CB0615A"/>
    <w:rsid w:val="2CB35427"/>
    <w:rsid w:val="2CB45C2B"/>
    <w:rsid w:val="2CC358D7"/>
    <w:rsid w:val="2CCD473A"/>
    <w:rsid w:val="2CD11238"/>
    <w:rsid w:val="2CD2219E"/>
    <w:rsid w:val="2CD31625"/>
    <w:rsid w:val="2CD952E7"/>
    <w:rsid w:val="2CE94728"/>
    <w:rsid w:val="2CEF3AF8"/>
    <w:rsid w:val="2CF47F19"/>
    <w:rsid w:val="2CF55A3F"/>
    <w:rsid w:val="2CF74F46"/>
    <w:rsid w:val="2CF96EAE"/>
    <w:rsid w:val="2CFA0383"/>
    <w:rsid w:val="2D031F0A"/>
    <w:rsid w:val="2D084189"/>
    <w:rsid w:val="2D0A3299"/>
    <w:rsid w:val="2D0B0DBF"/>
    <w:rsid w:val="2D0B6C44"/>
    <w:rsid w:val="2D0C5682"/>
    <w:rsid w:val="2D0D4B37"/>
    <w:rsid w:val="2D146319"/>
    <w:rsid w:val="2D1668CF"/>
    <w:rsid w:val="2D197980"/>
    <w:rsid w:val="2D1C4D7A"/>
    <w:rsid w:val="2D241E80"/>
    <w:rsid w:val="2D2509FF"/>
    <w:rsid w:val="2D26209C"/>
    <w:rsid w:val="2D27711B"/>
    <w:rsid w:val="2D2A587C"/>
    <w:rsid w:val="2D2F2CFF"/>
    <w:rsid w:val="2D355E3C"/>
    <w:rsid w:val="2D3F12B8"/>
    <w:rsid w:val="2D4553C3"/>
    <w:rsid w:val="2D480265"/>
    <w:rsid w:val="2D4D438B"/>
    <w:rsid w:val="2D60001B"/>
    <w:rsid w:val="2D636E43"/>
    <w:rsid w:val="2D675A40"/>
    <w:rsid w:val="2D683990"/>
    <w:rsid w:val="2D6937A6"/>
    <w:rsid w:val="2D6B0926"/>
    <w:rsid w:val="2D6B1EBC"/>
    <w:rsid w:val="2D6E12D0"/>
    <w:rsid w:val="2D6E4118"/>
    <w:rsid w:val="2D706302"/>
    <w:rsid w:val="2D742C4B"/>
    <w:rsid w:val="2D755EB1"/>
    <w:rsid w:val="2D781B60"/>
    <w:rsid w:val="2D79127C"/>
    <w:rsid w:val="2D7D1DF3"/>
    <w:rsid w:val="2D7E7E55"/>
    <w:rsid w:val="2D7F2A1C"/>
    <w:rsid w:val="2D805468"/>
    <w:rsid w:val="2D8355C6"/>
    <w:rsid w:val="2D842B55"/>
    <w:rsid w:val="2D8437AD"/>
    <w:rsid w:val="2D86579F"/>
    <w:rsid w:val="2D872B3B"/>
    <w:rsid w:val="2D88240F"/>
    <w:rsid w:val="2D8B7A0C"/>
    <w:rsid w:val="2D937732"/>
    <w:rsid w:val="2D9B32A8"/>
    <w:rsid w:val="2D9E56F5"/>
    <w:rsid w:val="2DA52FC1"/>
    <w:rsid w:val="2DAA4A7C"/>
    <w:rsid w:val="2DB30528"/>
    <w:rsid w:val="2DB96A6D"/>
    <w:rsid w:val="2DBB2F77"/>
    <w:rsid w:val="2DBD3EFB"/>
    <w:rsid w:val="2DBE19E0"/>
    <w:rsid w:val="2DC110B7"/>
    <w:rsid w:val="2DCA2C53"/>
    <w:rsid w:val="2DCB7B61"/>
    <w:rsid w:val="2DCC49F2"/>
    <w:rsid w:val="2DD029B5"/>
    <w:rsid w:val="2DD12526"/>
    <w:rsid w:val="2DD478E8"/>
    <w:rsid w:val="2DDC2D6D"/>
    <w:rsid w:val="2DE81100"/>
    <w:rsid w:val="2DEC68DA"/>
    <w:rsid w:val="2DF02AE0"/>
    <w:rsid w:val="2DFB789B"/>
    <w:rsid w:val="2DFC2367"/>
    <w:rsid w:val="2E0425E4"/>
    <w:rsid w:val="2E0B376C"/>
    <w:rsid w:val="2E123228"/>
    <w:rsid w:val="2E133665"/>
    <w:rsid w:val="2E145612"/>
    <w:rsid w:val="2E195B5E"/>
    <w:rsid w:val="2E1E4B22"/>
    <w:rsid w:val="2E2465DC"/>
    <w:rsid w:val="2E2A0C95"/>
    <w:rsid w:val="2E345F77"/>
    <w:rsid w:val="2E3D144C"/>
    <w:rsid w:val="2E3F6426"/>
    <w:rsid w:val="2E4232BB"/>
    <w:rsid w:val="2E4323D2"/>
    <w:rsid w:val="2E4E18AB"/>
    <w:rsid w:val="2E4F0A34"/>
    <w:rsid w:val="2E507B3E"/>
    <w:rsid w:val="2E513226"/>
    <w:rsid w:val="2E59753B"/>
    <w:rsid w:val="2E5A0250"/>
    <w:rsid w:val="2E5F7E3B"/>
    <w:rsid w:val="2E6432DE"/>
    <w:rsid w:val="2E667F96"/>
    <w:rsid w:val="2E6C2FEE"/>
    <w:rsid w:val="2E70537D"/>
    <w:rsid w:val="2E71161D"/>
    <w:rsid w:val="2E717347"/>
    <w:rsid w:val="2E772BB0"/>
    <w:rsid w:val="2E794F93"/>
    <w:rsid w:val="2E7D05C6"/>
    <w:rsid w:val="2E804392"/>
    <w:rsid w:val="2E8226AB"/>
    <w:rsid w:val="2E8800AB"/>
    <w:rsid w:val="2E8B4C27"/>
    <w:rsid w:val="2E975000"/>
    <w:rsid w:val="2E9F2106"/>
    <w:rsid w:val="2EA414CB"/>
    <w:rsid w:val="2EA6182F"/>
    <w:rsid w:val="2EA80FBB"/>
    <w:rsid w:val="2EA8720D"/>
    <w:rsid w:val="2EA93C02"/>
    <w:rsid w:val="2EB072CC"/>
    <w:rsid w:val="2EB12F93"/>
    <w:rsid w:val="2EB909D8"/>
    <w:rsid w:val="2EBC267F"/>
    <w:rsid w:val="2EBD0591"/>
    <w:rsid w:val="2EBF00B3"/>
    <w:rsid w:val="2EC456C9"/>
    <w:rsid w:val="2ECF0032"/>
    <w:rsid w:val="2ED4702A"/>
    <w:rsid w:val="2ED7364E"/>
    <w:rsid w:val="2ED74AE9"/>
    <w:rsid w:val="2EDB303F"/>
    <w:rsid w:val="2EDC1467"/>
    <w:rsid w:val="2EDC1656"/>
    <w:rsid w:val="2EDF0755"/>
    <w:rsid w:val="2EE26B1C"/>
    <w:rsid w:val="2EE43FBD"/>
    <w:rsid w:val="2EE6240B"/>
    <w:rsid w:val="2EE93382"/>
    <w:rsid w:val="2EEB534C"/>
    <w:rsid w:val="2EF04710"/>
    <w:rsid w:val="2EF54A21"/>
    <w:rsid w:val="2EF73D2C"/>
    <w:rsid w:val="2EF83000"/>
    <w:rsid w:val="2EF97A69"/>
    <w:rsid w:val="2EFE1143"/>
    <w:rsid w:val="2EFF4953"/>
    <w:rsid w:val="2EFF7082"/>
    <w:rsid w:val="2EFF793F"/>
    <w:rsid w:val="2F01691D"/>
    <w:rsid w:val="2F032695"/>
    <w:rsid w:val="2F130889"/>
    <w:rsid w:val="2F1F0748"/>
    <w:rsid w:val="2F2368B5"/>
    <w:rsid w:val="2F255896"/>
    <w:rsid w:val="2F280F46"/>
    <w:rsid w:val="2F285C58"/>
    <w:rsid w:val="2F2A5E74"/>
    <w:rsid w:val="2F300FB0"/>
    <w:rsid w:val="2F303006"/>
    <w:rsid w:val="2F34284F"/>
    <w:rsid w:val="2F395085"/>
    <w:rsid w:val="2F3A210B"/>
    <w:rsid w:val="2F3F643D"/>
    <w:rsid w:val="2F40308E"/>
    <w:rsid w:val="2F432A92"/>
    <w:rsid w:val="2F4A02C4"/>
    <w:rsid w:val="2F522CD5"/>
    <w:rsid w:val="2F586008"/>
    <w:rsid w:val="2F6157A7"/>
    <w:rsid w:val="2F6724CF"/>
    <w:rsid w:val="2F697F69"/>
    <w:rsid w:val="2F6B39AD"/>
    <w:rsid w:val="2F6C50DB"/>
    <w:rsid w:val="2F6E213C"/>
    <w:rsid w:val="2F7013AD"/>
    <w:rsid w:val="2F7075FF"/>
    <w:rsid w:val="2F722BE0"/>
    <w:rsid w:val="2F786B8B"/>
    <w:rsid w:val="2F7B0FD4"/>
    <w:rsid w:val="2F7D6131"/>
    <w:rsid w:val="2F880BDC"/>
    <w:rsid w:val="2F8A5853"/>
    <w:rsid w:val="2F990904"/>
    <w:rsid w:val="2F9A00CC"/>
    <w:rsid w:val="2F9B467C"/>
    <w:rsid w:val="2F9C6646"/>
    <w:rsid w:val="2F9F40F0"/>
    <w:rsid w:val="2FA06136"/>
    <w:rsid w:val="2FA10D67"/>
    <w:rsid w:val="2FA31782"/>
    <w:rsid w:val="2FAA48BF"/>
    <w:rsid w:val="2FAC6889"/>
    <w:rsid w:val="2FBC3E88"/>
    <w:rsid w:val="2FC87C4C"/>
    <w:rsid w:val="2FCB590C"/>
    <w:rsid w:val="2FCC0CD9"/>
    <w:rsid w:val="2FCD0BDE"/>
    <w:rsid w:val="2FCE2CA3"/>
    <w:rsid w:val="2FD065E6"/>
    <w:rsid w:val="2FD63906"/>
    <w:rsid w:val="2FD96870"/>
    <w:rsid w:val="2FDE0A0C"/>
    <w:rsid w:val="2FE04785"/>
    <w:rsid w:val="2FE06533"/>
    <w:rsid w:val="2FE3113A"/>
    <w:rsid w:val="2FE95B0A"/>
    <w:rsid w:val="2FEE7C14"/>
    <w:rsid w:val="2FF124EE"/>
    <w:rsid w:val="2FF47991"/>
    <w:rsid w:val="2FF63B4F"/>
    <w:rsid w:val="2FFC6C13"/>
    <w:rsid w:val="2FFE2E5D"/>
    <w:rsid w:val="30041638"/>
    <w:rsid w:val="300512D8"/>
    <w:rsid w:val="300A35B0"/>
    <w:rsid w:val="302063B0"/>
    <w:rsid w:val="302D7FD6"/>
    <w:rsid w:val="302E54F0"/>
    <w:rsid w:val="3036619F"/>
    <w:rsid w:val="3039582C"/>
    <w:rsid w:val="303B7C0D"/>
    <w:rsid w:val="303D3985"/>
    <w:rsid w:val="303E14AB"/>
    <w:rsid w:val="303F76FD"/>
    <w:rsid w:val="30413030"/>
    <w:rsid w:val="304271ED"/>
    <w:rsid w:val="30580BC9"/>
    <w:rsid w:val="3059427B"/>
    <w:rsid w:val="305C2FC6"/>
    <w:rsid w:val="305D500C"/>
    <w:rsid w:val="305F2FFB"/>
    <w:rsid w:val="306058C5"/>
    <w:rsid w:val="30631515"/>
    <w:rsid w:val="306453B6"/>
    <w:rsid w:val="30695770"/>
    <w:rsid w:val="307355F9"/>
    <w:rsid w:val="30753E90"/>
    <w:rsid w:val="30766E97"/>
    <w:rsid w:val="307C242D"/>
    <w:rsid w:val="307F3F9D"/>
    <w:rsid w:val="30801A0C"/>
    <w:rsid w:val="30817D16"/>
    <w:rsid w:val="30890978"/>
    <w:rsid w:val="308B46F0"/>
    <w:rsid w:val="308C66BA"/>
    <w:rsid w:val="309644F8"/>
    <w:rsid w:val="309D61D2"/>
    <w:rsid w:val="30A026E0"/>
    <w:rsid w:val="30A25EDE"/>
    <w:rsid w:val="30A9726C"/>
    <w:rsid w:val="30AF7BB1"/>
    <w:rsid w:val="30B22B0F"/>
    <w:rsid w:val="30B34DB1"/>
    <w:rsid w:val="30B718E5"/>
    <w:rsid w:val="30BA4FD6"/>
    <w:rsid w:val="30C012E1"/>
    <w:rsid w:val="30C20DE2"/>
    <w:rsid w:val="30C37755"/>
    <w:rsid w:val="30CB2D3F"/>
    <w:rsid w:val="30D02C0F"/>
    <w:rsid w:val="30DB0A51"/>
    <w:rsid w:val="30DF4A3C"/>
    <w:rsid w:val="30E17496"/>
    <w:rsid w:val="30E402A4"/>
    <w:rsid w:val="30E43E01"/>
    <w:rsid w:val="30E91417"/>
    <w:rsid w:val="30ED7159"/>
    <w:rsid w:val="30ED79BA"/>
    <w:rsid w:val="30F10FED"/>
    <w:rsid w:val="30F30104"/>
    <w:rsid w:val="30FF50DE"/>
    <w:rsid w:val="310049FD"/>
    <w:rsid w:val="31091AB9"/>
    <w:rsid w:val="31101099"/>
    <w:rsid w:val="31114307"/>
    <w:rsid w:val="311470F2"/>
    <w:rsid w:val="311E2ED7"/>
    <w:rsid w:val="31215055"/>
    <w:rsid w:val="31280191"/>
    <w:rsid w:val="312863E3"/>
    <w:rsid w:val="31294B7E"/>
    <w:rsid w:val="312B176A"/>
    <w:rsid w:val="312D57A8"/>
    <w:rsid w:val="31375A5B"/>
    <w:rsid w:val="313E07C1"/>
    <w:rsid w:val="31402DA4"/>
    <w:rsid w:val="314174A5"/>
    <w:rsid w:val="31453C03"/>
    <w:rsid w:val="31482D42"/>
    <w:rsid w:val="314A45AB"/>
    <w:rsid w:val="314B20D2"/>
    <w:rsid w:val="315148F7"/>
    <w:rsid w:val="31532E23"/>
    <w:rsid w:val="315619EE"/>
    <w:rsid w:val="31574153"/>
    <w:rsid w:val="315C449C"/>
    <w:rsid w:val="31644D19"/>
    <w:rsid w:val="316466C6"/>
    <w:rsid w:val="31751578"/>
    <w:rsid w:val="3179279B"/>
    <w:rsid w:val="317D360B"/>
    <w:rsid w:val="318123B0"/>
    <w:rsid w:val="318E3088"/>
    <w:rsid w:val="31901E9C"/>
    <w:rsid w:val="319121DA"/>
    <w:rsid w:val="31940792"/>
    <w:rsid w:val="319B6F8D"/>
    <w:rsid w:val="319F049E"/>
    <w:rsid w:val="31A33CBC"/>
    <w:rsid w:val="31A61DD6"/>
    <w:rsid w:val="31A812D2"/>
    <w:rsid w:val="31AA6DF8"/>
    <w:rsid w:val="31AB2B70"/>
    <w:rsid w:val="31AE1873"/>
    <w:rsid w:val="31B82709"/>
    <w:rsid w:val="31BB0BC0"/>
    <w:rsid w:val="31BE5FE3"/>
    <w:rsid w:val="31C02740"/>
    <w:rsid w:val="31C0661C"/>
    <w:rsid w:val="31C14142"/>
    <w:rsid w:val="31C83EB2"/>
    <w:rsid w:val="31C872F8"/>
    <w:rsid w:val="31CF685F"/>
    <w:rsid w:val="31D05482"/>
    <w:rsid w:val="31D1502B"/>
    <w:rsid w:val="31D200FD"/>
    <w:rsid w:val="31D30B9E"/>
    <w:rsid w:val="31D8756B"/>
    <w:rsid w:val="31D976DD"/>
    <w:rsid w:val="31DA3958"/>
    <w:rsid w:val="31DF0A58"/>
    <w:rsid w:val="31E42C33"/>
    <w:rsid w:val="31E577F4"/>
    <w:rsid w:val="31EE68A5"/>
    <w:rsid w:val="31EF6F01"/>
    <w:rsid w:val="31F664E1"/>
    <w:rsid w:val="31F77B64"/>
    <w:rsid w:val="31F80B82"/>
    <w:rsid w:val="32035321"/>
    <w:rsid w:val="32087FC3"/>
    <w:rsid w:val="320B289A"/>
    <w:rsid w:val="320B2910"/>
    <w:rsid w:val="320B4470"/>
    <w:rsid w:val="320F62E8"/>
    <w:rsid w:val="32140715"/>
    <w:rsid w:val="32144BB9"/>
    <w:rsid w:val="321921D0"/>
    <w:rsid w:val="321B63FB"/>
    <w:rsid w:val="321F3EBE"/>
    <w:rsid w:val="32204A65"/>
    <w:rsid w:val="32220EC5"/>
    <w:rsid w:val="32244DFC"/>
    <w:rsid w:val="322C509C"/>
    <w:rsid w:val="32316F1C"/>
    <w:rsid w:val="323A4CC3"/>
    <w:rsid w:val="323C1BAF"/>
    <w:rsid w:val="323D4FEB"/>
    <w:rsid w:val="323E39E4"/>
    <w:rsid w:val="32400B34"/>
    <w:rsid w:val="3241643E"/>
    <w:rsid w:val="324A2389"/>
    <w:rsid w:val="324D2459"/>
    <w:rsid w:val="324F3ED3"/>
    <w:rsid w:val="3251196A"/>
    <w:rsid w:val="32512471"/>
    <w:rsid w:val="325154C6"/>
    <w:rsid w:val="32535D24"/>
    <w:rsid w:val="32627A4B"/>
    <w:rsid w:val="3265795A"/>
    <w:rsid w:val="32664ABA"/>
    <w:rsid w:val="326A2A2B"/>
    <w:rsid w:val="326D0505"/>
    <w:rsid w:val="3273564B"/>
    <w:rsid w:val="327F0285"/>
    <w:rsid w:val="327F6CA0"/>
    <w:rsid w:val="32857CE4"/>
    <w:rsid w:val="3286409A"/>
    <w:rsid w:val="32897AE4"/>
    <w:rsid w:val="328E04C8"/>
    <w:rsid w:val="329055FB"/>
    <w:rsid w:val="32905708"/>
    <w:rsid w:val="32917FB8"/>
    <w:rsid w:val="32956EC4"/>
    <w:rsid w:val="3296737C"/>
    <w:rsid w:val="329A50BF"/>
    <w:rsid w:val="329E6876"/>
    <w:rsid w:val="32A10BAA"/>
    <w:rsid w:val="32A35AD3"/>
    <w:rsid w:val="32A67A2B"/>
    <w:rsid w:val="32AB107A"/>
    <w:rsid w:val="32B74679"/>
    <w:rsid w:val="32BC3287"/>
    <w:rsid w:val="32C86FE3"/>
    <w:rsid w:val="32CB62C2"/>
    <w:rsid w:val="32CD0439"/>
    <w:rsid w:val="32CF7DD0"/>
    <w:rsid w:val="32D3412D"/>
    <w:rsid w:val="32D75F52"/>
    <w:rsid w:val="32DC56D7"/>
    <w:rsid w:val="32DD31FD"/>
    <w:rsid w:val="32E12CEE"/>
    <w:rsid w:val="32E807C0"/>
    <w:rsid w:val="32EE0F67"/>
    <w:rsid w:val="32F347CF"/>
    <w:rsid w:val="32F742BF"/>
    <w:rsid w:val="32FD1952"/>
    <w:rsid w:val="32FF1F75"/>
    <w:rsid w:val="32FF3876"/>
    <w:rsid w:val="33004208"/>
    <w:rsid w:val="33016F58"/>
    <w:rsid w:val="3309758F"/>
    <w:rsid w:val="330B3EFF"/>
    <w:rsid w:val="330C0FF8"/>
    <w:rsid w:val="330C350E"/>
    <w:rsid w:val="330C6C9B"/>
    <w:rsid w:val="3310161C"/>
    <w:rsid w:val="331A77C2"/>
    <w:rsid w:val="331D1E52"/>
    <w:rsid w:val="331D7A9E"/>
    <w:rsid w:val="33284891"/>
    <w:rsid w:val="332C6426"/>
    <w:rsid w:val="3330157F"/>
    <w:rsid w:val="333015F2"/>
    <w:rsid w:val="33333A89"/>
    <w:rsid w:val="333742B3"/>
    <w:rsid w:val="33380434"/>
    <w:rsid w:val="333E6D47"/>
    <w:rsid w:val="33414383"/>
    <w:rsid w:val="33423532"/>
    <w:rsid w:val="33435756"/>
    <w:rsid w:val="334B6320"/>
    <w:rsid w:val="334E7C57"/>
    <w:rsid w:val="33525999"/>
    <w:rsid w:val="33550FE6"/>
    <w:rsid w:val="33572FB0"/>
    <w:rsid w:val="3361798A"/>
    <w:rsid w:val="336442B8"/>
    <w:rsid w:val="336D0FFA"/>
    <w:rsid w:val="337771AE"/>
    <w:rsid w:val="33784CD4"/>
    <w:rsid w:val="33865058"/>
    <w:rsid w:val="338B4A07"/>
    <w:rsid w:val="338D4C23"/>
    <w:rsid w:val="338E62A6"/>
    <w:rsid w:val="33993129"/>
    <w:rsid w:val="339F57A5"/>
    <w:rsid w:val="33A0249C"/>
    <w:rsid w:val="33AF4B9A"/>
    <w:rsid w:val="33B51A84"/>
    <w:rsid w:val="33B57CD6"/>
    <w:rsid w:val="33C43F6C"/>
    <w:rsid w:val="33C7011B"/>
    <w:rsid w:val="33C76CDC"/>
    <w:rsid w:val="33CB74FA"/>
    <w:rsid w:val="33D16FF0"/>
    <w:rsid w:val="33D26ADA"/>
    <w:rsid w:val="33D6196F"/>
    <w:rsid w:val="33D934D4"/>
    <w:rsid w:val="33DC34B5"/>
    <w:rsid w:val="33DE0FDB"/>
    <w:rsid w:val="33DE56E7"/>
    <w:rsid w:val="33E33A03"/>
    <w:rsid w:val="33E660E2"/>
    <w:rsid w:val="33E77129"/>
    <w:rsid w:val="33FE2F6A"/>
    <w:rsid w:val="34017DC6"/>
    <w:rsid w:val="340E07E5"/>
    <w:rsid w:val="34120C85"/>
    <w:rsid w:val="34235BF7"/>
    <w:rsid w:val="342A06C4"/>
    <w:rsid w:val="342D5ABF"/>
    <w:rsid w:val="342F02AC"/>
    <w:rsid w:val="342F0BF2"/>
    <w:rsid w:val="342F5CDB"/>
    <w:rsid w:val="343261D9"/>
    <w:rsid w:val="34347D82"/>
    <w:rsid w:val="34352622"/>
    <w:rsid w:val="3437693D"/>
    <w:rsid w:val="34382F9E"/>
    <w:rsid w:val="34480B4A"/>
    <w:rsid w:val="344F012B"/>
    <w:rsid w:val="344F04C2"/>
    <w:rsid w:val="345179FF"/>
    <w:rsid w:val="34525525"/>
    <w:rsid w:val="34563267"/>
    <w:rsid w:val="34640C62"/>
    <w:rsid w:val="34645984"/>
    <w:rsid w:val="346911EC"/>
    <w:rsid w:val="346A0AC1"/>
    <w:rsid w:val="346C1981"/>
    <w:rsid w:val="347E456C"/>
    <w:rsid w:val="34854D79"/>
    <w:rsid w:val="348B1D21"/>
    <w:rsid w:val="34963664"/>
    <w:rsid w:val="349744F2"/>
    <w:rsid w:val="349A13A6"/>
    <w:rsid w:val="349D4D61"/>
    <w:rsid w:val="34A165BD"/>
    <w:rsid w:val="34A8146D"/>
    <w:rsid w:val="34A841CD"/>
    <w:rsid w:val="34A915E9"/>
    <w:rsid w:val="34A9783B"/>
    <w:rsid w:val="34AE3693"/>
    <w:rsid w:val="34B02F5C"/>
    <w:rsid w:val="34B359E3"/>
    <w:rsid w:val="34B73989"/>
    <w:rsid w:val="34B8182C"/>
    <w:rsid w:val="34BC2275"/>
    <w:rsid w:val="34C06933"/>
    <w:rsid w:val="34C127B3"/>
    <w:rsid w:val="34C47A32"/>
    <w:rsid w:val="34C67823"/>
    <w:rsid w:val="34CA4F44"/>
    <w:rsid w:val="34CC177B"/>
    <w:rsid w:val="34CD158B"/>
    <w:rsid w:val="34D128EE"/>
    <w:rsid w:val="34DA1D12"/>
    <w:rsid w:val="34E152F0"/>
    <w:rsid w:val="34E50618"/>
    <w:rsid w:val="34E52D2A"/>
    <w:rsid w:val="34E83EDF"/>
    <w:rsid w:val="34EC50F6"/>
    <w:rsid w:val="34ED7EF4"/>
    <w:rsid w:val="34EE7003"/>
    <w:rsid w:val="34F17BD2"/>
    <w:rsid w:val="34F31C6D"/>
    <w:rsid w:val="34F32864"/>
    <w:rsid w:val="34F76C00"/>
    <w:rsid w:val="34F9181E"/>
    <w:rsid w:val="34FD1F97"/>
    <w:rsid w:val="34FD7B87"/>
    <w:rsid w:val="34FF745B"/>
    <w:rsid w:val="35006496"/>
    <w:rsid w:val="35011425"/>
    <w:rsid w:val="35061BEB"/>
    <w:rsid w:val="350835B7"/>
    <w:rsid w:val="350B5E00"/>
    <w:rsid w:val="3511718E"/>
    <w:rsid w:val="35162618"/>
    <w:rsid w:val="351A26AD"/>
    <w:rsid w:val="351A5B50"/>
    <w:rsid w:val="351A6687"/>
    <w:rsid w:val="351C625F"/>
    <w:rsid w:val="35280B04"/>
    <w:rsid w:val="35284ED7"/>
    <w:rsid w:val="352B64A2"/>
    <w:rsid w:val="35302879"/>
    <w:rsid w:val="353273FC"/>
    <w:rsid w:val="35336A8F"/>
    <w:rsid w:val="35352E7D"/>
    <w:rsid w:val="3536285A"/>
    <w:rsid w:val="35414E83"/>
    <w:rsid w:val="3547587F"/>
    <w:rsid w:val="35497529"/>
    <w:rsid w:val="354B26A0"/>
    <w:rsid w:val="3550415A"/>
    <w:rsid w:val="3555351F"/>
    <w:rsid w:val="355B43B6"/>
    <w:rsid w:val="355C48AD"/>
    <w:rsid w:val="355D3F38"/>
    <w:rsid w:val="355F439E"/>
    <w:rsid w:val="3562499E"/>
    <w:rsid w:val="35660394"/>
    <w:rsid w:val="356653D8"/>
    <w:rsid w:val="356B2D42"/>
    <w:rsid w:val="356C7BB0"/>
    <w:rsid w:val="357716E7"/>
    <w:rsid w:val="35775243"/>
    <w:rsid w:val="35777939"/>
    <w:rsid w:val="35797DA0"/>
    <w:rsid w:val="357A2F85"/>
    <w:rsid w:val="357A3318"/>
    <w:rsid w:val="357E0CC8"/>
    <w:rsid w:val="357F234A"/>
    <w:rsid w:val="3583008C"/>
    <w:rsid w:val="358362DE"/>
    <w:rsid w:val="35841462"/>
    <w:rsid w:val="358418FF"/>
    <w:rsid w:val="35845033"/>
    <w:rsid w:val="3586192A"/>
    <w:rsid w:val="358B5193"/>
    <w:rsid w:val="358C5FA8"/>
    <w:rsid w:val="359C73A0"/>
    <w:rsid w:val="359E4828"/>
    <w:rsid w:val="35A91D73"/>
    <w:rsid w:val="35AD5109"/>
    <w:rsid w:val="35B263A1"/>
    <w:rsid w:val="35B46497"/>
    <w:rsid w:val="35B6666C"/>
    <w:rsid w:val="35BC359E"/>
    <w:rsid w:val="35BE79BB"/>
    <w:rsid w:val="35C10BB4"/>
    <w:rsid w:val="35C15DF1"/>
    <w:rsid w:val="35C80195"/>
    <w:rsid w:val="35C975B9"/>
    <w:rsid w:val="35CA46A7"/>
    <w:rsid w:val="35CC0677"/>
    <w:rsid w:val="35CD1307"/>
    <w:rsid w:val="35CD57AB"/>
    <w:rsid w:val="35CE6E2D"/>
    <w:rsid w:val="35D46B3A"/>
    <w:rsid w:val="35D54660"/>
    <w:rsid w:val="35D5682F"/>
    <w:rsid w:val="35DA584C"/>
    <w:rsid w:val="35DC279E"/>
    <w:rsid w:val="35DE3514"/>
    <w:rsid w:val="35E339E3"/>
    <w:rsid w:val="35EA13B3"/>
    <w:rsid w:val="35EA1EB9"/>
    <w:rsid w:val="35ED7BFB"/>
    <w:rsid w:val="35EF5721"/>
    <w:rsid w:val="35F25212"/>
    <w:rsid w:val="35F57E0B"/>
    <w:rsid w:val="35F81A92"/>
    <w:rsid w:val="35FC1BEC"/>
    <w:rsid w:val="360311CD"/>
    <w:rsid w:val="36074A7F"/>
    <w:rsid w:val="36074B6F"/>
    <w:rsid w:val="36121410"/>
    <w:rsid w:val="36131B0B"/>
    <w:rsid w:val="3614411B"/>
    <w:rsid w:val="36154A5C"/>
    <w:rsid w:val="361707D4"/>
    <w:rsid w:val="361A4A58"/>
    <w:rsid w:val="36213401"/>
    <w:rsid w:val="36280C33"/>
    <w:rsid w:val="3628478F"/>
    <w:rsid w:val="362A5FE2"/>
    <w:rsid w:val="362F7671"/>
    <w:rsid w:val="36356EAC"/>
    <w:rsid w:val="363650FE"/>
    <w:rsid w:val="363C023B"/>
    <w:rsid w:val="363D4742"/>
    <w:rsid w:val="36405F1E"/>
    <w:rsid w:val="36435A6D"/>
    <w:rsid w:val="36462E68"/>
    <w:rsid w:val="3647517A"/>
    <w:rsid w:val="36484E32"/>
    <w:rsid w:val="364A4237"/>
    <w:rsid w:val="364A6DFC"/>
    <w:rsid w:val="36520DD3"/>
    <w:rsid w:val="36523A27"/>
    <w:rsid w:val="36577C54"/>
    <w:rsid w:val="365B2DB7"/>
    <w:rsid w:val="366F0610"/>
    <w:rsid w:val="367529DA"/>
    <w:rsid w:val="367914A0"/>
    <w:rsid w:val="36794FEB"/>
    <w:rsid w:val="367C137F"/>
    <w:rsid w:val="368C4D1E"/>
    <w:rsid w:val="368D02E5"/>
    <w:rsid w:val="368E0642"/>
    <w:rsid w:val="36910587"/>
    <w:rsid w:val="36923549"/>
    <w:rsid w:val="36962041"/>
    <w:rsid w:val="36963DEF"/>
    <w:rsid w:val="36B57D03"/>
    <w:rsid w:val="36B75FBF"/>
    <w:rsid w:val="36BA433B"/>
    <w:rsid w:val="36BD0C45"/>
    <w:rsid w:val="36C22631"/>
    <w:rsid w:val="36C3068E"/>
    <w:rsid w:val="36C41E85"/>
    <w:rsid w:val="36CD0C7C"/>
    <w:rsid w:val="36D13079"/>
    <w:rsid w:val="36D26D1E"/>
    <w:rsid w:val="36D668E1"/>
    <w:rsid w:val="36D952F5"/>
    <w:rsid w:val="36E27034"/>
    <w:rsid w:val="36E83F1F"/>
    <w:rsid w:val="36F4364C"/>
    <w:rsid w:val="36F9749B"/>
    <w:rsid w:val="36FA4E0F"/>
    <w:rsid w:val="36FF7BE6"/>
    <w:rsid w:val="37031712"/>
    <w:rsid w:val="37040D59"/>
    <w:rsid w:val="370945C1"/>
    <w:rsid w:val="370D0427"/>
    <w:rsid w:val="370F16D6"/>
    <w:rsid w:val="37130057"/>
    <w:rsid w:val="37131C77"/>
    <w:rsid w:val="3713451D"/>
    <w:rsid w:val="37162EF3"/>
    <w:rsid w:val="371B2546"/>
    <w:rsid w:val="371C7816"/>
    <w:rsid w:val="371F7D04"/>
    <w:rsid w:val="37210568"/>
    <w:rsid w:val="37242211"/>
    <w:rsid w:val="372431A9"/>
    <w:rsid w:val="37265173"/>
    <w:rsid w:val="372D7FF2"/>
    <w:rsid w:val="37344A86"/>
    <w:rsid w:val="373D070E"/>
    <w:rsid w:val="373D3165"/>
    <w:rsid w:val="374750E9"/>
    <w:rsid w:val="374B2E2B"/>
    <w:rsid w:val="374D7016"/>
    <w:rsid w:val="375515B4"/>
    <w:rsid w:val="37596BE7"/>
    <w:rsid w:val="375B2943"/>
    <w:rsid w:val="37611701"/>
    <w:rsid w:val="376173AC"/>
    <w:rsid w:val="37620175"/>
    <w:rsid w:val="37634349"/>
    <w:rsid w:val="376D0D73"/>
    <w:rsid w:val="3774188A"/>
    <w:rsid w:val="37814BF8"/>
    <w:rsid w:val="378241E9"/>
    <w:rsid w:val="37863E63"/>
    <w:rsid w:val="378749FA"/>
    <w:rsid w:val="378A6E0D"/>
    <w:rsid w:val="37910ACC"/>
    <w:rsid w:val="379272E6"/>
    <w:rsid w:val="37950385"/>
    <w:rsid w:val="37971BCD"/>
    <w:rsid w:val="37991DE9"/>
    <w:rsid w:val="379C0B45"/>
    <w:rsid w:val="379C5435"/>
    <w:rsid w:val="37A02291"/>
    <w:rsid w:val="37A4078E"/>
    <w:rsid w:val="37A66995"/>
    <w:rsid w:val="37A8202C"/>
    <w:rsid w:val="37A94BA2"/>
    <w:rsid w:val="37AD1E60"/>
    <w:rsid w:val="37B6264F"/>
    <w:rsid w:val="37BB326A"/>
    <w:rsid w:val="37C4498C"/>
    <w:rsid w:val="37C7616F"/>
    <w:rsid w:val="37C869EA"/>
    <w:rsid w:val="37C925C0"/>
    <w:rsid w:val="37D13BC6"/>
    <w:rsid w:val="37D20015"/>
    <w:rsid w:val="37D344AD"/>
    <w:rsid w:val="37D70BC3"/>
    <w:rsid w:val="37D72911"/>
    <w:rsid w:val="37D83F93"/>
    <w:rsid w:val="37D96F9C"/>
    <w:rsid w:val="37DA5909"/>
    <w:rsid w:val="37DD32E2"/>
    <w:rsid w:val="37E00298"/>
    <w:rsid w:val="37E1109A"/>
    <w:rsid w:val="37E1553E"/>
    <w:rsid w:val="37E2174F"/>
    <w:rsid w:val="37E56DDC"/>
    <w:rsid w:val="37E80261"/>
    <w:rsid w:val="37EB3CC7"/>
    <w:rsid w:val="37EE37B7"/>
    <w:rsid w:val="37F20084"/>
    <w:rsid w:val="37F33DCA"/>
    <w:rsid w:val="38005022"/>
    <w:rsid w:val="38013777"/>
    <w:rsid w:val="38022469"/>
    <w:rsid w:val="380234E6"/>
    <w:rsid w:val="380413BF"/>
    <w:rsid w:val="38087231"/>
    <w:rsid w:val="380D0444"/>
    <w:rsid w:val="38187C25"/>
    <w:rsid w:val="382362EA"/>
    <w:rsid w:val="382420D5"/>
    <w:rsid w:val="38273AE0"/>
    <w:rsid w:val="3828047D"/>
    <w:rsid w:val="382B2F5D"/>
    <w:rsid w:val="382D3204"/>
    <w:rsid w:val="382F26B3"/>
    <w:rsid w:val="383A5E3D"/>
    <w:rsid w:val="383E473E"/>
    <w:rsid w:val="38415FDC"/>
    <w:rsid w:val="38417D8A"/>
    <w:rsid w:val="38430930"/>
    <w:rsid w:val="38507965"/>
    <w:rsid w:val="3851621F"/>
    <w:rsid w:val="38561A88"/>
    <w:rsid w:val="38575800"/>
    <w:rsid w:val="386121DB"/>
    <w:rsid w:val="3863358F"/>
    <w:rsid w:val="3864073E"/>
    <w:rsid w:val="386B727B"/>
    <w:rsid w:val="386D0B7F"/>
    <w:rsid w:val="387328C9"/>
    <w:rsid w:val="387719FE"/>
    <w:rsid w:val="387800A4"/>
    <w:rsid w:val="38795776"/>
    <w:rsid w:val="387D27B9"/>
    <w:rsid w:val="38822931"/>
    <w:rsid w:val="388B64BB"/>
    <w:rsid w:val="388D2FD0"/>
    <w:rsid w:val="388F0AF6"/>
    <w:rsid w:val="389142C7"/>
    <w:rsid w:val="389205E6"/>
    <w:rsid w:val="3894378C"/>
    <w:rsid w:val="38966296"/>
    <w:rsid w:val="389A1363"/>
    <w:rsid w:val="389B1F7E"/>
    <w:rsid w:val="389E09C9"/>
    <w:rsid w:val="38AC16A8"/>
    <w:rsid w:val="38AD71CE"/>
    <w:rsid w:val="38B16CBE"/>
    <w:rsid w:val="38B302F9"/>
    <w:rsid w:val="38B36EDA"/>
    <w:rsid w:val="38B77CE5"/>
    <w:rsid w:val="38B95B73"/>
    <w:rsid w:val="38BC0459"/>
    <w:rsid w:val="38BD198E"/>
    <w:rsid w:val="38BE091C"/>
    <w:rsid w:val="38BE13DB"/>
    <w:rsid w:val="38C24E46"/>
    <w:rsid w:val="38C8225A"/>
    <w:rsid w:val="38C92167"/>
    <w:rsid w:val="38C9319D"/>
    <w:rsid w:val="38CA1425"/>
    <w:rsid w:val="38CA4224"/>
    <w:rsid w:val="38CF14E1"/>
    <w:rsid w:val="38CF183A"/>
    <w:rsid w:val="38D37892"/>
    <w:rsid w:val="38D91725"/>
    <w:rsid w:val="38E51487"/>
    <w:rsid w:val="38E65DD9"/>
    <w:rsid w:val="38EC7CF6"/>
    <w:rsid w:val="38F12CD3"/>
    <w:rsid w:val="38F142C0"/>
    <w:rsid w:val="38F17A02"/>
    <w:rsid w:val="38F244C5"/>
    <w:rsid w:val="38F31085"/>
    <w:rsid w:val="38F372D7"/>
    <w:rsid w:val="38F375F3"/>
    <w:rsid w:val="38F80D91"/>
    <w:rsid w:val="38F94775"/>
    <w:rsid w:val="38FC0F83"/>
    <w:rsid w:val="38FD1F03"/>
    <w:rsid w:val="390D035C"/>
    <w:rsid w:val="39101DFC"/>
    <w:rsid w:val="39111E53"/>
    <w:rsid w:val="39140DAC"/>
    <w:rsid w:val="39162FC5"/>
    <w:rsid w:val="391B682D"/>
    <w:rsid w:val="391F7852"/>
    <w:rsid w:val="39203E44"/>
    <w:rsid w:val="392971ED"/>
    <w:rsid w:val="392A2FD2"/>
    <w:rsid w:val="392C29C6"/>
    <w:rsid w:val="392E47B3"/>
    <w:rsid w:val="3930052B"/>
    <w:rsid w:val="39325651"/>
    <w:rsid w:val="39333B77"/>
    <w:rsid w:val="39363667"/>
    <w:rsid w:val="39375D39"/>
    <w:rsid w:val="39395293"/>
    <w:rsid w:val="39396CB4"/>
    <w:rsid w:val="393D0552"/>
    <w:rsid w:val="39405540"/>
    <w:rsid w:val="39407539"/>
    <w:rsid w:val="39413A79"/>
    <w:rsid w:val="394C2E8B"/>
    <w:rsid w:val="39504729"/>
    <w:rsid w:val="3954364C"/>
    <w:rsid w:val="3956042C"/>
    <w:rsid w:val="3962620A"/>
    <w:rsid w:val="39676327"/>
    <w:rsid w:val="39680F50"/>
    <w:rsid w:val="396E3AC2"/>
    <w:rsid w:val="396E4BAF"/>
    <w:rsid w:val="39700E21"/>
    <w:rsid w:val="397612EC"/>
    <w:rsid w:val="397A79F8"/>
    <w:rsid w:val="397C551E"/>
    <w:rsid w:val="39825D37"/>
    <w:rsid w:val="3986495F"/>
    <w:rsid w:val="398E34A3"/>
    <w:rsid w:val="39916D64"/>
    <w:rsid w:val="399D7242"/>
    <w:rsid w:val="39A405D1"/>
    <w:rsid w:val="39AD1BA6"/>
    <w:rsid w:val="39B03B25"/>
    <w:rsid w:val="39B36C56"/>
    <w:rsid w:val="39B3709D"/>
    <w:rsid w:val="39B60304"/>
    <w:rsid w:val="39BA6046"/>
    <w:rsid w:val="39BB7972"/>
    <w:rsid w:val="39CB2002"/>
    <w:rsid w:val="39CB3DB0"/>
    <w:rsid w:val="39D07618"/>
    <w:rsid w:val="39D61F9D"/>
    <w:rsid w:val="39D776C2"/>
    <w:rsid w:val="39D80764"/>
    <w:rsid w:val="39DB7B85"/>
    <w:rsid w:val="39DF133D"/>
    <w:rsid w:val="39DF3CFF"/>
    <w:rsid w:val="39E35864"/>
    <w:rsid w:val="39E85508"/>
    <w:rsid w:val="39EC2F80"/>
    <w:rsid w:val="39EE64DB"/>
    <w:rsid w:val="39F72DF7"/>
    <w:rsid w:val="39FE4185"/>
    <w:rsid w:val="39FF1CAB"/>
    <w:rsid w:val="39FF7EFD"/>
    <w:rsid w:val="3A096AFB"/>
    <w:rsid w:val="3A0A7CB4"/>
    <w:rsid w:val="3A0E4E10"/>
    <w:rsid w:val="3A123FB6"/>
    <w:rsid w:val="3A1A0893"/>
    <w:rsid w:val="3A2160C5"/>
    <w:rsid w:val="3A2619B1"/>
    <w:rsid w:val="3A267DA8"/>
    <w:rsid w:val="3A2707BA"/>
    <w:rsid w:val="3A2B0CF2"/>
    <w:rsid w:val="3A2F2590"/>
    <w:rsid w:val="3A2F518E"/>
    <w:rsid w:val="3A3C2EFF"/>
    <w:rsid w:val="3A3C6A5B"/>
    <w:rsid w:val="3A3E27D3"/>
    <w:rsid w:val="3A3E2F27"/>
    <w:rsid w:val="3A43603C"/>
    <w:rsid w:val="3A464844"/>
    <w:rsid w:val="3A467FF1"/>
    <w:rsid w:val="3A4C15CA"/>
    <w:rsid w:val="3A4F1AB9"/>
    <w:rsid w:val="3A507036"/>
    <w:rsid w:val="3A524858"/>
    <w:rsid w:val="3A533F40"/>
    <w:rsid w:val="3A6F6E31"/>
    <w:rsid w:val="3A7C32FC"/>
    <w:rsid w:val="3A80292E"/>
    <w:rsid w:val="3A872856"/>
    <w:rsid w:val="3A8B353F"/>
    <w:rsid w:val="3A8D72B7"/>
    <w:rsid w:val="3A9458DE"/>
    <w:rsid w:val="3A96260F"/>
    <w:rsid w:val="3A975DF9"/>
    <w:rsid w:val="3A9E3272"/>
    <w:rsid w:val="3AA0503A"/>
    <w:rsid w:val="3AA20FB4"/>
    <w:rsid w:val="3AA24006"/>
    <w:rsid w:val="3AA33AB5"/>
    <w:rsid w:val="3AA83D03"/>
    <w:rsid w:val="3AB577B2"/>
    <w:rsid w:val="3AB900AC"/>
    <w:rsid w:val="3ABB2076"/>
    <w:rsid w:val="3ABB3E24"/>
    <w:rsid w:val="3AC151B3"/>
    <w:rsid w:val="3AC3717D"/>
    <w:rsid w:val="3AC54CA3"/>
    <w:rsid w:val="3AD60C5E"/>
    <w:rsid w:val="3ADD6E62"/>
    <w:rsid w:val="3AE22668"/>
    <w:rsid w:val="3AE5322D"/>
    <w:rsid w:val="3AE570F3"/>
    <w:rsid w:val="3AE96BE3"/>
    <w:rsid w:val="3AEA4709"/>
    <w:rsid w:val="3AEA6C56"/>
    <w:rsid w:val="3AEB7108"/>
    <w:rsid w:val="3AF10756"/>
    <w:rsid w:val="3AF47336"/>
    <w:rsid w:val="3AF6727B"/>
    <w:rsid w:val="3AF84CC0"/>
    <w:rsid w:val="3AFD1A88"/>
    <w:rsid w:val="3AFE1F63"/>
    <w:rsid w:val="3B003A67"/>
    <w:rsid w:val="3B004548"/>
    <w:rsid w:val="3B027CA5"/>
    <w:rsid w:val="3B037579"/>
    <w:rsid w:val="3B0449E1"/>
    <w:rsid w:val="3B051B7D"/>
    <w:rsid w:val="3B084B8F"/>
    <w:rsid w:val="3B091033"/>
    <w:rsid w:val="3B1663F2"/>
    <w:rsid w:val="3B166E68"/>
    <w:rsid w:val="3B190B4B"/>
    <w:rsid w:val="3B220A43"/>
    <w:rsid w:val="3B27171D"/>
    <w:rsid w:val="3B273268"/>
    <w:rsid w:val="3B293484"/>
    <w:rsid w:val="3B2A2D58"/>
    <w:rsid w:val="3B2C087E"/>
    <w:rsid w:val="3B362B15"/>
    <w:rsid w:val="3B3763D1"/>
    <w:rsid w:val="3B3812C8"/>
    <w:rsid w:val="3B3A078A"/>
    <w:rsid w:val="3B3F32BB"/>
    <w:rsid w:val="3B3F4A55"/>
    <w:rsid w:val="3B4200A1"/>
    <w:rsid w:val="3B4756B8"/>
    <w:rsid w:val="3B4958D4"/>
    <w:rsid w:val="3B4F19D5"/>
    <w:rsid w:val="3B57144D"/>
    <w:rsid w:val="3B573045"/>
    <w:rsid w:val="3B5B1163"/>
    <w:rsid w:val="3B633E12"/>
    <w:rsid w:val="3B716BD9"/>
    <w:rsid w:val="3B7B4F7B"/>
    <w:rsid w:val="3B893F22"/>
    <w:rsid w:val="3B8E32E7"/>
    <w:rsid w:val="3B936ECA"/>
    <w:rsid w:val="3B954675"/>
    <w:rsid w:val="3B9652DE"/>
    <w:rsid w:val="3B98214E"/>
    <w:rsid w:val="3B9B6A03"/>
    <w:rsid w:val="3B9D79CE"/>
    <w:rsid w:val="3B9F54F4"/>
    <w:rsid w:val="3BA23236"/>
    <w:rsid w:val="3BA6165B"/>
    <w:rsid w:val="3BA64AD4"/>
    <w:rsid w:val="3BAC5E63"/>
    <w:rsid w:val="3BB0325D"/>
    <w:rsid w:val="3BB07701"/>
    <w:rsid w:val="3BB07762"/>
    <w:rsid w:val="3BB52F69"/>
    <w:rsid w:val="3BB54A60"/>
    <w:rsid w:val="3BB96A86"/>
    <w:rsid w:val="3BBC42F8"/>
    <w:rsid w:val="3BBC60A6"/>
    <w:rsid w:val="3BC66F24"/>
    <w:rsid w:val="3BC75D9D"/>
    <w:rsid w:val="3BC82016"/>
    <w:rsid w:val="3BC9680D"/>
    <w:rsid w:val="3BD94C62"/>
    <w:rsid w:val="3BDB619B"/>
    <w:rsid w:val="3BE15B0C"/>
    <w:rsid w:val="3BE23632"/>
    <w:rsid w:val="3BE56A31"/>
    <w:rsid w:val="3BE62D0E"/>
    <w:rsid w:val="3BE76F29"/>
    <w:rsid w:val="3BF21AC7"/>
    <w:rsid w:val="3BF221EF"/>
    <w:rsid w:val="3BF377E9"/>
    <w:rsid w:val="3BFC46F4"/>
    <w:rsid w:val="3BFD046C"/>
    <w:rsid w:val="3C0B0DDB"/>
    <w:rsid w:val="3C0B59C6"/>
    <w:rsid w:val="3C1321A5"/>
    <w:rsid w:val="3C1E5153"/>
    <w:rsid w:val="3C202B7C"/>
    <w:rsid w:val="3C2123AD"/>
    <w:rsid w:val="3C257806"/>
    <w:rsid w:val="3C293F6F"/>
    <w:rsid w:val="3C2F6E1E"/>
    <w:rsid w:val="3C300842"/>
    <w:rsid w:val="3C3420E0"/>
    <w:rsid w:val="3C366A87"/>
    <w:rsid w:val="3C370A88"/>
    <w:rsid w:val="3C3A452F"/>
    <w:rsid w:val="3C413397"/>
    <w:rsid w:val="3C4542ED"/>
    <w:rsid w:val="3C4937DA"/>
    <w:rsid w:val="3C4B7F1D"/>
    <w:rsid w:val="3C4F10AF"/>
    <w:rsid w:val="3C4F64BA"/>
    <w:rsid w:val="3C526F10"/>
    <w:rsid w:val="3C5344AD"/>
    <w:rsid w:val="3C5526D7"/>
    <w:rsid w:val="3C5C1637"/>
    <w:rsid w:val="3C5E715D"/>
    <w:rsid w:val="3C6F4AD6"/>
    <w:rsid w:val="3C706E90"/>
    <w:rsid w:val="3C771D3C"/>
    <w:rsid w:val="3C7B5B5E"/>
    <w:rsid w:val="3C7C5835"/>
    <w:rsid w:val="3C7D4FFA"/>
    <w:rsid w:val="3C7E77FF"/>
    <w:rsid w:val="3C832524"/>
    <w:rsid w:val="3C8B3CCA"/>
    <w:rsid w:val="3C8E79DF"/>
    <w:rsid w:val="3C920C28"/>
    <w:rsid w:val="3C925059"/>
    <w:rsid w:val="3C93000D"/>
    <w:rsid w:val="3C9943C8"/>
    <w:rsid w:val="3CA35A24"/>
    <w:rsid w:val="3CA803D8"/>
    <w:rsid w:val="3CAA23A2"/>
    <w:rsid w:val="3CAD1E92"/>
    <w:rsid w:val="3CAD3C40"/>
    <w:rsid w:val="3CB17EE6"/>
    <w:rsid w:val="3CB44FCF"/>
    <w:rsid w:val="3CBA2232"/>
    <w:rsid w:val="3CBB45AF"/>
    <w:rsid w:val="3CBE016E"/>
    <w:rsid w:val="3CC1149A"/>
    <w:rsid w:val="3CC35212"/>
    <w:rsid w:val="3CC855A0"/>
    <w:rsid w:val="3CD029E3"/>
    <w:rsid w:val="3CD76F0F"/>
    <w:rsid w:val="3CDA245A"/>
    <w:rsid w:val="3CE311B2"/>
    <w:rsid w:val="3CE31410"/>
    <w:rsid w:val="3CEF6529"/>
    <w:rsid w:val="3CF0088C"/>
    <w:rsid w:val="3CF278A5"/>
    <w:rsid w:val="3CF81052"/>
    <w:rsid w:val="3CF962AB"/>
    <w:rsid w:val="3CFC3141"/>
    <w:rsid w:val="3D011E26"/>
    <w:rsid w:val="3D0137C6"/>
    <w:rsid w:val="3D031AB2"/>
    <w:rsid w:val="3D0A1093"/>
    <w:rsid w:val="3D0A4004"/>
    <w:rsid w:val="3D0E59F4"/>
    <w:rsid w:val="3D0F737F"/>
    <w:rsid w:val="3D121CF5"/>
    <w:rsid w:val="3D123BCB"/>
    <w:rsid w:val="3D191E32"/>
    <w:rsid w:val="3D1E06B7"/>
    <w:rsid w:val="3D1E257B"/>
    <w:rsid w:val="3D1E68EC"/>
    <w:rsid w:val="3D1F7CE1"/>
    <w:rsid w:val="3D203927"/>
    <w:rsid w:val="3D204412"/>
    <w:rsid w:val="3D225E7D"/>
    <w:rsid w:val="3D25186F"/>
    <w:rsid w:val="3D271C45"/>
    <w:rsid w:val="3D286406"/>
    <w:rsid w:val="3D2C2DB7"/>
    <w:rsid w:val="3D2E3046"/>
    <w:rsid w:val="3D2E3DBF"/>
    <w:rsid w:val="3D3478E0"/>
    <w:rsid w:val="3D3507B9"/>
    <w:rsid w:val="3D3879AE"/>
    <w:rsid w:val="3D3B749E"/>
    <w:rsid w:val="3D3C1B2E"/>
    <w:rsid w:val="3D415C93"/>
    <w:rsid w:val="3D427D5D"/>
    <w:rsid w:val="3D452ED7"/>
    <w:rsid w:val="3D4C4A76"/>
    <w:rsid w:val="3D4D5B5D"/>
    <w:rsid w:val="3D4E5423"/>
    <w:rsid w:val="3D4E79D0"/>
    <w:rsid w:val="3D574181"/>
    <w:rsid w:val="3D5C3985"/>
    <w:rsid w:val="3D605AF2"/>
    <w:rsid w:val="3D695DB9"/>
    <w:rsid w:val="3D6E33D0"/>
    <w:rsid w:val="3D74650C"/>
    <w:rsid w:val="3D7606D4"/>
    <w:rsid w:val="3D7B4A66"/>
    <w:rsid w:val="3D8D1617"/>
    <w:rsid w:val="3D8D609A"/>
    <w:rsid w:val="3D9372DA"/>
    <w:rsid w:val="3D9425AC"/>
    <w:rsid w:val="3D974EEA"/>
    <w:rsid w:val="3D980B7F"/>
    <w:rsid w:val="3D9A2417"/>
    <w:rsid w:val="3D9A7546"/>
    <w:rsid w:val="3D9C11F7"/>
    <w:rsid w:val="3D9D1F07"/>
    <w:rsid w:val="3DA037A5"/>
    <w:rsid w:val="3DA07301"/>
    <w:rsid w:val="3DAB63D2"/>
    <w:rsid w:val="3DB039E8"/>
    <w:rsid w:val="3DB159B2"/>
    <w:rsid w:val="3DB9425A"/>
    <w:rsid w:val="3DBB238D"/>
    <w:rsid w:val="3DBB771F"/>
    <w:rsid w:val="3DBF1E7D"/>
    <w:rsid w:val="3DBF668A"/>
    <w:rsid w:val="3DCD3FB6"/>
    <w:rsid w:val="3DCD678F"/>
    <w:rsid w:val="3DCE3E6E"/>
    <w:rsid w:val="3DD516A1"/>
    <w:rsid w:val="3DDE0603"/>
    <w:rsid w:val="3DE13170"/>
    <w:rsid w:val="3DE546C0"/>
    <w:rsid w:val="3DE6740A"/>
    <w:rsid w:val="3DE95753"/>
    <w:rsid w:val="3DE95C9F"/>
    <w:rsid w:val="3DEB6956"/>
    <w:rsid w:val="3DEC2EB6"/>
    <w:rsid w:val="3DEC562A"/>
    <w:rsid w:val="3DF25DB9"/>
    <w:rsid w:val="3DF820F2"/>
    <w:rsid w:val="3DF93DE0"/>
    <w:rsid w:val="3DF96E3A"/>
    <w:rsid w:val="3DFC4C25"/>
    <w:rsid w:val="3DFE25E4"/>
    <w:rsid w:val="3DFF102B"/>
    <w:rsid w:val="3E01686C"/>
    <w:rsid w:val="3E0344B3"/>
    <w:rsid w:val="3E0556A4"/>
    <w:rsid w:val="3E104487"/>
    <w:rsid w:val="3E121833"/>
    <w:rsid w:val="3E1321C9"/>
    <w:rsid w:val="3E156429"/>
    <w:rsid w:val="3E157254"/>
    <w:rsid w:val="3E157CEF"/>
    <w:rsid w:val="3E18333B"/>
    <w:rsid w:val="3E1A70B4"/>
    <w:rsid w:val="3E1C107E"/>
    <w:rsid w:val="3E26540F"/>
    <w:rsid w:val="3E285C74"/>
    <w:rsid w:val="3E2919ED"/>
    <w:rsid w:val="3E292D54"/>
    <w:rsid w:val="3E29379B"/>
    <w:rsid w:val="3E2C2EB4"/>
    <w:rsid w:val="3E3068D7"/>
    <w:rsid w:val="3E321294"/>
    <w:rsid w:val="3E330175"/>
    <w:rsid w:val="3E35213F"/>
    <w:rsid w:val="3E3839DE"/>
    <w:rsid w:val="3E3A1504"/>
    <w:rsid w:val="3E3C050B"/>
    <w:rsid w:val="3E432C35"/>
    <w:rsid w:val="3E4660FB"/>
    <w:rsid w:val="3E4800C5"/>
    <w:rsid w:val="3E4B1963"/>
    <w:rsid w:val="3E566CAD"/>
    <w:rsid w:val="3E57744F"/>
    <w:rsid w:val="3E596C01"/>
    <w:rsid w:val="3E5973BD"/>
    <w:rsid w:val="3E5B104F"/>
    <w:rsid w:val="3E5D51F2"/>
    <w:rsid w:val="3E5F093C"/>
    <w:rsid w:val="3E69432C"/>
    <w:rsid w:val="3E6C59E0"/>
    <w:rsid w:val="3E707F93"/>
    <w:rsid w:val="3E74081F"/>
    <w:rsid w:val="3E776588"/>
    <w:rsid w:val="3E80785E"/>
    <w:rsid w:val="3E8611F6"/>
    <w:rsid w:val="3E8D4B08"/>
    <w:rsid w:val="3E990920"/>
    <w:rsid w:val="3E9E5F37"/>
    <w:rsid w:val="3EA22012"/>
    <w:rsid w:val="3EA37367"/>
    <w:rsid w:val="3EA6303D"/>
    <w:rsid w:val="3EA64DEB"/>
    <w:rsid w:val="3EAF1EF2"/>
    <w:rsid w:val="3EB62B11"/>
    <w:rsid w:val="3EB92D70"/>
    <w:rsid w:val="3EB94B1E"/>
    <w:rsid w:val="3EC731D4"/>
    <w:rsid w:val="3ECF128B"/>
    <w:rsid w:val="3ED075D4"/>
    <w:rsid w:val="3ED5122D"/>
    <w:rsid w:val="3ED65299"/>
    <w:rsid w:val="3ED92ACB"/>
    <w:rsid w:val="3EDA0523"/>
    <w:rsid w:val="3EE17BD1"/>
    <w:rsid w:val="3EE576C2"/>
    <w:rsid w:val="3EEA664C"/>
    <w:rsid w:val="3EEC4EF4"/>
    <w:rsid w:val="3EEC6CA2"/>
    <w:rsid w:val="3EEE3144"/>
    <w:rsid w:val="3EEF71F6"/>
    <w:rsid w:val="3EF21DDE"/>
    <w:rsid w:val="3EF47905"/>
    <w:rsid w:val="3EF66EFD"/>
    <w:rsid w:val="3EFC2C5D"/>
    <w:rsid w:val="3EFD0EAF"/>
    <w:rsid w:val="3EFF5D23"/>
    <w:rsid w:val="3F0264C5"/>
    <w:rsid w:val="3F034D2F"/>
    <w:rsid w:val="3F051B12"/>
    <w:rsid w:val="3F052E6A"/>
    <w:rsid w:val="3F125FDD"/>
    <w:rsid w:val="3F1862FB"/>
    <w:rsid w:val="3F1C079E"/>
    <w:rsid w:val="3F1C5311"/>
    <w:rsid w:val="3F204B9E"/>
    <w:rsid w:val="3F217C2E"/>
    <w:rsid w:val="3F233CB4"/>
    <w:rsid w:val="3F2C3542"/>
    <w:rsid w:val="3F2C64D9"/>
    <w:rsid w:val="3F2F3033"/>
    <w:rsid w:val="3F334164"/>
    <w:rsid w:val="3F3B19D7"/>
    <w:rsid w:val="3F3D222A"/>
    <w:rsid w:val="3F402B4A"/>
    <w:rsid w:val="3F406FEE"/>
    <w:rsid w:val="3F43263A"/>
    <w:rsid w:val="3F4737E3"/>
    <w:rsid w:val="3F4A39C9"/>
    <w:rsid w:val="3F5201EC"/>
    <w:rsid w:val="3F5406C8"/>
    <w:rsid w:val="3F5C0AB7"/>
    <w:rsid w:val="3F5D7C9F"/>
    <w:rsid w:val="3F636838"/>
    <w:rsid w:val="3F6B34B2"/>
    <w:rsid w:val="3F6C00D9"/>
    <w:rsid w:val="3F6E3B5B"/>
    <w:rsid w:val="3F7171A7"/>
    <w:rsid w:val="3F76656C"/>
    <w:rsid w:val="3F7667DD"/>
    <w:rsid w:val="3F7759E7"/>
    <w:rsid w:val="3F781B55"/>
    <w:rsid w:val="3F7B1DD4"/>
    <w:rsid w:val="3F827B6A"/>
    <w:rsid w:val="3F8539F8"/>
    <w:rsid w:val="3F8C2AC6"/>
    <w:rsid w:val="3F8E13F7"/>
    <w:rsid w:val="3F9115F7"/>
    <w:rsid w:val="3F917849"/>
    <w:rsid w:val="3F932A3E"/>
    <w:rsid w:val="3F9B06C8"/>
    <w:rsid w:val="3F9C31D5"/>
    <w:rsid w:val="3F9D61EE"/>
    <w:rsid w:val="3FA01B56"/>
    <w:rsid w:val="3FA04B59"/>
    <w:rsid w:val="3FA060B2"/>
    <w:rsid w:val="3FA22B90"/>
    <w:rsid w:val="3FA23805"/>
    <w:rsid w:val="3FA431BC"/>
    <w:rsid w:val="3FB12A0C"/>
    <w:rsid w:val="3FB157F6"/>
    <w:rsid w:val="3FB322F2"/>
    <w:rsid w:val="3FB377C0"/>
    <w:rsid w:val="3FB6105E"/>
    <w:rsid w:val="3FB77239"/>
    <w:rsid w:val="3FC4377B"/>
    <w:rsid w:val="3FC50A7D"/>
    <w:rsid w:val="3FCE0156"/>
    <w:rsid w:val="3FCF509C"/>
    <w:rsid w:val="3FD17EB9"/>
    <w:rsid w:val="3FDB69E9"/>
    <w:rsid w:val="3FE47979"/>
    <w:rsid w:val="3FE81FE4"/>
    <w:rsid w:val="3FEA6678"/>
    <w:rsid w:val="3FEB6F5A"/>
    <w:rsid w:val="3FED06D0"/>
    <w:rsid w:val="3FEE6A4A"/>
    <w:rsid w:val="3FF04570"/>
    <w:rsid w:val="3FFB4CC3"/>
    <w:rsid w:val="3FFC33CA"/>
    <w:rsid w:val="3FFC6AA9"/>
    <w:rsid w:val="3FFD2EB8"/>
    <w:rsid w:val="4000567F"/>
    <w:rsid w:val="40074D52"/>
    <w:rsid w:val="400778EE"/>
    <w:rsid w:val="40077B0C"/>
    <w:rsid w:val="400A0B15"/>
    <w:rsid w:val="400C0C7E"/>
    <w:rsid w:val="401019B7"/>
    <w:rsid w:val="4012492F"/>
    <w:rsid w:val="401631E4"/>
    <w:rsid w:val="401A15ED"/>
    <w:rsid w:val="401C2B1D"/>
    <w:rsid w:val="402045AD"/>
    <w:rsid w:val="402B1A4C"/>
    <w:rsid w:val="402E32EA"/>
    <w:rsid w:val="40324B88"/>
    <w:rsid w:val="40377318"/>
    <w:rsid w:val="40381597"/>
    <w:rsid w:val="40384243"/>
    <w:rsid w:val="404034E5"/>
    <w:rsid w:val="40407284"/>
    <w:rsid w:val="40416B7A"/>
    <w:rsid w:val="40420B44"/>
    <w:rsid w:val="404448BC"/>
    <w:rsid w:val="40452963"/>
    <w:rsid w:val="40460BE0"/>
    <w:rsid w:val="404B102A"/>
    <w:rsid w:val="404C569E"/>
    <w:rsid w:val="404F49DD"/>
    <w:rsid w:val="40575D69"/>
    <w:rsid w:val="405A5E8D"/>
    <w:rsid w:val="40604C5C"/>
    <w:rsid w:val="40644F5E"/>
    <w:rsid w:val="40672358"/>
    <w:rsid w:val="406805AA"/>
    <w:rsid w:val="406E7B8B"/>
    <w:rsid w:val="40754A75"/>
    <w:rsid w:val="4079782F"/>
    <w:rsid w:val="407A535C"/>
    <w:rsid w:val="407A6407"/>
    <w:rsid w:val="407C5E04"/>
    <w:rsid w:val="407E5835"/>
    <w:rsid w:val="407F58F4"/>
    <w:rsid w:val="407F76A2"/>
    <w:rsid w:val="408171DD"/>
    <w:rsid w:val="40896772"/>
    <w:rsid w:val="408B7F60"/>
    <w:rsid w:val="40907B01"/>
    <w:rsid w:val="409D1DE9"/>
    <w:rsid w:val="40A23744"/>
    <w:rsid w:val="40A37834"/>
    <w:rsid w:val="40A40C06"/>
    <w:rsid w:val="40A92F82"/>
    <w:rsid w:val="40AA20F5"/>
    <w:rsid w:val="40AF61D9"/>
    <w:rsid w:val="40BF0A0C"/>
    <w:rsid w:val="40BF6053"/>
    <w:rsid w:val="40C96B6F"/>
    <w:rsid w:val="40CA3013"/>
    <w:rsid w:val="40CD0775"/>
    <w:rsid w:val="40CD3EC6"/>
    <w:rsid w:val="40D73D29"/>
    <w:rsid w:val="40D91077"/>
    <w:rsid w:val="40DA0D7C"/>
    <w:rsid w:val="40DB5E0B"/>
    <w:rsid w:val="40DD183E"/>
    <w:rsid w:val="40DE6ABE"/>
    <w:rsid w:val="40E37C31"/>
    <w:rsid w:val="40E4515D"/>
    <w:rsid w:val="40E816EB"/>
    <w:rsid w:val="40ED7D5D"/>
    <w:rsid w:val="40F91D6E"/>
    <w:rsid w:val="40F94291"/>
    <w:rsid w:val="40FE2CBD"/>
    <w:rsid w:val="410236AA"/>
    <w:rsid w:val="41032081"/>
    <w:rsid w:val="41036525"/>
    <w:rsid w:val="411249BA"/>
    <w:rsid w:val="411307DB"/>
    <w:rsid w:val="41160006"/>
    <w:rsid w:val="41195D48"/>
    <w:rsid w:val="411C0819"/>
    <w:rsid w:val="41292928"/>
    <w:rsid w:val="41293E29"/>
    <w:rsid w:val="412D35A2"/>
    <w:rsid w:val="412F2E76"/>
    <w:rsid w:val="412F731A"/>
    <w:rsid w:val="41367318"/>
    <w:rsid w:val="41417FFF"/>
    <w:rsid w:val="41441235"/>
    <w:rsid w:val="41450AB0"/>
    <w:rsid w:val="41457A05"/>
    <w:rsid w:val="41472271"/>
    <w:rsid w:val="414A5F02"/>
    <w:rsid w:val="414B3D42"/>
    <w:rsid w:val="414C345E"/>
    <w:rsid w:val="414C3B4A"/>
    <w:rsid w:val="41596145"/>
    <w:rsid w:val="415C79E3"/>
    <w:rsid w:val="415D5C35"/>
    <w:rsid w:val="415E6EB8"/>
    <w:rsid w:val="4160346C"/>
    <w:rsid w:val="41631EBB"/>
    <w:rsid w:val="41654AEA"/>
    <w:rsid w:val="416A65A4"/>
    <w:rsid w:val="416A7B46"/>
    <w:rsid w:val="416B0A29"/>
    <w:rsid w:val="41727207"/>
    <w:rsid w:val="41780CC1"/>
    <w:rsid w:val="418307EA"/>
    <w:rsid w:val="41886A2A"/>
    <w:rsid w:val="41A33677"/>
    <w:rsid w:val="41A55B96"/>
    <w:rsid w:val="41B1305B"/>
    <w:rsid w:val="41B51804"/>
    <w:rsid w:val="41BE02D2"/>
    <w:rsid w:val="41C0099D"/>
    <w:rsid w:val="41C23074"/>
    <w:rsid w:val="41C537DA"/>
    <w:rsid w:val="41CA69ED"/>
    <w:rsid w:val="41CE08E1"/>
    <w:rsid w:val="41CF0D50"/>
    <w:rsid w:val="41E35DF5"/>
    <w:rsid w:val="41E579D9"/>
    <w:rsid w:val="41E842F0"/>
    <w:rsid w:val="41F67E38"/>
    <w:rsid w:val="41FA1ECF"/>
    <w:rsid w:val="41FC1FB4"/>
    <w:rsid w:val="41FD51B5"/>
    <w:rsid w:val="41FF4F3E"/>
    <w:rsid w:val="4200449D"/>
    <w:rsid w:val="42024A2E"/>
    <w:rsid w:val="42054C8C"/>
    <w:rsid w:val="42075BA1"/>
    <w:rsid w:val="42083FDA"/>
    <w:rsid w:val="42113E21"/>
    <w:rsid w:val="4211578B"/>
    <w:rsid w:val="42140FEB"/>
    <w:rsid w:val="42167A81"/>
    <w:rsid w:val="42214167"/>
    <w:rsid w:val="42295B17"/>
    <w:rsid w:val="422B7AE1"/>
    <w:rsid w:val="422F6EA6"/>
    <w:rsid w:val="4232248C"/>
    <w:rsid w:val="42366486"/>
    <w:rsid w:val="423A3BCC"/>
    <w:rsid w:val="423A41C8"/>
    <w:rsid w:val="423C1E74"/>
    <w:rsid w:val="424262B6"/>
    <w:rsid w:val="424741EF"/>
    <w:rsid w:val="424E57D2"/>
    <w:rsid w:val="4251718A"/>
    <w:rsid w:val="425828A0"/>
    <w:rsid w:val="425A03C6"/>
    <w:rsid w:val="425C413F"/>
    <w:rsid w:val="425E6F62"/>
    <w:rsid w:val="425F2679"/>
    <w:rsid w:val="425F2F04"/>
    <w:rsid w:val="42611755"/>
    <w:rsid w:val="42642FF3"/>
    <w:rsid w:val="426A131F"/>
    <w:rsid w:val="42701998"/>
    <w:rsid w:val="42757563"/>
    <w:rsid w:val="428216CB"/>
    <w:rsid w:val="4288188D"/>
    <w:rsid w:val="428A301F"/>
    <w:rsid w:val="42903DE8"/>
    <w:rsid w:val="42925DB2"/>
    <w:rsid w:val="42935686"/>
    <w:rsid w:val="429531AD"/>
    <w:rsid w:val="429815E1"/>
    <w:rsid w:val="429827B8"/>
    <w:rsid w:val="42996501"/>
    <w:rsid w:val="42A96C58"/>
    <w:rsid w:val="42AC04F6"/>
    <w:rsid w:val="42AC54A2"/>
    <w:rsid w:val="42B26C49"/>
    <w:rsid w:val="42B45D29"/>
    <w:rsid w:val="42B52012"/>
    <w:rsid w:val="42BB0811"/>
    <w:rsid w:val="42C03047"/>
    <w:rsid w:val="42CE36A7"/>
    <w:rsid w:val="42D107B5"/>
    <w:rsid w:val="42D77201"/>
    <w:rsid w:val="42DA1507"/>
    <w:rsid w:val="42DE0CD7"/>
    <w:rsid w:val="42DE16E9"/>
    <w:rsid w:val="42E102FD"/>
    <w:rsid w:val="42E12404"/>
    <w:rsid w:val="42E15A85"/>
    <w:rsid w:val="42EB32CE"/>
    <w:rsid w:val="42EB54C2"/>
    <w:rsid w:val="42EF4FB3"/>
    <w:rsid w:val="42F500EF"/>
    <w:rsid w:val="42FF5749"/>
    <w:rsid w:val="4303099F"/>
    <w:rsid w:val="430A1DED"/>
    <w:rsid w:val="430D78DE"/>
    <w:rsid w:val="430E71C5"/>
    <w:rsid w:val="43165E98"/>
    <w:rsid w:val="431F43AB"/>
    <w:rsid w:val="432056A2"/>
    <w:rsid w:val="43212B41"/>
    <w:rsid w:val="43272395"/>
    <w:rsid w:val="43287AED"/>
    <w:rsid w:val="432945B7"/>
    <w:rsid w:val="432B1D63"/>
    <w:rsid w:val="432E715D"/>
    <w:rsid w:val="433131AA"/>
    <w:rsid w:val="43362BE2"/>
    <w:rsid w:val="43370708"/>
    <w:rsid w:val="4339622E"/>
    <w:rsid w:val="433A6FE6"/>
    <w:rsid w:val="433C2D74"/>
    <w:rsid w:val="433D3357"/>
    <w:rsid w:val="4344348C"/>
    <w:rsid w:val="43457534"/>
    <w:rsid w:val="434626F9"/>
    <w:rsid w:val="43480868"/>
    <w:rsid w:val="43490FBF"/>
    <w:rsid w:val="43493C8E"/>
    <w:rsid w:val="434951B8"/>
    <w:rsid w:val="43500374"/>
    <w:rsid w:val="4350713C"/>
    <w:rsid w:val="43595962"/>
    <w:rsid w:val="4365093B"/>
    <w:rsid w:val="436653E0"/>
    <w:rsid w:val="436D2D3C"/>
    <w:rsid w:val="436F39FE"/>
    <w:rsid w:val="437012C7"/>
    <w:rsid w:val="43762FDE"/>
    <w:rsid w:val="4377078F"/>
    <w:rsid w:val="437B54F6"/>
    <w:rsid w:val="437B6846"/>
    <w:rsid w:val="437D25BE"/>
    <w:rsid w:val="43851C29"/>
    <w:rsid w:val="43862537"/>
    <w:rsid w:val="43935C63"/>
    <w:rsid w:val="439B0BA5"/>
    <w:rsid w:val="439C056B"/>
    <w:rsid w:val="439D2DFF"/>
    <w:rsid w:val="439E791E"/>
    <w:rsid w:val="43A318F9"/>
    <w:rsid w:val="43AA712C"/>
    <w:rsid w:val="43AC3866"/>
    <w:rsid w:val="43B54465"/>
    <w:rsid w:val="43B6162D"/>
    <w:rsid w:val="43B81849"/>
    <w:rsid w:val="43B835F7"/>
    <w:rsid w:val="43C02452"/>
    <w:rsid w:val="43C060B4"/>
    <w:rsid w:val="43C10E45"/>
    <w:rsid w:val="43C4431A"/>
    <w:rsid w:val="43CA332A"/>
    <w:rsid w:val="43CC0E50"/>
    <w:rsid w:val="43CC52F4"/>
    <w:rsid w:val="43CF28BC"/>
    <w:rsid w:val="43D321DE"/>
    <w:rsid w:val="43D538CD"/>
    <w:rsid w:val="43DB04B6"/>
    <w:rsid w:val="43DD12AF"/>
    <w:rsid w:val="43DE21E6"/>
    <w:rsid w:val="43E4263E"/>
    <w:rsid w:val="43EB4717"/>
    <w:rsid w:val="43EE526A"/>
    <w:rsid w:val="43F263DD"/>
    <w:rsid w:val="43FB34E3"/>
    <w:rsid w:val="43FF6F09"/>
    <w:rsid w:val="44044A8E"/>
    <w:rsid w:val="44092ED5"/>
    <w:rsid w:val="440A2717"/>
    <w:rsid w:val="440B4568"/>
    <w:rsid w:val="440D3860"/>
    <w:rsid w:val="440E0C53"/>
    <w:rsid w:val="44150E0F"/>
    <w:rsid w:val="441E11B4"/>
    <w:rsid w:val="442361AF"/>
    <w:rsid w:val="44240C8C"/>
    <w:rsid w:val="442472A6"/>
    <w:rsid w:val="442713A6"/>
    <w:rsid w:val="44276F7A"/>
    <w:rsid w:val="442944F4"/>
    <w:rsid w:val="44296A60"/>
    <w:rsid w:val="442A0C98"/>
    <w:rsid w:val="44306E23"/>
    <w:rsid w:val="44357A2E"/>
    <w:rsid w:val="44380293"/>
    <w:rsid w:val="443B0AC0"/>
    <w:rsid w:val="44432F4C"/>
    <w:rsid w:val="444404EC"/>
    <w:rsid w:val="44507EC5"/>
    <w:rsid w:val="4452415D"/>
    <w:rsid w:val="4453331F"/>
    <w:rsid w:val="44557097"/>
    <w:rsid w:val="445950D3"/>
    <w:rsid w:val="445A2900"/>
    <w:rsid w:val="445F3A72"/>
    <w:rsid w:val="44615A3C"/>
    <w:rsid w:val="446217B4"/>
    <w:rsid w:val="4464552C"/>
    <w:rsid w:val="446D2A1D"/>
    <w:rsid w:val="446E419E"/>
    <w:rsid w:val="4470786A"/>
    <w:rsid w:val="44773DC7"/>
    <w:rsid w:val="44794362"/>
    <w:rsid w:val="44817E8C"/>
    <w:rsid w:val="448F1469"/>
    <w:rsid w:val="44906321"/>
    <w:rsid w:val="44935E12"/>
    <w:rsid w:val="449B6F13"/>
    <w:rsid w:val="449F47B6"/>
    <w:rsid w:val="44A0089A"/>
    <w:rsid w:val="44A037CE"/>
    <w:rsid w:val="44AB543F"/>
    <w:rsid w:val="44AE0556"/>
    <w:rsid w:val="44AE0E14"/>
    <w:rsid w:val="44B060EA"/>
    <w:rsid w:val="44B33DBE"/>
    <w:rsid w:val="44B81283"/>
    <w:rsid w:val="44B951CC"/>
    <w:rsid w:val="44B95661"/>
    <w:rsid w:val="44BA6EFA"/>
    <w:rsid w:val="44C04D73"/>
    <w:rsid w:val="44C36FED"/>
    <w:rsid w:val="44C42B6A"/>
    <w:rsid w:val="44C47D79"/>
    <w:rsid w:val="44C90381"/>
    <w:rsid w:val="44CD14E0"/>
    <w:rsid w:val="44D83825"/>
    <w:rsid w:val="44D83E07"/>
    <w:rsid w:val="44E126D9"/>
    <w:rsid w:val="44E65F41"/>
    <w:rsid w:val="44E96119"/>
    <w:rsid w:val="44F04F4B"/>
    <w:rsid w:val="44F20B0B"/>
    <w:rsid w:val="44F63EA4"/>
    <w:rsid w:val="44F71A43"/>
    <w:rsid w:val="44F92119"/>
    <w:rsid w:val="44FE772F"/>
    <w:rsid w:val="4509658E"/>
    <w:rsid w:val="45097E82"/>
    <w:rsid w:val="450B6A36"/>
    <w:rsid w:val="450D1347"/>
    <w:rsid w:val="450E38CC"/>
    <w:rsid w:val="45153463"/>
    <w:rsid w:val="451A10CB"/>
    <w:rsid w:val="451E4D0E"/>
    <w:rsid w:val="45244CBC"/>
    <w:rsid w:val="45274794"/>
    <w:rsid w:val="452E5F4C"/>
    <w:rsid w:val="45321187"/>
    <w:rsid w:val="453273D9"/>
    <w:rsid w:val="45356EC9"/>
    <w:rsid w:val="453663E9"/>
    <w:rsid w:val="4537652B"/>
    <w:rsid w:val="453C3DB3"/>
    <w:rsid w:val="453F26E9"/>
    <w:rsid w:val="454366FA"/>
    <w:rsid w:val="454D26FF"/>
    <w:rsid w:val="45505F06"/>
    <w:rsid w:val="4555317F"/>
    <w:rsid w:val="45557BBB"/>
    <w:rsid w:val="455A2E42"/>
    <w:rsid w:val="455B4933"/>
    <w:rsid w:val="455F51E8"/>
    <w:rsid w:val="45603F46"/>
    <w:rsid w:val="45612018"/>
    <w:rsid w:val="45660E30"/>
    <w:rsid w:val="457903DE"/>
    <w:rsid w:val="45804F31"/>
    <w:rsid w:val="45835E86"/>
    <w:rsid w:val="458946E9"/>
    <w:rsid w:val="458D056E"/>
    <w:rsid w:val="458D0DE9"/>
    <w:rsid w:val="45925536"/>
    <w:rsid w:val="45934AF7"/>
    <w:rsid w:val="459E4A6E"/>
    <w:rsid w:val="45A26510"/>
    <w:rsid w:val="45A47C0E"/>
    <w:rsid w:val="45A51959"/>
    <w:rsid w:val="45A86E84"/>
    <w:rsid w:val="45AD70E0"/>
    <w:rsid w:val="45B1409B"/>
    <w:rsid w:val="45B30240"/>
    <w:rsid w:val="45B918A8"/>
    <w:rsid w:val="45BD2F79"/>
    <w:rsid w:val="45C5024D"/>
    <w:rsid w:val="45D466E2"/>
    <w:rsid w:val="45DB7BF3"/>
    <w:rsid w:val="45E20144"/>
    <w:rsid w:val="45E948B1"/>
    <w:rsid w:val="45EB6494"/>
    <w:rsid w:val="45F97EF6"/>
    <w:rsid w:val="45FA05BD"/>
    <w:rsid w:val="46070113"/>
    <w:rsid w:val="46082702"/>
    <w:rsid w:val="460E1FB1"/>
    <w:rsid w:val="460F3276"/>
    <w:rsid w:val="461131F2"/>
    <w:rsid w:val="461525E2"/>
    <w:rsid w:val="46177F8F"/>
    <w:rsid w:val="46184820"/>
    <w:rsid w:val="462250EE"/>
    <w:rsid w:val="462A3742"/>
    <w:rsid w:val="462B41E2"/>
    <w:rsid w:val="462B6B5F"/>
    <w:rsid w:val="46320AF8"/>
    <w:rsid w:val="46323946"/>
    <w:rsid w:val="46390CCA"/>
    <w:rsid w:val="463A326F"/>
    <w:rsid w:val="46410F44"/>
    <w:rsid w:val="464C1083"/>
    <w:rsid w:val="46530654"/>
    <w:rsid w:val="465515D1"/>
    <w:rsid w:val="465731F4"/>
    <w:rsid w:val="46577FD6"/>
    <w:rsid w:val="46584C1D"/>
    <w:rsid w:val="465B318B"/>
    <w:rsid w:val="465E69B3"/>
    <w:rsid w:val="465F62BF"/>
    <w:rsid w:val="4662484B"/>
    <w:rsid w:val="46641814"/>
    <w:rsid w:val="466510E8"/>
    <w:rsid w:val="466E1DD9"/>
    <w:rsid w:val="4674629A"/>
    <w:rsid w:val="467C75E4"/>
    <w:rsid w:val="467E1892"/>
    <w:rsid w:val="467F21AA"/>
    <w:rsid w:val="468365B4"/>
    <w:rsid w:val="46845A12"/>
    <w:rsid w:val="4685178A"/>
    <w:rsid w:val="46875502"/>
    <w:rsid w:val="46937228"/>
    <w:rsid w:val="4695545A"/>
    <w:rsid w:val="4697266F"/>
    <w:rsid w:val="46A458E3"/>
    <w:rsid w:val="46A936CA"/>
    <w:rsid w:val="46AB08C9"/>
    <w:rsid w:val="46B05C97"/>
    <w:rsid w:val="46B67B95"/>
    <w:rsid w:val="46C16C66"/>
    <w:rsid w:val="46C276CE"/>
    <w:rsid w:val="46C934D7"/>
    <w:rsid w:val="46CB755E"/>
    <w:rsid w:val="46CC1FB3"/>
    <w:rsid w:val="46CE4EDF"/>
    <w:rsid w:val="46D4544D"/>
    <w:rsid w:val="46D76D9C"/>
    <w:rsid w:val="46D83FB0"/>
    <w:rsid w:val="46D841BD"/>
    <w:rsid w:val="46D955A7"/>
    <w:rsid w:val="46E22EF7"/>
    <w:rsid w:val="46E66013"/>
    <w:rsid w:val="46E722AE"/>
    <w:rsid w:val="46F2715E"/>
    <w:rsid w:val="46F30DEA"/>
    <w:rsid w:val="46F414DE"/>
    <w:rsid w:val="46F5246C"/>
    <w:rsid w:val="46F75837"/>
    <w:rsid w:val="46FA1788"/>
    <w:rsid w:val="46FC5594"/>
    <w:rsid w:val="46FD4400"/>
    <w:rsid w:val="46FD6EB4"/>
    <w:rsid w:val="46FE3577"/>
    <w:rsid w:val="47003815"/>
    <w:rsid w:val="470657DD"/>
    <w:rsid w:val="470B4B04"/>
    <w:rsid w:val="470E79D1"/>
    <w:rsid w:val="47133957"/>
    <w:rsid w:val="4717258D"/>
    <w:rsid w:val="471A0124"/>
    <w:rsid w:val="471C616E"/>
    <w:rsid w:val="471F1BB5"/>
    <w:rsid w:val="472461ED"/>
    <w:rsid w:val="472B0583"/>
    <w:rsid w:val="472E2D47"/>
    <w:rsid w:val="4739367F"/>
    <w:rsid w:val="4739549D"/>
    <w:rsid w:val="473D3E13"/>
    <w:rsid w:val="474214B7"/>
    <w:rsid w:val="474433F3"/>
    <w:rsid w:val="47455236"/>
    <w:rsid w:val="474B29D4"/>
    <w:rsid w:val="47514803"/>
    <w:rsid w:val="4757001C"/>
    <w:rsid w:val="475C24EB"/>
    <w:rsid w:val="475F5F7C"/>
    <w:rsid w:val="476067BD"/>
    <w:rsid w:val="47611807"/>
    <w:rsid w:val="4767462D"/>
    <w:rsid w:val="477A1772"/>
    <w:rsid w:val="477B4A45"/>
    <w:rsid w:val="478302A1"/>
    <w:rsid w:val="47840D6F"/>
    <w:rsid w:val="47881934"/>
    <w:rsid w:val="478A7058"/>
    <w:rsid w:val="478C7274"/>
    <w:rsid w:val="479000C6"/>
    <w:rsid w:val="479223B1"/>
    <w:rsid w:val="479B1265"/>
    <w:rsid w:val="47A07E0C"/>
    <w:rsid w:val="47A24FAA"/>
    <w:rsid w:val="47A311C0"/>
    <w:rsid w:val="47B02837"/>
    <w:rsid w:val="47B10C28"/>
    <w:rsid w:val="47B5004D"/>
    <w:rsid w:val="47B651CB"/>
    <w:rsid w:val="47B95B8F"/>
    <w:rsid w:val="47D25DFF"/>
    <w:rsid w:val="47D26E0C"/>
    <w:rsid w:val="47D64431"/>
    <w:rsid w:val="47D875B4"/>
    <w:rsid w:val="47D909D6"/>
    <w:rsid w:val="47E0311C"/>
    <w:rsid w:val="47E3640F"/>
    <w:rsid w:val="47EB15FB"/>
    <w:rsid w:val="47ED3A8B"/>
    <w:rsid w:val="47F93485"/>
    <w:rsid w:val="47FA426E"/>
    <w:rsid w:val="47FB4CF8"/>
    <w:rsid w:val="47FB7F56"/>
    <w:rsid w:val="48055B08"/>
    <w:rsid w:val="480C5CBF"/>
    <w:rsid w:val="480E14BE"/>
    <w:rsid w:val="48142DC6"/>
    <w:rsid w:val="481B11CD"/>
    <w:rsid w:val="4822140C"/>
    <w:rsid w:val="482374AD"/>
    <w:rsid w:val="48240658"/>
    <w:rsid w:val="4824230B"/>
    <w:rsid w:val="482569A2"/>
    <w:rsid w:val="482B7781"/>
    <w:rsid w:val="482D18B6"/>
    <w:rsid w:val="48313978"/>
    <w:rsid w:val="483403BD"/>
    <w:rsid w:val="48343954"/>
    <w:rsid w:val="483901D6"/>
    <w:rsid w:val="483B5DF0"/>
    <w:rsid w:val="48425B85"/>
    <w:rsid w:val="48474F49"/>
    <w:rsid w:val="484C255F"/>
    <w:rsid w:val="484F02A2"/>
    <w:rsid w:val="484F69EF"/>
    <w:rsid w:val="48531B40"/>
    <w:rsid w:val="48547155"/>
    <w:rsid w:val="48547666"/>
    <w:rsid w:val="485674E5"/>
    <w:rsid w:val="485730A2"/>
    <w:rsid w:val="48584752"/>
    <w:rsid w:val="485D29BF"/>
    <w:rsid w:val="485D651B"/>
    <w:rsid w:val="485F17DF"/>
    <w:rsid w:val="485F6737"/>
    <w:rsid w:val="48643D4D"/>
    <w:rsid w:val="486A0C38"/>
    <w:rsid w:val="486F3400"/>
    <w:rsid w:val="4870272E"/>
    <w:rsid w:val="48806453"/>
    <w:rsid w:val="48885E0A"/>
    <w:rsid w:val="488A3ABB"/>
    <w:rsid w:val="488F1EE9"/>
    <w:rsid w:val="489108BA"/>
    <w:rsid w:val="48926F12"/>
    <w:rsid w:val="4893018E"/>
    <w:rsid w:val="48934632"/>
    <w:rsid w:val="48946DE5"/>
    <w:rsid w:val="489E7916"/>
    <w:rsid w:val="48AD7568"/>
    <w:rsid w:val="48AE5485"/>
    <w:rsid w:val="48B10A89"/>
    <w:rsid w:val="48B50B74"/>
    <w:rsid w:val="48B56357"/>
    <w:rsid w:val="48BF0F83"/>
    <w:rsid w:val="48C464DC"/>
    <w:rsid w:val="48C6586D"/>
    <w:rsid w:val="48CD75C0"/>
    <w:rsid w:val="48D47A82"/>
    <w:rsid w:val="48D6451F"/>
    <w:rsid w:val="48D8725E"/>
    <w:rsid w:val="48DD765B"/>
    <w:rsid w:val="48DF1625"/>
    <w:rsid w:val="48E91EBC"/>
    <w:rsid w:val="48E924A4"/>
    <w:rsid w:val="48E97BAB"/>
    <w:rsid w:val="48EA3157"/>
    <w:rsid w:val="48EB1D78"/>
    <w:rsid w:val="48EE5521"/>
    <w:rsid w:val="48F45F58"/>
    <w:rsid w:val="48F826E7"/>
    <w:rsid w:val="48FD385A"/>
    <w:rsid w:val="49042E3A"/>
    <w:rsid w:val="490966A2"/>
    <w:rsid w:val="490E1F0B"/>
    <w:rsid w:val="490E5DC7"/>
    <w:rsid w:val="49145FD1"/>
    <w:rsid w:val="491C0184"/>
    <w:rsid w:val="4925660E"/>
    <w:rsid w:val="49285078"/>
    <w:rsid w:val="49295ED6"/>
    <w:rsid w:val="49326638"/>
    <w:rsid w:val="493279A7"/>
    <w:rsid w:val="49364AC1"/>
    <w:rsid w:val="49366D6C"/>
    <w:rsid w:val="493A35E1"/>
    <w:rsid w:val="493D6C54"/>
    <w:rsid w:val="493F3E72"/>
    <w:rsid w:val="494219FE"/>
    <w:rsid w:val="494476DB"/>
    <w:rsid w:val="494B0A69"/>
    <w:rsid w:val="494B3BCB"/>
    <w:rsid w:val="494C03A8"/>
    <w:rsid w:val="49507E2D"/>
    <w:rsid w:val="495518E8"/>
    <w:rsid w:val="49556190"/>
    <w:rsid w:val="49577C74"/>
    <w:rsid w:val="495913D8"/>
    <w:rsid w:val="49614A25"/>
    <w:rsid w:val="49630A38"/>
    <w:rsid w:val="496911ED"/>
    <w:rsid w:val="49695393"/>
    <w:rsid w:val="496F7DF4"/>
    <w:rsid w:val="49796F4A"/>
    <w:rsid w:val="49843F7B"/>
    <w:rsid w:val="49883415"/>
    <w:rsid w:val="498A77E3"/>
    <w:rsid w:val="49914BE6"/>
    <w:rsid w:val="49956188"/>
    <w:rsid w:val="49967F1D"/>
    <w:rsid w:val="49975A5C"/>
    <w:rsid w:val="499A197B"/>
    <w:rsid w:val="499A554C"/>
    <w:rsid w:val="49A10689"/>
    <w:rsid w:val="49A95790"/>
    <w:rsid w:val="49AE2DA6"/>
    <w:rsid w:val="49B11E26"/>
    <w:rsid w:val="49BC1967"/>
    <w:rsid w:val="49C01457"/>
    <w:rsid w:val="49C16F7D"/>
    <w:rsid w:val="49CB410E"/>
    <w:rsid w:val="49D22F38"/>
    <w:rsid w:val="49D7054F"/>
    <w:rsid w:val="49DA0653"/>
    <w:rsid w:val="49DA2C21"/>
    <w:rsid w:val="49DC1DE3"/>
    <w:rsid w:val="49DC7715"/>
    <w:rsid w:val="49DE01D4"/>
    <w:rsid w:val="49DF2CFA"/>
    <w:rsid w:val="49E82C88"/>
    <w:rsid w:val="49EA0282"/>
    <w:rsid w:val="49EA2030"/>
    <w:rsid w:val="49EB7487"/>
    <w:rsid w:val="49F337A2"/>
    <w:rsid w:val="49FC5C1D"/>
    <w:rsid w:val="49FD10A7"/>
    <w:rsid w:val="4A017DD0"/>
    <w:rsid w:val="4A02055D"/>
    <w:rsid w:val="4A023139"/>
    <w:rsid w:val="4A034605"/>
    <w:rsid w:val="4A044293"/>
    <w:rsid w:val="4A047074"/>
    <w:rsid w:val="4A050C18"/>
    <w:rsid w:val="4A061ED2"/>
    <w:rsid w:val="4A1011E6"/>
    <w:rsid w:val="4A111CB3"/>
    <w:rsid w:val="4A113A61"/>
    <w:rsid w:val="4A123335"/>
    <w:rsid w:val="4A17094B"/>
    <w:rsid w:val="4A181CD1"/>
    <w:rsid w:val="4A184976"/>
    <w:rsid w:val="4A1A56BC"/>
    <w:rsid w:val="4A1E617D"/>
    <w:rsid w:val="4A210E8F"/>
    <w:rsid w:val="4A227A1C"/>
    <w:rsid w:val="4A230EA0"/>
    <w:rsid w:val="4A2319E6"/>
    <w:rsid w:val="4A253068"/>
    <w:rsid w:val="4A2A68D0"/>
    <w:rsid w:val="4A2F3EE7"/>
    <w:rsid w:val="4A314103"/>
    <w:rsid w:val="4A3572D7"/>
    <w:rsid w:val="4A385328"/>
    <w:rsid w:val="4A3D0A1C"/>
    <w:rsid w:val="4A461E3D"/>
    <w:rsid w:val="4A4831FA"/>
    <w:rsid w:val="4A4A1D57"/>
    <w:rsid w:val="4A4C6847"/>
    <w:rsid w:val="4A4D257C"/>
    <w:rsid w:val="4A50597B"/>
    <w:rsid w:val="4A5120AF"/>
    <w:rsid w:val="4A530A8D"/>
    <w:rsid w:val="4A565917"/>
    <w:rsid w:val="4A595E27"/>
    <w:rsid w:val="4A5B4CDC"/>
    <w:rsid w:val="4A6515E6"/>
    <w:rsid w:val="4A653DAC"/>
    <w:rsid w:val="4A674244"/>
    <w:rsid w:val="4A6B226D"/>
    <w:rsid w:val="4A6C194E"/>
    <w:rsid w:val="4A6F1947"/>
    <w:rsid w:val="4A707442"/>
    <w:rsid w:val="4A710AA3"/>
    <w:rsid w:val="4A71143E"/>
    <w:rsid w:val="4A740312"/>
    <w:rsid w:val="4A767D68"/>
    <w:rsid w:val="4A7B537E"/>
    <w:rsid w:val="4A7B576F"/>
    <w:rsid w:val="4A7B712C"/>
    <w:rsid w:val="4A7D2EA4"/>
    <w:rsid w:val="4A7E06C0"/>
    <w:rsid w:val="4A895CED"/>
    <w:rsid w:val="4A897999"/>
    <w:rsid w:val="4A8A6E3A"/>
    <w:rsid w:val="4A8D0910"/>
    <w:rsid w:val="4A8F4E20"/>
    <w:rsid w:val="4A9106FD"/>
    <w:rsid w:val="4A9224F4"/>
    <w:rsid w:val="4A9C3A16"/>
    <w:rsid w:val="4A9D3546"/>
    <w:rsid w:val="4AA137D7"/>
    <w:rsid w:val="4AA9419A"/>
    <w:rsid w:val="4AAC3789"/>
    <w:rsid w:val="4AAE7501"/>
    <w:rsid w:val="4ABD3CDB"/>
    <w:rsid w:val="4ABE06BB"/>
    <w:rsid w:val="4AC00FE3"/>
    <w:rsid w:val="4AC163C2"/>
    <w:rsid w:val="4AC46D25"/>
    <w:rsid w:val="4ACB3D7C"/>
    <w:rsid w:val="4ACB7475"/>
    <w:rsid w:val="4ACE1952"/>
    <w:rsid w:val="4ACF1226"/>
    <w:rsid w:val="4AD0601C"/>
    <w:rsid w:val="4AD2721F"/>
    <w:rsid w:val="4AD54880"/>
    <w:rsid w:val="4AE6599B"/>
    <w:rsid w:val="4AE66C9B"/>
    <w:rsid w:val="4AEA2F72"/>
    <w:rsid w:val="4AF34F14"/>
    <w:rsid w:val="4AF561A9"/>
    <w:rsid w:val="4AFD386D"/>
    <w:rsid w:val="4B02784D"/>
    <w:rsid w:val="4B0521F5"/>
    <w:rsid w:val="4B0E61F2"/>
    <w:rsid w:val="4B195AFD"/>
    <w:rsid w:val="4B1A1EC0"/>
    <w:rsid w:val="4B1A561A"/>
    <w:rsid w:val="4B1C04F1"/>
    <w:rsid w:val="4B241572"/>
    <w:rsid w:val="4B2477C4"/>
    <w:rsid w:val="4B2A4224"/>
    <w:rsid w:val="4B2C05D3"/>
    <w:rsid w:val="4B2D169E"/>
    <w:rsid w:val="4B300EE9"/>
    <w:rsid w:val="4B3043BA"/>
    <w:rsid w:val="4B3612A5"/>
    <w:rsid w:val="4B367C72"/>
    <w:rsid w:val="4B3C4B1F"/>
    <w:rsid w:val="4B410375"/>
    <w:rsid w:val="4B413ED2"/>
    <w:rsid w:val="4B425E9C"/>
    <w:rsid w:val="4B484598"/>
    <w:rsid w:val="4B4E0392"/>
    <w:rsid w:val="4B4E2A92"/>
    <w:rsid w:val="4B50680B"/>
    <w:rsid w:val="4B510C36"/>
    <w:rsid w:val="4B5138BB"/>
    <w:rsid w:val="4B5736F5"/>
    <w:rsid w:val="4B5B0D5A"/>
    <w:rsid w:val="4B5D16B0"/>
    <w:rsid w:val="4B616322"/>
    <w:rsid w:val="4B624F0F"/>
    <w:rsid w:val="4B663938"/>
    <w:rsid w:val="4B69167A"/>
    <w:rsid w:val="4B693428"/>
    <w:rsid w:val="4B6B0A45"/>
    <w:rsid w:val="4B6D116B"/>
    <w:rsid w:val="4B6E5086"/>
    <w:rsid w:val="4B772F07"/>
    <w:rsid w:val="4B7901ED"/>
    <w:rsid w:val="4B7A3887"/>
    <w:rsid w:val="4B7C576C"/>
    <w:rsid w:val="4B801973"/>
    <w:rsid w:val="4B8957F1"/>
    <w:rsid w:val="4B8A0D3C"/>
    <w:rsid w:val="4B8F3CDB"/>
    <w:rsid w:val="4B92472D"/>
    <w:rsid w:val="4B9762C0"/>
    <w:rsid w:val="4B986D1E"/>
    <w:rsid w:val="4B991F60"/>
    <w:rsid w:val="4B9B1698"/>
    <w:rsid w:val="4BA076B7"/>
    <w:rsid w:val="4BA83F51"/>
    <w:rsid w:val="4BAB3A41"/>
    <w:rsid w:val="4BAD47E4"/>
    <w:rsid w:val="4BB71478"/>
    <w:rsid w:val="4BB85F8B"/>
    <w:rsid w:val="4BBC3ECC"/>
    <w:rsid w:val="4BC220E1"/>
    <w:rsid w:val="4BC32EDC"/>
    <w:rsid w:val="4BC67321"/>
    <w:rsid w:val="4BD21234"/>
    <w:rsid w:val="4BD21F77"/>
    <w:rsid w:val="4BDE0179"/>
    <w:rsid w:val="4BF123A7"/>
    <w:rsid w:val="4BF34FB9"/>
    <w:rsid w:val="4BF86145"/>
    <w:rsid w:val="4C001FDF"/>
    <w:rsid w:val="4C0513A3"/>
    <w:rsid w:val="4C066B66"/>
    <w:rsid w:val="4C0C1D79"/>
    <w:rsid w:val="4C0D2006"/>
    <w:rsid w:val="4C0F7AEF"/>
    <w:rsid w:val="4C194E4E"/>
    <w:rsid w:val="4C1D5FF9"/>
    <w:rsid w:val="4C25357F"/>
    <w:rsid w:val="4C2C208C"/>
    <w:rsid w:val="4C2C652A"/>
    <w:rsid w:val="4C2E7C1C"/>
    <w:rsid w:val="4C39729F"/>
    <w:rsid w:val="4C3C1AD4"/>
    <w:rsid w:val="4C3E2B07"/>
    <w:rsid w:val="4C403D10"/>
    <w:rsid w:val="4C417685"/>
    <w:rsid w:val="4C436F46"/>
    <w:rsid w:val="4C4634D7"/>
    <w:rsid w:val="4C4675FE"/>
    <w:rsid w:val="4C4A0649"/>
    <w:rsid w:val="4C4B4FE8"/>
    <w:rsid w:val="4C4C6FD2"/>
    <w:rsid w:val="4C506F17"/>
    <w:rsid w:val="4C520360"/>
    <w:rsid w:val="4C545E87"/>
    <w:rsid w:val="4C5479B0"/>
    <w:rsid w:val="4C5C1239"/>
    <w:rsid w:val="4C5D11DF"/>
    <w:rsid w:val="4C6571B8"/>
    <w:rsid w:val="4C6755B6"/>
    <w:rsid w:val="4C6E5C70"/>
    <w:rsid w:val="4C7179D7"/>
    <w:rsid w:val="4C7C718B"/>
    <w:rsid w:val="4C7D53DD"/>
    <w:rsid w:val="4C7E48DE"/>
    <w:rsid w:val="4C7E5ECA"/>
    <w:rsid w:val="4C7F49C9"/>
    <w:rsid w:val="4C8526AF"/>
    <w:rsid w:val="4C854292"/>
    <w:rsid w:val="4C876AA5"/>
    <w:rsid w:val="4C8D3147"/>
    <w:rsid w:val="4C975D73"/>
    <w:rsid w:val="4C993E74"/>
    <w:rsid w:val="4C9B3A49"/>
    <w:rsid w:val="4C9B5863"/>
    <w:rsid w:val="4CA30BBC"/>
    <w:rsid w:val="4CAA1F4A"/>
    <w:rsid w:val="4CAB32E3"/>
    <w:rsid w:val="4CB62B2D"/>
    <w:rsid w:val="4CB66B41"/>
    <w:rsid w:val="4CB85EE9"/>
    <w:rsid w:val="4CBD7F61"/>
    <w:rsid w:val="4CC23686"/>
    <w:rsid w:val="4CC254E6"/>
    <w:rsid w:val="4CC92607"/>
    <w:rsid w:val="4CCB737A"/>
    <w:rsid w:val="4CCF19B1"/>
    <w:rsid w:val="4CCF58EA"/>
    <w:rsid w:val="4CD17B99"/>
    <w:rsid w:val="4CD7651E"/>
    <w:rsid w:val="4CDC5ED5"/>
    <w:rsid w:val="4CE21E44"/>
    <w:rsid w:val="4CE44DB6"/>
    <w:rsid w:val="4CEA4ADF"/>
    <w:rsid w:val="4CEC7770"/>
    <w:rsid w:val="4CED3B14"/>
    <w:rsid w:val="4CF136D5"/>
    <w:rsid w:val="4CF938F5"/>
    <w:rsid w:val="4CFC657A"/>
    <w:rsid w:val="4D006D97"/>
    <w:rsid w:val="4D027E1D"/>
    <w:rsid w:val="4D072EF9"/>
    <w:rsid w:val="4D073FAA"/>
    <w:rsid w:val="4D0B0C3B"/>
    <w:rsid w:val="4D0C5369"/>
    <w:rsid w:val="4D0E00FB"/>
    <w:rsid w:val="4D0E6A52"/>
    <w:rsid w:val="4D101778"/>
    <w:rsid w:val="4D176606"/>
    <w:rsid w:val="4D1846D0"/>
    <w:rsid w:val="4D221AE1"/>
    <w:rsid w:val="4D2717ED"/>
    <w:rsid w:val="4D2939AA"/>
    <w:rsid w:val="4D2D1641"/>
    <w:rsid w:val="4D326766"/>
    <w:rsid w:val="4D341814"/>
    <w:rsid w:val="4D355CB8"/>
    <w:rsid w:val="4D384E95"/>
    <w:rsid w:val="4D3B3F70"/>
    <w:rsid w:val="4D3D10E9"/>
    <w:rsid w:val="4D4375FC"/>
    <w:rsid w:val="4D4555F6"/>
    <w:rsid w:val="4D4E0723"/>
    <w:rsid w:val="4D5C3245"/>
    <w:rsid w:val="4D5E064B"/>
    <w:rsid w:val="4D622825"/>
    <w:rsid w:val="4D643CDE"/>
    <w:rsid w:val="4D6A0A55"/>
    <w:rsid w:val="4D6E11CA"/>
    <w:rsid w:val="4D6E4D26"/>
    <w:rsid w:val="4D6F454C"/>
    <w:rsid w:val="4D7465DE"/>
    <w:rsid w:val="4D7C0195"/>
    <w:rsid w:val="4D7E2637"/>
    <w:rsid w:val="4D8131B7"/>
    <w:rsid w:val="4D846871"/>
    <w:rsid w:val="4D870D8D"/>
    <w:rsid w:val="4D870E9B"/>
    <w:rsid w:val="4D8B4139"/>
    <w:rsid w:val="4D8F743A"/>
    <w:rsid w:val="4D977BC7"/>
    <w:rsid w:val="4D993218"/>
    <w:rsid w:val="4D9F18C1"/>
    <w:rsid w:val="4DA0163A"/>
    <w:rsid w:val="4DAC584E"/>
    <w:rsid w:val="4DAE7818"/>
    <w:rsid w:val="4DB03590"/>
    <w:rsid w:val="4DB55A2C"/>
    <w:rsid w:val="4DC1579E"/>
    <w:rsid w:val="4DC1754C"/>
    <w:rsid w:val="4DD612B3"/>
    <w:rsid w:val="4DDB0D98"/>
    <w:rsid w:val="4DDB4BBC"/>
    <w:rsid w:val="4DDE00FE"/>
    <w:rsid w:val="4DDF54F9"/>
    <w:rsid w:val="4DE44086"/>
    <w:rsid w:val="4DE52D23"/>
    <w:rsid w:val="4DEB6377"/>
    <w:rsid w:val="4DEC4FB0"/>
    <w:rsid w:val="4DED0138"/>
    <w:rsid w:val="4DEF53A0"/>
    <w:rsid w:val="4DF12BD9"/>
    <w:rsid w:val="4DF27705"/>
    <w:rsid w:val="4DF33B05"/>
    <w:rsid w:val="4DF83498"/>
    <w:rsid w:val="4DFA2A5E"/>
    <w:rsid w:val="4DFF1E8B"/>
    <w:rsid w:val="4E02343A"/>
    <w:rsid w:val="4E075D8A"/>
    <w:rsid w:val="4E08517B"/>
    <w:rsid w:val="4E131240"/>
    <w:rsid w:val="4E21078A"/>
    <w:rsid w:val="4E217FEA"/>
    <w:rsid w:val="4E234B23"/>
    <w:rsid w:val="4E261AA5"/>
    <w:rsid w:val="4E2B1EB6"/>
    <w:rsid w:val="4E2D46F7"/>
    <w:rsid w:val="4E2D6F34"/>
    <w:rsid w:val="4E2F5F0F"/>
    <w:rsid w:val="4E3046D1"/>
    <w:rsid w:val="4E382BE8"/>
    <w:rsid w:val="4E395334"/>
    <w:rsid w:val="4E3A621D"/>
    <w:rsid w:val="4E3B6791"/>
    <w:rsid w:val="4E3C3076"/>
    <w:rsid w:val="4E3C4E24"/>
    <w:rsid w:val="4E4B5067"/>
    <w:rsid w:val="4E4C150B"/>
    <w:rsid w:val="4E4D2773"/>
    <w:rsid w:val="4E524648"/>
    <w:rsid w:val="4E586B64"/>
    <w:rsid w:val="4E593C28"/>
    <w:rsid w:val="4E5D650F"/>
    <w:rsid w:val="4E612ADD"/>
    <w:rsid w:val="4E637DE8"/>
    <w:rsid w:val="4E680C1E"/>
    <w:rsid w:val="4E6A527E"/>
    <w:rsid w:val="4E6C5482"/>
    <w:rsid w:val="4E6F7F33"/>
    <w:rsid w:val="4E760168"/>
    <w:rsid w:val="4E772300"/>
    <w:rsid w:val="4E7F6E5E"/>
    <w:rsid w:val="4E824F2D"/>
    <w:rsid w:val="4E8A5B90"/>
    <w:rsid w:val="4E905954"/>
    <w:rsid w:val="4E9A5E2F"/>
    <w:rsid w:val="4E9B3F1C"/>
    <w:rsid w:val="4EAD187E"/>
    <w:rsid w:val="4EB26E94"/>
    <w:rsid w:val="4EB32F14"/>
    <w:rsid w:val="4EB52124"/>
    <w:rsid w:val="4EC00FAD"/>
    <w:rsid w:val="4EC10AA6"/>
    <w:rsid w:val="4EC12B2C"/>
    <w:rsid w:val="4EC13C9E"/>
    <w:rsid w:val="4EC41DC4"/>
    <w:rsid w:val="4EC61D60"/>
    <w:rsid w:val="4EC80E89"/>
    <w:rsid w:val="4EC866B8"/>
    <w:rsid w:val="4ECC6D94"/>
    <w:rsid w:val="4ED22589"/>
    <w:rsid w:val="4ED35661"/>
    <w:rsid w:val="4EE94FAC"/>
    <w:rsid w:val="4EEA4174"/>
    <w:rsid w:val="4EEA4880"/>
    <w:rsid w:val="4EED611E"/>
    <w:rsid w:val="4EF16274"/>
    <w:rsid w:val="4EF86F9D"/>
    <w:rsid w:val="4EFE3C60"/>
    <w:rsid w:val="4F0079E0"/>
    <w:rsid w:val="4F086393"/>
    <w:rsid w:val="4F0C2B5C"/>
    <w:rsid w:val="4F0C42E9"/>
    <w:rsid w:val="4F0D1B7B"/>
    <w:rsid w:val="4F15559D"/>
    <w:rsid w:val="4F165675"/>
    <w:rsid w:val="4F1A33B7"/>
    <w:rsid w:val="4F235F46"/>
    <w:rsid w:val="4F290873"/>
    <w:rsid w:val="4F2A01EE"/>
    <w:rsid w:val="4F2B2B76"/>
    <w:rsid w:val="4F310701"/>
    <w:rsid w:val="4F372CC3"/>
    <w:rsid w:val="4F3854C4"/>
    <w:rsid w:val="4F391364"/>
    <w:rsid w:val="4F3B7C8E"/>
    <w:rsid w:val="4F3D0E54"/>
    <w:rsid w:val="4F3E697A"/>
    <w:rsid w:val="4F400944"/>
    <w:rsid w:val="4F42646A"/>
    <w:rsid w:val="4F586DEA"/>
    <w:rsid w:val="4F5950E5"/>
    <w:rsid w:val="4F5D4C99"/>
    <w:rsid w:val="4F651160"/>
    <w:rsid w:val="4F701D2A"/>
    <w:rsid w:val="4F710AFD"/>
    <w:rsid w:val="4F734E61"/>
    <w:rsid w:val="4F756840"/>
    <w:rsid w:val="4F7A5DF1"/>
    <w:rsid w:val="4F7E0975"/>
    <w:rsid w:val="4F86410B"/>
    <w:rsid w:val="4F871DE5"/>
    <w:rsid w:val="4F8C3B89"/>
    <w:rsid w:val="4F8E5B53"/>
    <w:rsid w:val="4F953265"/>
    <w:rsid w:val="4F9843DC"/>
    <w:rsid w:val="4F9D0C0C"/>
    <w:rsid w:val="4FA03191"/>
    <w:rsid w:val="4FA71BCA"/>
    <w:rsid w:val="4FA95872"/>
    <w:rsid w:val="4FAA3277"/>
    <w:rsid w:val="4FAA51A5"/>
    <w:rsid w:val="4FAA530F"/>
    <w:rsid w:val="4FAB7475"/>
    <w:rsid w:val="4FAD5FDA"/>
    <w:rsid w:val="4FB258BC"/>
    <w:rsid w:val="4FB8672C"/>
    <w:rsid w:val="4FBA20F2"/>
    <w:rsid w:val="4FBC621D"/>
    <w:rsid w:val="4FBD3D43"/>
    <w:rsid w:val="4FC220E3"/>
    <w:rsid w:val="4FC43323"/>
    <w:rsid w:val="4FC62A8C"/>
    <w:rsid w:val="4FC772AC"/>
    <w:rsid w:val="4FC926E8"/>
    <w:rsid w:val="4FCA3829"/>
    <w:rsid w:val="4FCF4503"/>
    <w:rsid w:val="4FD5400F"/>
    <w:rsid w:val="4FD95020"/>
    <w:rsid w:val="4FE1650A"/>
    <w:rsid w:val="4FE20F0D"/>
    <w:rsid w:val="4FE51552"/>
    <w:rsid w:val="4FE575A3"/>
    <w:rsid w:val="4FE70635"/>
    <w:rsid w:val="4FED6FA2"/>
    <w:rsid w:val="4FF17F6E"/>
    <w:rsid w:val="4FF503BD"/>
    <w:rsid w:val="4FF534DD"/>
    <w:rsid w:val="4FF712F5"/>
    <w:rsid w:val="4FFA4F97"/>
    <w:rsid w:val="4FFC486B"/>
    <w:rsid w:val="4FFD305E"/>
    <w:rsid w:val="4FFE4A87"/>
    <w:rsid w:val="50085545"/>
    <w:rsid w:val="5012408F"/>
    <w:rsid w:val="50132425"/>
    <w:rsid w:val="50151DD1"/>
    <w:rsid w:val="501A5E6C"/>
    <w:rsid w:val="501E3E9C"/>
    <w:rsid w:val="501E5494"/>
    <w:rsid w:val="502618E8"/>
    <w:rsid w:val="5028041A"/>
    <w:rsid w:val="50295500"/>
    <w:rsid w:val="502C0397"/>
    <w:rsid w:val="5032028D"/>
    <w:rsid w:val="50373AF5"/>
    <w:rsid w:val="50377F99"/>
    <w:rsid w:val="503937EB"/>
    <w:rsid w:val="503B1837"/>
    <w:rsid w:val="50402532"/>
    <w:rsid w:val="50493828"/>
    <w:rsid w:val="504A1A7A"/>
    <w:rsid w:val="504D307D"/>
    <w:rsid w:val="504D50C7"/>
    <w:rsid w:val="504F7091"/>
    <w:rsid w:val="50500441"/>
    <w:rsid w:val="50504C4B"/>
    <w:rsid w:val="50593A6B"/>
    <w:rsid w:val="50597678"/>
    <w:rsid w:val="505E37B1"/>
    <w:rsid w:val="50696E2E"/>
    <w:rsid w:val="507B4F96"/>
    <w:rsid w:val="507C3BFE"/>
    <w:rsid w:val="507C775A"/>
    <w:rsid w:val="508036EE"/>
    <w:rsid w:val="50850D04"/>
    <w:rsid w:val="5086130F"/>
    <w:rsid w:val="508B0EE7"/>
    <w:rsid w:val="508B5BEF"/>
    <w:rsid w:val="508C5413"/>
    <w:rsid w:val="508E2890"/>
    <w:rsid w:val="508E3509"/>
    <w:rsid w:val="50926F7D"/>
    <w:rsid w:val="50964CC0"/>
    <w:rsid w:val="509C6E7C"/>
    <w:rsid w:val="509E1DC6"/>
    <w:rsid w:val="50A15412"/>
    <w:rsid w:val="50B33A15"/>
    <w:rsid w:val="50C9527D"/>
    <w:rsid w:val="50CA2BBB"/>
    <w:rsid w:val="50D106E5"/>
    <w:rsid w:val="50D37CC2"/>
    <w:rsid w:val="50D43A3A"/>
    <w:rsid w:val="50D54727"/>
    <w:rsid w:val="50D650BC"/>
    <w:rsid w:val="50D77086"/>
    <w:rsid w:val="50DA1089"/>
    <w:rsid w:val="50DB6B76"/>
    <w:rsid w:val="50E33C7D"/>
    <w:rsid w:val="50E377D9"/>
    <w:rsid w:val="50E7551B"/>
    <w:rsid w:val="50E772C9"/>
    <w:rsid w:val="50F30636"/>
    <w:rsid w:val="50F44A9D"/>
    <w:rsid w:val="50F6575E"/>
    <w:rsid w:val="50FE5D3D"/>
    <w:rsid w:val="510A6DE4"/>
    <w:rsid w:val="510C6A50"/>
    <w:rsid w:val="510F4A72"/>
    <w:rsid w:val="510F6820"/>
    <w:rsid w:val="51142088"/>
    <w:rsid w:val="51152F96"/>
    <w:rsid w:val="511610B5"/>
    <w:rsid w:val="5119398D"/>
    <w:rsid w:val="511D718F"/>
    <w:rsid w:val="512027DB"/>
    <w:rsid w:val="512322CB"/>
    <w:rsid w:val="512353A3"/>
    <w:rsid w:val="512646CD"/>
    <w:rsid w:val="51276FF3"/>
    <w:rsid w:val="512D4760"/>
    <w:rsid w:val="512D4762"/>
    <w:rsid w:val="51304D2D"/>
    <w:rsid w:val="51346287"/>
    <w:rsid w:val="514143E2"/>
    <w:rsid w:val="51432280"/>
    <w:rsid w:val="51457355"/>
    <w:rsid w:val="514E10F6"/>
    <w:rsid w:val="51517C3A"/>
    <w:rsid w:val="51532795"/>
    <w:rsid w:val="51563C65"/>
    <w:rsid w:val="515661FD"/>
    <w:rsid w:val="51593E99"/>
    <w:rsid w:val="515C49C2"/>
    <w:rsid w:val="515D05A7"/>
    <w:rsid w:val="515E2011"/>
    <w:rsid w:val="5162104E"/>
    <w:rsid w:val="516613C8"/>
    <w:rsid w:val="51736DAF"/>
    <w:rsid w:val="517C75D2"/>
    <w:rsid w:val="517D5E7F"/>
    <w:rsid w:val="51840FBC"/>
    <w:rsid w:val="51844B18"/>
    <w:rsid w:val="51860D3F"/>
    <w:rsid w:val="5187285A"/>
    <w:rsid w:val="518C1C1F"/>
    <w:rsid w:val="518C5779"/>
    <w:rsid w:val="518C5927"/>
    <w:rsid w:val="51960CEF"/>
    <w:rsid w:val="51975088"/>
    <w:rsid w:val="519A258E"/>
    <w:rsid w:val="519D1737"/>
    <w:rsid w:val="51A61F98"/>
    <w:rsid w:val="51B010A1"/>
    <w:rsid w:val="51B27247"/>
    <w:rsid w:val="51B35558"/>
    <w:rsid w:val="51B50CE4"/>
    <w:rsid w:val="51B578E7"/>
    <w:rsid w:val="51B7313F"/>
    <w:rsid w:val="51B87E32"/>
    <w:rsid w:val="51B940F4"/>
    <w:rsid w:val="51BF3DA2"/>
    <w:rsid w:val="51C04E17"/>
    <w:rsid w:val="51C27D36"/>
    <w:rsid w:val="51C554AF"/>
    <w:rsid w:val="51C6120B"/>
    <w:rsid w:val="51C710A1"/>
    <w:rsid w:val="51C732EE"/>
    <w:rsid w:val="51D13AD5"/>
    <w:rsid w:val="51DD06CC"/>
    <w:rsid w:val="51DD214D"/>
    <w:rsid w:val="51E001DA"/>
    <w:rsid w:val="51E11F6A"/>
    <w:rsid w:val="51EC4E24"/>
    <w:rsid w:val="51F60A51"/>
    <w:rsid w:val="51F6353C"/>
    <w:rsid w:val="51F872B4"/>
    <w:rsid w:val="51FA5EEB"/>
    <w:rsid w:val="51FC6DA4"/>
    <w:rsid w:val="51FE0D6E"/>
    <w:rsid w:val="51FE786D"/>
    <w:rsid w:val="51FF0643"/>
    <w:rsid w:val="51FF7084"/>
    <w:rsid w:val="52045688"/>
    <w:rsid w:val="5212175A"/>
    <w:rsid w:val="521656D1"/>
    <w:rsid w:val="521A0616"/>
    <w:rsid w:val="521C7446"/>
    <w:rsid w:val="521D6E27"/>
    <w:rsid w:val="521F2376"/>
    <w:rsid w:val="521F2A93"/>
    <w:rsid w:val="52253BD5"/>
    <w:rsid w:val="52265350"/>
    <w:rsid w:val="52267AA3"/>
    <w:rsid w:val="522A7BDE"/>
    <w:rsid w:val="52304CA0"/>
    <w:rsid w:val="523429E2"/>
    <w:rsid w:val="523A78CD"/>
    <w:rsid w:val="523C1897"/>
    <w:rsid w:val="523F1387"/>
    <w:rsid w:val="52444D2C"/>
    <w:rsid w:val="524E02C5"/>
    <w:rsid w:val="52500E9E"/>
    <w:rsid w:val="525151DD"/>
    <w:rsid w:val="52546633"/>
    <w:rsid w:val="525C2209"/>
    <w:rsid w:val="52610D67"/>
    <w:rsid w:val="5263737E"/>
    <w:rsid w:val="52640B80"/>
    <w:rsid w:val="5264494A"/>
    <w:rsid w:val="526A7CDF"/>
    <w:rsid w:val="526B217C"/>
    <w:rsid w:val="526D37FE"/>
    <w:rsid w:val="527208FC"/>
    <w:rsid w:val="527805D2"/>
    <w:rsid w:val="527C5B30"/>
    <w:rsid w:val="527F0D08"/>
    <w:rsid w:val="52872F5F"/>
    <w:rsid w:val="528A1A8A"/>
    <w:rsid w:val="528B5F65"/>
    <w:rsid w:val="528C06A5"/>
    <w:rsid w:val="528C45CC"/>
    <w:rsid w:val="529214B7"/>
    <w:rsid w:val="52950FA7"/>
    <w:rsid w:val="5295500F"/>
    <w:rsid w:val="52981582"/>
    <w:rsid w:val="52A5743C"/>
    <w:rsid w:val="52A642BD"/>
    <w:rsid w:val="52AB48FB"/>
    <w:rsid w:val="52AE4AE4"/>
    <w:rsid w:val="52B21B59"/>
    <w:rsid w:val="52B534C8"/>
    <w:rsid w:val="52BA27BB"/>
    <w:rsid w:val="52BD36EC"/>
    <w:rsid w:val="52C535BF"/>
    <w:rsid w:val="52C5363A"/>
    <w:rsid w:val="52CB2EA1"/>
    <w:rsid w:val="52CB3281"/>
    <w:rsid w:val="52D424A3"/>
    <w:rsid w:val="52D7511B"/>
    <w:rsid w:val="52D764AD"/>
    <w:rsid w:val="52DA4A7E"/>
    <w:rsid w:val="52E635B0"/>
    <w:rsid w:val="52E91706"/>
    <w:rsid w:val="52EC6E19"/>
    <w:rsid w:val="52EF6909"/>
    <w:rsid w:val="52F32B1B"/>
    <w:rsid w:val="52F43F1F"/>
    <w:rsid w:val="52F775D7"/>
    <w:rsid w:val="52F932E4"/>
    <w:rsid w:val="52FE08FA"/>
    <w:rsid w:val="53001CBD"/>
    <w:rsid w:val="530524D1"/>
    <w:rsid w:val="530B7849"/>
    <w:rsid w:val="530C1887"/>
    <w:rsid w:val="530F6FAB"/>
    <w:rsid w:val="53165ACD"/>
    <w:rsid w:val="5323375D"/>
    <w:rsid w:val="532365B3"/>
    <w:rsid w:val="5326046A"/>
    <w:rsid w:val="53290398"/>
    <w:rsid w:val="53291D44"/>
    <w:rsid w:val="532A03F7"/>
    <w:rsid w:val="53345D64"/>
    <w:rsid w:val="53367966"/>
    <w:rsid w:val="53385ED7"/>
    <w:rsid w:val="533B7DA0"/>
    <w:rsid w:val="53442EF0"/>
    <w:rsid w:val="5345333A"/>
    <w:rsid w:val="53513120"/>
    <w:rsid w:val="53536C33"/>
    <w:rsid w:val="53536E98"/>
    <w:rsid w:val="535449BE"/>
    <w:rsid w:val="53590226"/>
    <w:rsid w:val="535A6478"/>
    <w:rsid w:val="535B2858"/>
    <w:rsid w:val="535D3873"/>
    <w:rsid w:val="535E75EB"/>
    <w:rsid w:val="53603363"/>
    <w:rsid w:val="53672943"/>
    <w:rsid w:val="53746F88"/>
    <w:rsid w:val="53755688"/>
    <w:rsid w:val="53760DD8"/>
    <w:rsid w:val="537868DB"/>
    <w:rsid w:val="537B678C"/>
    <w:rsid w:val="53832456"/>
    <w:rsid w:val="53867734"/>
    <w:rsid w:val="538B008B"/>
    <w:rsid w:val="538F0EB4"/>
    <w:rsid w:val="53906AF0"/>
    <w:rsid w:val="5391176E"/>
    <w:rsid w:val="53924AD9"/>
    <w:rsid w:val="539354E6"/>
    <w:rsid w:val="5394222F"/>
    <w:rsid w:val="53963229"/>
    <w:rsid w:val="539E0C5C"/>
    <w:rsid w:val="53A039CC"/>
    <w:rsid w:val="53A1505A"/>
    <w:rsid w:val="53A176F2"/>
    <w:rsid w:val="53A33245"/>
    <w:rsid w:val="53AA20F6"/>
    <w:rsid w:val="53AA69BC"/>
    <w:rsid w:val="53AC65A8"/>
    <w:rsid w:val="53AE40CE"/>
    <w:rsid w:val="53B2032E"/>
    <w:rsid w:val="53B74085"/>
    <w:rsid w:val="53BC0303"/>
    <w:rsid w:val="53BC2C8F"/>
    <w:rsid w:val="53C03D13"/>
    <w:rsid w:val="53C24CC5"/>
    <w:rsid w:val="53C3156D"/>
    <w:rsid w:val="53CE6E32"/>
    <w:rsid w:val="53D17CA8"/>
    <w:rsid w:val="53D42E9C"/>
    <w:rsid w:val="53D722CD"/>
    <w:rsid w:val="53DA6B55"/>
    <w:rsid w:val="53DD07F9"/>
    <w:rsid w:val="53E13EF1"/>
    <w:rsid w:val="53F73CC7"/>
    <w:rsid w:val="53F81F38"/>
    <w:rsid w:val="53FB308C"/>
    <w:rsid w:val="53FE377E"/>
    <w:rsid w:val="53FF2B7C"/>
    <w:rsid w:val="540177F1"/>
    <w:rsid w:val="5403095E"/>
    <w:rsid w:val="54063E08"/>
    <w:rsid w:val="540722D6"/>
    <w:rsid w:val="540C5299"/>
    <w:rsid w:val="54115E18"/>
    <w:rsid w:val="541224FD"/>
    <w:rsid w:val="541B1C18"/>
    <w:rsid w:val="541B7982"/>
    <w:rsid w:val="54212E7B"/>
    <w:rsid w:val="54224ABC"/>
    <w:rsid w:val="5426587E"/>
    <w:rsid w:val="54297BF9"/>
    <w:rsid w:val="542C43EF"/>
    <w:rsid w:val="542C65D7"/>
    <w:rsid w:val="54300F87"/>
    <w:rsid w:val="54311940"/>
    <w:rsid w:val="543437E8"/>
    <w:rsid w:val="54343E0A"/>
    <w:rsid w:val="54361761"/>
    <w:rsid w:val="54367A9B"/>
    <w:rsid w:val="543D1818"/>
    <w:rsid w:val="54402158"/>
    <w:rsid w:val="54442658"/>
    <w:rsid w:val="54461839"/>
    <w:rsid w:val="54464BBC"/>
    <w:rsid w:val="54477455"/>
    <w:rsid w:val="54495C05"/>
    <w:rsid w:val="544A35EC"/>
    <w:rsid w:val="544B5F98"/>
    <w:rsid w:val="544D2410"/>
    <w:rsid w:val="544E6134"/>
    <w:rsid w:val="54531554"/>
    <w:rsid w:val="5454733B"/>
    <w:rsid w:val="54571DEF"/>
    <w:rsid w:val="545C0DEF"/>
    <w:rsid w:val="546267E5"/>
    <w:rsid w:val="5464633E"/>
    <w:rsid w:val="54663865"/>
    <w:rsid w:val="546724CF"/>
    <w:rsid w:val="547075D6"/>
    <w:rsid w:val="54761616"/>
    <w:rsid w:val="547D3F6F"/>
    <w:rsid w:val="547F222C"/>
    <w:rsid w:val="548070A5"/>
    <w:rsid w:val="548331D0"/>
    <w:rsid w:val="54882AE2"/>
    <w:rsid w:val="548B7A74"/>
    <w:rsid w:val="549E2395"/>
    <w:rsid w:val="54A66005"/>
    <w:rsid w:val="54A86D6F"/>
    <w:rsid w:val="54AA5156"/>
    <w:rsid w:val="54B02B7F"/>
    <w:rsid w:val="54B139D4"/>
    <w:rsid w:val="54B9075C"/>
    <w:rsid w:val="54B95421"/>
    <w:rsid w:val="54BA2F6A"/>
    <w:rsid w:val="54BE2761"/>
    <w:rsid w:val="54BF230B"/>
    <w:rsid w:val="54C25410"/>
    <w:rsid w:val="54C31DFB"/>
    <w:rsid w:val="54C41444"/>
    <w:rsid w:val="54C4542D"/>
    <w:rsid w:val="54C625D1"/>
    <w:rsid w:val="54C94F38"/>
    <w:rsid w:val="54CF69F2"/>
    <w:rsid w:val="54DC0F5A"/>
    <w:rsid w:val="54DF070E"/>
    <w:rsid w:val="54E0475B"/>
    <w:rsid w:val="54E2628C"/>
    <w:rsid w:val="54F16968"/>
    <w:rsid w:val="54F226E1"/>
    <w:rsid w:val="54F73313"/>
    <w:rsid w:val="54F80955"/>
    <w:rsid w:val="5502690E"/>
    <w:rsid w:val="550565D4"/>
    <w:rsid w:val="55081F04"/>
    <w:rsid w:val="55083CB2"/>
    <w:rsid w:val="55102B67"/>
    <w:rsid w:val="55126BCE"/>
    <w:rsid w:val="55191A1B"/>
    <w:rsid w:val="551D6150"/>
    <w:rsid w:val="551E34D6"/>
    <w:rsid w:val="55230AEC"/>
    <w:rsid w:val="55264138"/>
    <w:rsid w:val="552A00CC"/>
    <w:rsid w:val="552A3C28"/>
    <w:rsid w:val="552B79A7"/>
    <w:rsid w:val="552C3FC0"/>
    <w:rsid w:val="552D3719"/>
    <w:rsid w:val="552F3B91"/>
    <w:rsid w:val="553108D0"/>
    <w:rsid w:val="55342CF9"/>
    <w:rsid w:val="55344AA7"/>
    <w:rsid w:val="553625CD"/>
    <w:rsid w:val="553D7E00"/>
    <w:rsid w:val="553E0825"/>
    <w:rsid w:val="553E6AE1"/>
    <w:rsid w:val="554271C4"/>
    <w:rsid w:val="554525D7"/>
    <w:rsid w:val="55452810"/>
    <w:rsid w:val="554A22E8"/>
    <w:rsid w:val="554A42CB"/>
    <w:rsid w:val="554E679D"/>
    <w:rsid w:val="555170A7"/>
    <w:rsid w:val="555313D1"/>
    <w:rsid w:val="555B1898"/>
    <w:rsid w:val="55627866"/>
    <w:rsid w:val="556F3D31"/>
    <w:rsid w:val="55713605"/>
    <w:rsid w:val="55747BA2"/>
    <w:rsid w:val="5576721A"/>
    <w:rsid w:val="557E6A07"/>
    <w:rsid w:val="55801A9A"/>
    <w:rsid w:val="55842EA5"/>
    <w:rsid w:val="5587536D"/>
    <w:rsid w:val="558B3AB9"/>
    <w:rsid w:val="558E406F"/>
    <w:rsid w:val="558F2CFC"/>
    <w:rsid w:val="55965FBE"/>
    <w:rsid w:val="559B174B"/>
    <w:rsid w:val="559C167A"/>
    <w:rsid w:val="559D264C"/>
    <w:rsid w:val="55A0038E"/>
    <w:rsid w:val="55A559A5"/>
    <w:rsid w:val="55A863DE"/>
    <w:rsid w:val="55AA2FBB"/>
    <w:rsid w:val="55AD03B6"/>
    <w:rsid w:val="55AF2380"/>
    <w:rsid w:val="55AF412E"/>
    <w:rsid w:val="55B27F17"/>
    <w:rsid w:val="55B53A58"/>
    <w:rsid w:val="55B77F4B"/>
    <w:rsid w:val="55BB22CC"/>
    <w:rsid w:val="55BB5265"/>
    <w:rsid w:val="55BD5D60"/>
    <w:rsid w:val="55C0534A"/>
    <w:rsid w:val="55C45E2B"/>
    <w:rsid w:val="55C66E05"/>
    <w:rsid w:val="55CA2593"/>
    <w:rsid w:val="55CA55F7"/>
    <w:rsid w:val="55CD1223"/>
    <w:rsid w:val="55CE0CF4"/>
    <w:rsid w:val="55CE6CAA"/>
    <w:rsid w:val="55CF4C1F"/>
    <w:rsid w:val="55D04FA7"/>
    <w:rsid w:val="55E41916"/>
    <w:rsid w:val="55E7347A"/>
    <w:rsid w:val="55E860FF"/>
    <w:rsid w:val="55EA2C6D"/>
    <w:rsid w:val="55F14DEF"/>
    <w:rsid w:val="55F72C7F"/>
    <w:rsid w:val="55F935FB"/>
    <w:rsid w:val="55FB55C5"/>
    <w:rsid w:val="55FD133D"/>
    <w:rsid w:val="55FF100C"/>
    <w:rsid w:val="56020701"/>
    <w:rsid w:val="56045FCA"/>
    <w:rsid w:val="56073F6A"/>
    <w:rsid w:val="56097CE2"/>
    <w:rsid w:val="560E6A1A"/>
    <w:rsid w:val="5611195D"/>
    <w:rsid w:val="56161C92"/>
    <w:rsid w:val="56193438"/>
    <w:rsid w:val="561C7481"/>
    <w:rsid w:val="561F5757"/>
    <w:rsid w:val="56242D6E"/>
    <w:rsid w:val="562468CA"/>
    <w:rsid w:val="56251B57"/>
    <w:rsid w:val="562B64D0"/>
    <w:rsid w:val="56316AFA"/>
    <w:rsid w:val="56334A1C"/>
    <w:rsid w:val="56352885"/>
    <w:rsid w:val="56356D29"/>
    <w:rsid w:val="563A2710"/>
    <w:rsid w:val="56494582"/>
    <w:rsid w:val="565151E5"/>
    <w:rsid w:val="56557327"/>
    <w:rsid w:val="56575846"/>
    <w:rsid w:val="56575CED"/>
    <w:rsid w:val="5659026C"/>
    <w:rsid w:val="565C2507"/>
    <w:rsid w:val="565D1DDC"/>
    <w:rsid w:val="56672A0E"/>
    <w:rsid w:val="566A4EFD"/>
    <w:rsid w:val="567158A4"/>
    <w:rsid w:val="567333AD"/>
    <w:rsid w:val="567B1C1A"/>
    <w:rsid w:val="567C04B4"/>
    <w:rsid w:val="567C094D"/>
    <w:rsid w:val="568140A3"/>
    <w:rsid w:val="56835CE6"/>
    <w:rsid w:val="56867584"/>
    <w:rsid w:val="56890E23"/>
    <w:rsid w:val="56921A85"/>
    <w:rsid w:val="56956DCB"/>
    <w:rsid w:val="56982E14"/>
    <w:rsid w:val="569956F7"/>
    <w:rsid w:val="569C1432"/>
    <w:rsid w:val="569C36DF"/>
    <w:rsid w:val="569D6990"/>
    <w:rsid w:val="569F1F43"/>
    <w:rsid w:val="56A3487D"/>
    <w:rsid w:val="56A74DC4"/>
    <w:rsid w:val="56AC0382"/>
    <w:rsid w:val="56AC3CDF"/>
    <w:rsid w:val="56B22A9C"/>
    <w:rsid w:val="56B52866"/>
    <w:rsid w:val="56B67742"/>
    <w:rsid w:val="56BC6B02"/>
    <w:rsid w:val="56C60329"/>
    <w:rsid w:val="56C835DF"/>
    <w:rsid w:val="56CA56C3"/>
    <w:rsid w:val="56CE1E94"/>
    <w:rsid w:val="56D05411"/>
    <w:rsid w:val="56DF3F35"/>
    <w:rsid w:val="56E46059"/>
    <w:rsid w:val="56EC5303"/>
    <w:rsid w:val="56EE10A3"/>
    <w:rsid w:val="56EE6C55"/>
    <w:rsid w:val="56EF512A"/>
    <w:rsid w:val="56FB2053"/>
    <w:rsid w:val="570105FA"/>
    <w:rsid w:val="570A502D"/>
    <w:rsid w:val="570B1838"/>
    <w:rsid w:val="570B2A97"/>
    <w:rsid w:val="57160908"/>
    <w:rsid w:val="5717642E"/>
    <w:rsid w:val="571F3872"/>
    <w:rsid w:val="571F75A1"/>
    <w:rsid w:val="57212E09"/>
    <w:rsid w:val="572161FB"/>
    <w:rsid w:val="57250B4B"/>
    <w:rsid w:val="57285B2E"/>
    <w:rsid w:val="57367FFF"/>
    <w:rsid w:val="573C5AC9"/>
    <w:rsid w:val="573F27EE"/>
    <w:rsid w:val="57496D0D"/>
    <w:rsid w:val="574C257C"/>
    <w:rsid w:val="57550131"/>
    <w:rsid w:val="57645C46"/>
    <w:rsid w:val="57664CC0"/>
    <w:rsid w:val="57672F12"/>
    <w:rsid w:val="576D604E"/>
    <w:rsid w:val="57711FE2"/>
    <w:rsid w:val="57737563"/>
    <w:rsid w:val="57767D76"/>
    <w:rsid w:val="57776ECD"/>
    <w:rsid w:val="57780CFE"/>
    <w:rsid w:val="57832CCF"/>
    <w:rsid w:val="57834D3C"/>
    <w:rsid w:val="578404A0"/>
    <w:rsid w:val="578C7B66"/>
    <w:rsid w:val="578E4942"/>
    <w:rsid w:val="5792131B"/>
    <w:rsid w:val="579730CB"/>
    <w:rsid w:val="57A5242C"/>
    <w:rsid w:val="57AE1152"/>
    <w:rsid w:val="57AE732C"/>
    <w:rsid w:val="57AF2B0B"/>
    <w:rsid w:val="57AF7361"/>
    <w:rsid w:val="57B72A76"/>
    <w:rsid w:val="57BF6098"/>
    <w:rsid w:val="57C3426C"/>
    <w:rsid w:val="57C53D6A"/>
    <w:rsid w:val="57C71C02"/>
    <w:rsid w:val="57C71CB3"/>
    <w:rsid w:val="57CE1F93"/>
    <w:rsid w:val="57D25685"/>
    <w:rsid w:val="57D63138"/>
    <w:rsid w:val="57D63150"/>
    <w:rsid w:val="57DB2C59"/>
    <w:rsid w:val="57E24C8E"/>
    <w:rsid w:val="57E336E2"/>
    <w:rsid w:val="57E52089"/>
    <w:rsid w:val="57E601A8"/>
    <w:rsid w:val="57E834F2"/>
    <w:rsid w:val="57E83927"/>
    <w:rsid w:val="57E952BD"/>
    <w:rsid w:val="57EA58F1"/>
    <w:rsid w:val="57F25858"/>
    <w:rsid w:val="57F61771"/>
    <w:rsid w:val="57F746C5"/>
    <w:rsid w:val="57F945DA"/>
    <w:rsid w:val="57FC74D7"/>
    <w:rsid w:val="58044C05"/>
    <w:rsid w:val="58082A96"/>
    <w:rsid w:val="580A07AE"/>
    <w:rsid w:val="580C5867"/>
    <w:rsid w:val="58100309"/>
    <w:rsid w:val="58134E48"/>
    <w:rsid w:val="581D38D8"/>
    <w:rsid w:val="581D7C2B"/>
    <w:rsid w:val="58235A2F"/>
    <w:rsid w:val="582D6EF7"/>
    <w:rsid w:val="58354DBE"/>
    <w:rsid w:val="583733E0"/>
    <w:rsid w:val="583A40A4"/>
    <w:rsid w:val="58404BF5"/>
    <w:rsid w:val="58457402"/>
    <w:rsid w:val="58470B61"/>
    <w:rsid w:val="5848477E"/>
    <w:rsid w:val="584A2FE9"/>
    <w:rsid w:val="584E630F"/>
    <w:rsid w:val="58546B0D"/>
    <w:rsid w:val="58580AAD"/>
    <w:rsid w:val="58586CFE"/>
    <w:rsid w:val="585A61E3"/>
    <w:rsid w:val="585E52F5"/>
    <w:rsid w:val="585F2561"/>
    <w:rsid w:val="5866766D"/>
    <w:rsid w:val="586E6522"/>
    <w:rsid w:val="58732438"/>
    <w:rsid w:val="587B2367"/>
    <w:rsid w:val="587E56A8"/>
    <w:rsid w:val="588040E3"/>
    <w:rsid w:val="5882405C"/>
    <w:rsid w:val="588418A2"/>
    <w:rsid w:val="588743D1"/>
    <w:rsid w:val="5887701A"/>
    <w:rsid w:val="58902C7A"/>
    <w:rsid w:val="58907086"/>
    <w:rsid w:val="58A55427"/>
    <w:rsid w:val="58A75590"/>
    <w:rsid w:val="58AB6E2E"/>
    <w:rsid w:val="58AF08B9"/>
    <w:rsid w:val="58B303D9"/>
    <w:rsid w:val="58B46E42"/>
    <w:rsid w:val="58B55EFF"/>
    <w:rsid w:val="58B66C14"/>
    <w:rsid w:val="58B71C77"/>
    <w:rsid w:val="58B93701"/>
    <w:rsid w:val="58BA1767"/>
    <w:rsid w:val="58BA34E5"/>
    <w:rsid w:val="58BC728D"/>
    <w:rsid w:val="58BF6D7E"/>
    <w:rsid w:val="58C1067D"/>
    <w:rsid w:val="58C6010C"/>
    <w:rsid w:val="58CC0C6F"/>
    <w:rsid w:val="58CE59D8"/>
    <w:rsid w:val="58D17379"/>
    <w:rsid w:val="58D36323"/>
    <w:rsid w:val="58D64704"/>
    <w:rsid w:val="58D80F93"/>
    <w:rsid w:val="58D95C71"/>
    <w:rsid w:val="58DF54BF"/>
    <w:rsid w:val="58E275DE"/>
    <w:rsid w:val="58E47841"/>
    <w:rsid w:val="58E53B80"/>
    <w:rsid w:val="58EA21E6"/>
    <w:rsid w:val="58EB36CF"/>
    <w:rsid w:val="58EC457C"/>
    <w:rsid w:val="58F534DF"/>
    <w:rsid w:val="58F61CCC"/>
    <w:rsid w:val="58FC29EF"/>
    <w:rsid w:val="58FD15E8"/>
    <w:rsid w:val="58FE4A19"/>
    <w:rsid w:val="59026058"/>
    <w:rsid w:val="59080725"/>
    <w:rsid w:val="5909243F"/>
    <w:rsid w:val="590B5B1F"/>
    <w:rsid w:val="590C4F59"/>
    <w:rsid w:val="591744C4"/>
    <w:rsid w:val="591C0D62"/>
    <w:rsid w:val="591D4E77"/>
    <w:rsid w:val="59254E33"/>
    <w:rsid w:val="59260BAB"/>
    <w:rsid w:val="592A07BA"/>
    <w:rsid w:val="592B4413"/>
    <w:rsid w:val="592D018B"/>
    <w:rsid w:val="592E0C4E"/>
    <w:rsid w:val="592F3EA4"/>
    <w:rsid w:val="59332F66"/>
    <w:rsid w:val="593B35D7"/>
    <w:rsid w:val="59417793"/>
    <w:rsid w:val="59425A14"/>
    <w:rsid w:val="59441031"/>
    <w:rsid w:val="59444C41"/>
    <w:rsid w:val="59492413"/>
    <w:rsid w:val="5952151D"/>
    <w:rsid w:val="59557213"/>
    <w:rsid w:val="59570D64"/>
    <w:rsid w:val="595B6AA6"/>
    <w:rsid w:val="595D004C"/>
    <w:rsid w:val="595E20F3"/>
    <w:rsid w:val="59601E20"/>
    <w:rsid w:val="59617E35"/>
    <w:rsid w:val="596209A6"/>
    <w:rsid w:val="596266FC"/>
    <w:rsid w:val="59647D01"/>
    <w:rsid w:val="596544AE"/>
    <w:rsid w:val="596671F9"/>
    <w:rsid w:val="59710803"/>
    <w:rsid w:val="597610C2"/>
    <w:rsid w:val="597653C7"/>
    <w:rsid w:val="597A6C86"/>
    <w:rsid w:val="5980222F"/>
    <w:rsid w:val="598B6C60"/>
    <w:rsid w:val="598C74CC"/>
    <w:rsid w:val="598D50F3"/>
    <w:rsid w:val="599716A2"/>
    <w:rsid w:val="59975605"/>
    <w:rsid w:val="5999291B"/>
    <w:rsid w:val="59A33FA9"/>
    <w:rsid w:val="59A53CE1"/>
    <w:rsid w:val="59A73A9A"/>
    <w:rsid w:val="59AA25E2"/>
    <w:rsid w:val="59AC62AE"/>
    <w:rsid w:val="59AD307A"/>
    <w:rsid w:val="59AD3C12"/>
    <w:rsid w:val="59B30690"/>
    <w:rsid w:val="59B44408"/>
    <w:rsid w:val="59B45AF6"/>
    <w:rsid w:val="59B63CDD"/>
    <w:rsid w:val="59B83EF9"/>
    <w:rsid w:val="59C0439F"/>
    <w:rsid w:val="59C7413C"/>
    <w:rsid w:val="59D40607"/>
    <w:rsid w:val="59D453B7"/>
    <w:rsid w:val="59D625D1"/>
    <w:rsid w:val="59D975AF"/>
    <w:rsid w:val="59E06223"/>
    <w:rsid w:val="59E24AD2"/>
    <w:rsid w:val="59E469F1"/>
    <w:rsid w:val="59E720E8"/>
    <w:rsid w:val="59E806C7"/>
    <w:rsid w:val="59E92304"/>
    <w:rsid w:val="59EA607C"/>
    <w:rsid w:val="59EA6202"/>
    <w:rsid w:val="59EC5950"/>
    <w:rsid w:val="59EC76FE"/>
    <w:rsid w:val="59ED3476"/>
    <w:rsid w:val="59EE791A"/>
    <w:rsid w:val="59F52A3C"/>
    <w:rsid w:val="59F60CF8"/>
    <w:rsid w:val="59F667CF"/>
    <w:rsid w:val="59FC75C2"/>
    <w:rsid w:val="5A012C99"/>
    <w:rsid w:val="5A0233C6"/>
    <w:rsid w:val="5A02695A"/>
    <w:rsid w:val="5A032C9A"/>
    <w:rsid w:val="5A0C4199"/>
    <w:rsid w:val="5A0D37E5"/>
    <w:rsid w:val="5A0F1829"/>
    <w:rsid w:val="5A131CE8"/>
    <w:rsid w:val="5A204604"/>
    <w:rsid w:val="5A2359F1"/>
    <w:rsid w:val="5A2F1CE1"/>
    <w:rsid w:val="5A307D4C"/>
    <w:rsid w:val="5A33532D"/>
    <w:rsid w:val="5A335D71"/>
    <w:rsid w:val="5A367015"/>
    <w:rsid w:val="5A3A1ABA"/>
    <w:rsid w:val="5A3C31EA"/>
    <w:rsid w:val="5A3D07F3"/>
    <w:rsid w:val="5A403A28"/>
    <w:rsid w:val="5A432D36"/>
    <w:rsid w:val="5A596479"/>
    <w:rsid w:val="5A5B4884"/>
    <w:rsid w:val="5A5C55A1"/>
    <w:rsid w:val="5A5D05FC"/>
    <w:rsid w:val="5A5D684E"/>
    <w:rsid w:val="5A627044"/>
    <w:rsid w:val="5A663955"/>
    <w:rsid w:val="5A706581"/>
    <w:rsid w:val="5A731BCE"/>
    <w:rsid w:val="5A795B68"/>
    <w:rsid w:val="5A7D2CE7"/>
    <w:rsid w:val="5A8262B5"/>
    <w:rsid w:val="5A847860"/>
    <w:rsid w:val="5A851901"/>
    <w:rsid w:val="5A8913F1"/>
    <w:rsid w:val="5A8A0299"/>
    <w:rsid w:val="5A8B5169"/>
    <w:rsid w:val="5A8D5F7D"/>
    <w:rsid w:val="5A8F3BA2"/>
    <w:rsid w:val="5A9349DC"/>
    <w:rsid w:val="5A9F0C15"/>
    <w:rsid w:val="5AA52BC1"/>
    <w:rsid w:val="5AA56D82"/>
    <w:rsid w:val="5AA85B39"/>
    <w:rsid w:val="5AA91A93"/>
    <w:rsid w:val="5AB346C0"/>
    <w:rsid w:val="5AB53F94"/>
    <w:rsid w:val="5AB84E76"/>
    <w:rsid w:val="5ABB4D72"/>
    <w:rsid w:val="5ABE2233"/>
    <w:rsid w:val="5ABE5A4B"/>
    <w:rsid w:val="5AC226A1"/>
    <w:rsid w:val="5AC462A3"/>
    <w:rsid w:val="5AC73C3A"/>
    <w:rsid w:val="5AC938EB"/>
    <w:rsid w:val="5AC97A40"/>
    <w:rsid w:val="5ACE2473"/>
    <w:rsid w:val="5AD54636"/>
    <w:rsid w:val="5AD563E4"/>
    <w:rsid w:val="5AD7215D"/>
    <w:rsid w:val="5AD96BC3"/>
    <w:rsid w:val="5ADA39FB"/>
    <w:rsid w:val="5ADC3C17"/>
    <w:rsid w:val="5ADD4AE8"/>
    <w:rsid w:val="5ADD7DC6"/>
    <w:rsid w:val="5ADF6F3A"/>
    <w:rsid w:val="5ADF7263"/>
    <w:rsid w:val="5AE27234"/>
    <w:rsid w:val="5AE34FA5"/>
    <w:rsid w:val="5AE63D07"/>
    <w:rsid w:val="5AE87C8F"/>
    <w:rsid w:val="5AEA47A1"/>
    <w:rsid w:val="5AEB3E5A"/>
    <w:rsid w:val="5AED0425"/>
    <w:rsid w:val="5AF93724"/>
    <w:rsid w:val="5AFC62B9"/>
    <w:rsid w:val="5AFF3461"/>
    <w:rsid w:val="5AFF4DB0"/>
    <w:rsid w:val="5B0C743C"/>
    <w:rsid w:val="5B0D75A3"/>
    <w:rsid w:val="5B144CB3"/>
    <w:rsid w:val="5B1A64ED"/>
    <w:rsid w:val="5B1C04B7"/>
    <w:rsid w:val="5B1F58B2"/>
    <w:rsid w:val="5B211B20"/>
    <w:rsid w:val="5B215D77"/>
    <w:rsid w:val="5B21787C"/>
    <w:rsid w:val="5B234BF3"/>
    <w:rsid w:val="5B2358BC"/>
    <w:rsid w:val="5B275B22"/>
    <w:rsid w:val="5B2D6220"/>
    <w:rsid w:val="5B2F1F99"/>
    <w:rsid w:val="5B332A87"/>
    <w:rsid w:val="5B3950C4"/>
    <w:rsid w:val="5B3A093D"/>
    <w:rsid w:val="5B3C2A37"/>
    <w:rsid w:val="5B3E455E"/>
    <w:rsid w:val="5B440E4E"/>
    <w:rsid w:val="5B463948"/>
    <w:rsid w:val="5B541A2E"/>
    <w:rsid w:val="5B5E462C"/>
    <w:rsid w:val="5B624BBB"/>
    <w:rsid w:val="5B627E52"/>
    <w:rsid w:val="5B630E90"/>
    <w:rsid w:val="5B66495E"/>
    <w:rsid w:val="5B6D0D13"/>
    <w:rsid w:val="5B6F4A8B"/>
    <w:rsid w:val="5B74506C"/>
    <w:rsid w:val="5B761F16"/>
    <w:rsid w:val="5B773003"/>
    <w:rsid w:val="5B7A4083"/>
    <w:rsid w:val="5B7C2BC9"/>
    <w:rsid w:val="5B7C7CA2"/>
    <w:rsid w:val="5B8027F4"/>
    <w:rsid w:val="5B804E56"/>
    <w:rsid w:val="5B811B57"/>
    <w:rsid w:val="5B8C4407"/>
    <w:rsid w:val="5B907F2B"/>
    <w:rsid w:val="5B953DC6"/>
    <w:rsid w:val="5B96763D"/>
    <w:rsid w:val="5B9B5880"/>
    <w:rsid w:val="5BA04C44"/>
    <w:rsid w:val="5BA62408"/>
    <w:rsid w:val="5BA97648"/>
    <w:rsid w:val="5BB95D06"/>
    <w:rsid w:val="5BBA5D5A"/>
    <w:rsid w:val="5BBB382C"/>
    <w:rsid w:val="5BBB7CD0"/>
    <w:rsid w:val="5BBE6D09"/>
    <w:rsid w:val="5BBE7621"/>
    <w:rsid w:val="5BBE7690"/>
    <w:rsid w:val="5BC00810"/>
    <w:rsid w:val="5BC528FD"/>
    <w:rsid w:val="5BC71E54"/>
    <w:rsid w:val="5BCA7F13"/>
    <w:rsid w:val="5BD237B0"/>
    <w:rsid w:val="5BD243D6"/>
    <w:rsid w:val="5BD74251"/>
    <w:rsid w:val="5BD806E6"/>
    <w:rsid w:val="5BD95648"/>
    <w:rsid w:val="5BDD1924"/>
    <w:rsid w:val="5BDF5D95"/>
    <w:rsid w:val="5BE20302"/>
    <w:rsid w:val="5BE4283B"/>
    <w:rsid w:val="5BE72873"/>
    <w:rsid w:val="5BF14C2E"/>
    <w:rsid w:val="5BFE7528"/>
    <w:rsid w:val="5C001082"/>
    <w:rsid w:val="5C0A0D6D"/>
    <w:rsid w:val="5C0A6FBD"/>
    <w:rsid w:val="5C0C4088"/>
    <w:rsid w:val="5C1328D2"/>
    <w:rsid w:val="5C174686"/>
    <w:rsid w:val="5C1816B2"/>
    <w:rsid w:val="5C193E44"/>
    <w:rsid w:val="5C1D6295"/>
    <w:rsid w:val="5C1F025F"/>
    <w:rsid w:val="5C205BBF"/>
    <w:rsid w:val="5C242E11"/>
    <w:rsid w:val="5C2C1351"/>
    <w:rsid w:val="5C321615"/>
    <w:rsid w:val="5C390BF5"/>
    <w:rsid w:val="5C3F05AC"/>
    <w:rsid w:val="5C45176F"/>
    <w:rsid w:val="5C471339"/>
    <w:rsid w:val="5C5A7650"/>
    <w:rsid w:val="5C68451B"/>
    <w:rsid w:val="5C693F03"/>
    <w:rsid w:val="5C6D1040"/>
    <w:rsid w:val="5C7560D1"/>
    <w:rsid w:val="5C831C5C"/>
    <w:rsid w:val="5C86060B"/>
    <w:rsid w:val="5C88709C"/>
    <w:rsid w:val="5C8B5A45"/>
    <w:rsid w:val="5C900FC3"/>
    <w:rsid w:val="5C901F0C"/>
    <w:rsid w:val="5C902F0B"/>
    <w:rsid w:val="5C9522CF"/>
    <w:rsid w:val="5C981DBF"/>
    <w:rsid w:val="5C9F70ED"/>
    <w:rsid w:val="5CA644DC"/>
    <w:rsid w:val="5CA70254"/>
    <w:rsid w:val="5CA97B29"/>
    <w:rsid w:val="5CAE15E3"/>
    <w:rsid w:val="5CB169DD"/>
    <w:rsid w:val="5CB36BF9"/>
    <w:rsid w:val="5CB817EE"/>
    <w:rsid w:val="5CBA2C4C"/>
    <w:rsid w:val="5CBA7D0C"/>
    <w:rsid w:val="5CC06FCC"/>
    <w:rsid w:val="5CC11316"/>
    <w:rsid w:val="5CC3098C"/>
    <w:rsid w:val="5CCE2189"/>
    <w:rsid w:val="5CD379A9"/>
    <w:rsid w:val="5CD526CC"/>
    <w:rsid w:val="5CDA23D8"/>
    <w:rsid w:val="5CDE61E5"/>
    <w:rsid w:val="5CE46DB3"/>
    <w:rsid w:val="5CE57E3C"/>
    <w:rsid w:val="5CE96477"/>
    <w:rsid w:val="5CEC3A93"/>
    <w:rsid w:val="5CEC747F"/>
    <w:rsid w:val="5CF54B1C"/>
    <w:rsid w:val="5CFD5DA4"/>
    <w:rsid w:val="5D002B6A"/>
    <w:rsid w:val="5D0204D6"/>
    <w:rsid w:val="5D094A6B"/>
    <w:rsid w:val="5D0A2889"/>
    <w:rsid w:val="5D0B04AC"/>
    <w:rsid w:val="5D0C1C08"/>
    <w:rsid w:val="5D0E2082"/>
    <w:rsid w:val="5D101956"/>
    <w:rsid w:val="5D107BA8"/>
    <w:rsid w:val="5D1256CE"/>
    <w:rsid w:val="5D131446"/>
    <w:rsid w:val="5D1717AF"/>
    <w:rsid w:val="5D1A4582"/>
    <w:rsid w:val="5D1C5CC2"/>
    <w:rsid w:val="5D1C7811"/>
    <w:rsid w:val="5D1F7DEB"/>
    <w:rsid w:val="5D2116BF"/>
    <w:rsid w:val="5D250E31"/>
    <w:rsid w:val="5D2740BB"/>
    <w:rsid w:val="5D2746F8"/>
    <w:rsid w:val="5D293816"/>
    <w:rsid w:val="5D323FC2"/>
    <w:rsid w:val="5D372F58"/>
    <w:rsid w:val="5D373386"/>
    <w:rsid w:val="5D375134"/>
    <w:rsid w:val="5D3B07BB"/>
    <w:rsid w:val="5D3B0F8C"/>
    <w:rsid w:val="5D3C099D"/>
    <w:rsid w:val="5D3C6BEF"/>
    <w:rsid w:val="5D3D29AA"/>
    <w:rsid w:val="5D3E4715"/>
    <w:rsid w:val="5D3E7A82"/>
    <w:rsid w:val="5D470B36"/>
    <w:rsid w:val="5D526250"/>
    <w:rsid w:val="5D535CE6"/>
    <w:rsid w:val="5D567CEE"/>
    <w:rsid w:val="5D57778A"/>
    <w:rsid w:val="5D6241BC"/>
    <w:rsid w:val="5D627360"/>
    <w:rsid w:val="5D6E48CE"/>
    <w:rsid w:val="5D74760D"/>
    <w:rsid w:val="5D7A7717"/>
    <w:rsid w:val="5D7B7E30"/>
    <w:rsid w:val="5D7C0182"/>
    <w:rsid w:val="5D7E7207"/>
    <w:rsid w:val="5D850596"/>
    <w:rsid w:val="5D942D30"/>
    <w:rsid w:val="5D9B1B67"/>
    <w:rsid w:val="5DA36273"/>
    <w:rsid w:val="5DA822F9"/>
    <w:rsid w:val="5DAC246E"/>
    <w:rsid w:val="5DB42C29"/>
    <w:rsid w:val="5DB449D7"/>
    <w:rsid w:val="5DBB1E62"/>
    <w:rsid w:val="5DC11BD4"/>
    <w:rsid w:val="5DC32E6C"/>
    <w:rsid w:val="5DC42740"/>
    <w:rsid w:val="5DC759B6"/>
    <w:rsid w:val="5DC961C2"/>
    <w:rsid w:val="5DCD5A99"/>
    <w:rsid w:val="5DD337FE"/>
    <w:rsid w:val="5DDB29D0"/>
    <w:rsid w:val="5DDC3F2E"/>
    <w:rsid w:val="5DDF7CE6"/>
    <w:rsid w:val="5DE401C7"/>
    <w:rsid w:val="5DEA0758"/>
    <w:rsid w:val="5DEE4B0E"/>
    <w:rsid w:val="5DEF78BB"/>
    <w:rsid w:val="5DF3340F"/>
    <w:rsid w:val="5DF96318"/>
    <w:rsid w:val="5DFE63FB"/>
    <w:rsid w:val="5E001ACF"/>
    <w:rsid w:val="5E077FA7"/>
    <w:rsid w:val="5E08087F"/>
    <w:rsid w:val="5E0D034B"/>
    <w:rsid w:val="5E1436C8"/>
    <w:rsid w:val="5E195986"/>
    <w:rsid w:val="5E1B7EF2"/>
    <w:rsid w:val="5E1C257C"/>
    <w:rsid w:val="5E1E4DF0"/>
    <w:rsid w:val="5E1F60A7"/>
    <w:rsid w:val="5E2356B9"/>
    <w:rsid w:val="5E2467F1"/>
    <w:rsid w:val="5E2A4C99"/>
    <w:rsid w:val="5E352B67"/>
    <w:rsid w:val="5E370582"/>
    <w:rsid w:val="5E381A9C"/>
    <w:rsid w:val="5E3B6AAD"/>
    <w:rsid w:val="5E455499"/>
    <w:rsid w:val="5E4A70E9"/>
    <w:rsid w:val="5E4F4700"/>
    <w:rsid w:val="5E565A8E"/>
    <w:rsid w:val="5E577F63"/>
    <w:rsid w:val="5E631F59"/>
    <w:rsid w:val="5E635D82"/>
    <w:rsid w:val="5E6957C1"/>
    <w:rsid w:val="5E730575"/>
    <w:rsid w:val="5E761C8C"/>
    <w:rsid w:val="5E7674DE"/>
    <w:rsid w:val="5E79083D"/>
    <w:rsid w:val="5E800D5D"/>
    <w:rsid w:val="5E89726E"/>
    <w:rsid w:val="5E8A5738"/>
    <w:rsid w:val="5E987791"/>
    <w:rsid w:val="5E9F464C"/>
    <w:rsid w:val="5E9F7435"/>
    <w:rsid w:val="5EA66A16"/>
    <w:rsid w:val="5EA902B4"/>
    <w:rsid w:val="5EAF155F"/>
    <w:rsid w:val="5EB033F0"/>
    <w:rsid w:val="5EB036B2"/>
    <w:rsid w:val="5EBD78BB"/>
    <w:rsid w:val="5EC62C14"/>
    <w:rsid w:val="5EC7073A"/>
    <w:rsid w:val="5EC944B2"/>
    <w:rsid w:val="5ECA1FD8"/>
    <w:rsid w:val="5ECB647C"/>
    <w:rsid w:val="5ECC7AFE"/>
    <w:rsid w:val="5ED30271"/>
    <w:rsid w:val="5ED370DF"/>
    <w:rsid w:val="5EDE0D40"/>
    <w:rsid w:val="5EE027E7"/>
    <w:rsid w:val="5EE22D04"/>
    <w:rsid w:val="5EE475E4"/>
    <w:rsid w:val="5EE55333"/>
    <w:rsid w:val="5EEC6D75"/>
    <w:rsid w:val="5EED1FEC"/>
    <w:rsid w:val="5EF07C91"/>
    <w:rsid w:val="5EF37781"/>
    <w:rsid w:val="5EF37937"/>
    <w:rsid w:val="5EF501D3"/>
    <w:rsid w:val="5EFC134A"/>
    <w:rsid w:val="5EFE5DC1"/>
    <w:rsid w:val="5EFF5A75"/>
    <w:rsid w:val="5F014E9D"/>
    <w:rsid w:val="5F071428"/>
    <w:rsid w:val="5F0965A4"/>
    <w:rsid w:val="5F0B0D18"/>
    <w:rsid w:val="5F1119B5"/>
    <w:rsid w:val="5F191519"/>
    <w:rsid w:val="5F1A2B43"/>
    <w:rsid w:val="5F1F1FF6"/>
    <w:rsid w:val="5F2218B2"/>
    <w:rsid w:val="5F2B6F1B"/>
    <w:rsid w:val="5F2D2C93"/>
    <w:rsid w:val="5F311D58"/>
    <w:rsid w:val="5F3B05DC"/>
    <w:rsid w:val="5F3E3C5B"/>
    <w:rsid w:val="5F401D9B"/>
    <w:rsid w:val="5F41214C"/>
    <w:rsid w:val="5F431FA1"/>
    <w:rsid w:val="5F441D8B"/>
    <w:rsid w:val="5F461238"/>
    <w:rsid w:val="5F462387"/>
    <w:rsid w:val="5F4A106A"/>
    <w:rsid w:val="5F4B022D"/>
    <w:rsid w:val="5F4B4919"/>
    <w:rsid w:val="5F506981"/>
    <w:rsid w:val="5F530220"/>
    <w:rsid w:val="5F5650DC"/>
    <w:rsid w:val="5F5875E4"/>
    <w:rsid w:val="5F592D36"/>
    <w:rsid w:val="5F595ACD"/>
    <w:rsid w:val="5F5C6189"/>
    <w:rsid w:val="5F5F1038"/>
    <w:rsid w:val="5F6B4CCF"/>
    <w:rsid w:val="5F7A2EE8"/>
    <w:rsid w:val="5F7E529D"/>
    <w:rsid w:val="5F864151"/>
    <w:rsid w:val="5F8A052F"/>
    <w:rsid w:val="5F8C0AE5"/>
    <w:rsid w:val="5F8F1018"/>
    <w:rsid w:val="5F9525E6"/>
    <w:rsid w:val="5F9862CA"/>
    <w:rsid w:val="5FA32F55"/>
    <w:rsid w:val="5FB7255D"/>
    <w:rsid w:val="5FB837BB"/>
    <w:rsid w:val="5FBF31B3"/>
    <w:rsid w:val="5FC222E6"/>
    <w:rsid w:val="5FC259CE"/>
    <w:rsid w:val="5FC4308B"/>
    <w:rsid w:val="5FCF3D4A"/>
    <w:rsid w:val="5FD01870"/>
    <w:rsid w:val="5FD0361E"/>
    <w:rsid w:val="5FD255E8"/>
    <w:rsid w:val="5FD46A15"/>
    <w:rsid w:val="5FD924D3"/>
    <w:rsid w:val="5FE532A2"/>
    <w:rsid w:val="5FF21651"/>
    <w:rsid w:val="5FF67529"/>
    <w:rsid w:val="5FFC4413"/>
    <w:rsid w:val="5FFD5996"/>
    <w:rsid w:val="6008100A"/>
    <w:rsid w:val="60103799"/>
    <w:rsid w:val="6017749F"/>
    <w:rsid w:val="60177B46"/>
    <w:rsid w:val="60180706"/>
    <w:rsid w:val="601B6F8F"/>
    <w:rsid w:val="601C3E3D"/>
    <w:rsid w:val="601E25DC"/>
    <w:rsid w:val="60200102"/>
    <w:rsid w:val="60234096"/>
    <w:rsid w:val="602A28EC"/>
    <w:rsid w:val="602C11A0"/>
    <w:rsid w:val="60365B77"/>
    <w:rsid w:val="603C3B9C"/>
    <w:rsid w:val="60402552"/>
    <w:rsid w:val="604069F6"/>
    <w:rsid w:val="604638E0"/>
    <w:rsid w:val="60473184"/>
    <w:rsid w:val="60483AFC"/>
    <w:rsid w:val="604A517F"/>
    <w:rsid w:val="604F4E8B"/>
    <w:rsid w:val="60522285"/>
    <w:rsid w:val="60593614"/>
    <w:rsid w:val="60620269"/>
    <w:rsid w:val="6065020A"/>
    <w:rsid w:val="60656AB9"/>
    <w:rsid w:val="60673F83"/>
    <w:rsid w:val="60681AA9"/>
    <w:rsid w:val="60695F4D"/>
    <w:rsid w:val="606A5D6B"/>
    <w:rsid w:val="6072639B"/>
    <w:rsid w:val="60757447"/>
    <w:rsid w:val="607937C9"/>
    <w:rsid w:val="60793CB6"/>
    <w:rsid w:val="607B03DD"/>
    <w:rsid w:val="607E12CC"/>
    <w:rsid w:val="60803296"/>
    <w:rsid w:val="60891CF4"/>
    <w:rsid w:val="608A127E"/>
    <w:rsid w:val="608F19AC"/>
    <w:rsid w:val="60910267"/>
    <w:rsid w:val="60967917"/>
    <w:rsid w:val="609D307B"/>
    <w:rsid w:val="60A356C4"/>
    <w:rsid w:val="60A56859"/>
    <w:rsid w:val="60A95C2E"/>
    <w:rsid w:val="60A978E8"/>
    <w:rsid w:val="60B50F97"/>
    <w:rsid w:val="60B8658C"/>
    <w:rsid w:val="60BC7E74"/>
    <w:rsid w:val="60BD1060"/>
    <w:rsid w:val="60BE2043"/>
    <w:rsid w:val="60BE791B"/>
    <w:rsid w:val="60C04175"/>
    <w:rsid w:val="60C82547"/>
    <w:rsid w:val="60CC405A"/>
    <w:rsid w:val="60CD3C52"/>
    <w:rsid w:val="60CE5484"/>
    <w:rsid w:val="60D63372"/>
    <w:rsid w:val="60DB1612"/>
    <w:rsid w:val="60DC7029"/>
    <w:rsid w:val="60DD4245"/>
    <w:rsid w:val="60DE1591"/>
    <w:rsid w:val="60E44846"/>
    <w:rsid w:val="60E44EAB"/>
    <w:rsid w:val="60F35816"/>
    <w:rsid w:val="60F94C01"/>
    <w:rsid w:val="60FD75AC"/>
    <w:rsid w:val="61006F0C"/>
    <w:rsid w:val="611052AA"/>
    <w:rsid w:val="611759A9"/>
    <w:rsid w:val="61197766"/>
    <w:rsid w:val="61202383"/>
    <w:rsid w:val="61232F88"/>
    <w:rsid w:val="612956DC"/>
    <w:rsid w:val="612D2848"/>
    <w:rsid w:val="612E4AA0"/>
    <w:rsid w:val="612F0A64"/>
    <w:rsid w:val="61357BDD"/>
    <w:rsid w:val="613B0F6B"/>
    <w:rsid w:val="613B213C"/>
    <w:rsid w:val="614442C4"/>
    <w:rsid w:val="614C27B6"/>
    <w:rsid w:val="614E4127"/>
    <w:rsid w:val="61544139"/>
    <w:rsid w:val="615A5895"/>
    <w:rsid w:val="615A6E64"/>
    <w:rsid w:val="615E1FB9"/>
    <w:rsid w:val="61616C24"/>
    <w:rsid w:val="616404C2"/>
    <w:rsid w:val="61646714"/>
    <w:rsid w:val="616473E7"/>
    <w:rsid w:val="61676CFF"/>
    <w:rsid w:val="616B1851"/>
    <w:rsid w:val="616B68A3"/>
    <w:rsid w:val="616C0976"/>
    <w:rsid w:val="616F4356"/>
    <w:rsid w:val="617240E5"/>
    <w:rsid w:val="61764927"/>
    <w:rsid w:val="617C404C"/>
    <w:rsid w:val="61811074"/>
    <w:rsid w:val="61832254"/>
    <w:rsid w:val="618531C6"/>
    <w:rsid w:val="618A197E"/>
    <w:rsid w:val="6192502F"/>
    <w:rsid w:val="61926DDD"/>
    <w:rsid w:val="61930DA7"/>
    <w:rsid w:val="61932B55"/>
    <w:rsid w:val="619472BB"/>
    <w:rsid w:val="61955C36"/>
    <w:rsid w:val="619A4975"/>
    <w:rsid w:val="619B3FD0"/>
    <w:rsid w:val="619C7C5C"/>
    <w:rsid w:val="61A30D8A"/>
    <w:rsid w:val="61A30FEA"/>
    <w:rsid w:val="61A46B11"/>
    <w:rsid w:val="61A56C12"/>
    <w:rsid w:val="61AB4343"/>
    <w:rsid w:val="61AE5BF4"/>
    <w:rsid w:val="61AF3E33"/>
    <w:rsid w:val="61B551C2"/>
    <w:rsid w:val="61B62A43"/>
    <w:rsid w:val="61B825BC"/>
    <w:rsid w:val="61BC02FE"/>
    <w:rsid w:val="61BC1242"/>
    <w:rsid w:val="61BD1D0E"/>
    <w:rsid w:val="61C176C2"/>
    <w:rsid w:val="61C53F19"/>
    <w:rsid w:val="61C6117D"/>
    <w:rsid w:val="61C808EF"/>
    <w:rsid w:val="61C83B57"/>
    <w:rsid w:val="61CC33D5"/>
    <w:rsid w:val="61CD11EB"/>
    <w:rsid w:val="61CD42B9"/>
    <w:rsid w:val="61CF1677"/>
    <w:rsid w:val="61CF1FFF"/>
    <w:rsid w:val="61D17319"/>
    <w:rsid w:val="61D75E21"/>
    <w:rsid w:val="61D85AC9"/>
    <w:rsid w:val="61DE1F28"/>
    <w:rsid w:val="61E215D8"/>
    <w:rsid w:val="61E76A46"/>
    <w:rsid w:val="61E83787"/>
    <w:rsid w:val="61ED04B8"/>
    <w:rsid w:val="61FB7C8E"/>
    <w:rsid w:val="61FC06FB"/>
    <w:rsid w:val="62064265"/>
    <w:rsid w:val="620677CB"/>
    <w:rsid w:val="620815C8"/>
    <w:rsid w:val="620A72BB"/>
    <w:rsid w:val="620D6DAC"/>
    <w:rsid w:val="620F40B1"/>
    <w:rsid w:val="6213047A"/>
    <w:rsid w:val="62181EE6"/>
    <w:rsid w:val="62183792"/>
    <w:rsid w:val="621A6DD3"/>
    <w:rsid w:val="621B3775"/>
    <w:rsid w:val="622540F5"/>
    <w:rsid w:val="62261C1B"/>
    <w:rsid w:val="622B0FE0"/>
    <w:rsid w:val="622C6B78"/>
    <w:rsid w:val="62362CF4"/>
    <w:rsid w:val="62364782"/>
    <w:rsid w:val="623720B9"/>
    <w:rsid w:val="62404A8B"/>
    <w:rsid w:val="62414596"/>
    <w:rsid w:val="62415380"/>
    <w:rsid w:val="62481B92"/>
    <w:rsid w:val="624C4E55"/>
    <w:rsid w:val="624E0893"/>
    <w:rsid w:val="624E70B1"/>
    <w:rsid w:val="624F1172"/>
    <w:rsid w:val="625209B9"/>
    <w:rsid w:val="6252656D"/>
    <w:rsid w:val="62614A02"/>
    <w:rsid w:val="62634C1E"/>
    <w:rsid w:val="626369CC"/>
    <w:rsid w:val="626A1B08"/>
    <w:rsid w:val="626D2023"/>
    <w:rsid w:val="627209BD"/>
    <w:rsid w:val="62771F43"/>
    <w:rsid w:val="627838A0"/>
    <w:rsid w:val="62797F9D"/>
    <w:rsid w:val="627D7A8D"/>
    <w:rsid w:val="627E51DA"/>
    <w:rsid w:val="628030DA"/>
    <w:rsid w:val="62850A57"/>
    <w:rsid w:val="62862181"/>
    <w:rsid w:val="628816D8"/>
    <w:rsid w:val="628E1C9B"/>
    <w:rsid w:val="629C4DF2"/>
    <w:rsid w:val="629D3E15"/>
    <w:rsid w:val="62A0552A"/>
    <w:rsid w:val="62AA1DB0"/>
    <w:rsid w:val="62AC4080"/>
    <w:rsid w:val="62AF7E63"/>
    <w:rsid w:val="62B17737"/>
    <w:rsid w:val="62B2525D"/>
    <w:rsid w:val="62B52802"/>
    <w:rsid w:val="62B611F1"/>
    <w:rsid w:val="62B936C9"/>
    <w:rsid w:val="62B965EC"/>
    <w:rsid w:val="62C31A76"/>
    <w:rsid w:val="62C70274"/>
    <w:rsid w:val="62C92CD3"/>
    <w:rsid w:val="62CD2097"/>
    <w:rsid w:val="62CF6AAF"/>
    <w:rsid w:val="62D11B87"/>
    <w:rsid w:val="62D13935"/>
    <w:rsid w:val="62D152C3"/>
    <w:rsid w:val="62D172D1"/>
    <w:rsid w:val="62D33B51"/>
    <w:rsid w:val="62D358FF"/>
    <w:rsid w:val="62E0001C"/>
    <w:rsid w:val="62E12624"/>
    <w:rsid w:val="62E775FD"/>
    <w:rsid w:val="62E8203F"/>
    <w:rsid w:val="62F31AFE"/>
    <w:rsid w:val="62F53AC8"/>
    <w:rsid w:val="62F615EE"/>
    <w:rsid w:val="62FA7330"/>
    <w:rsid w:val="62FB09B2"/>
    <w:rsid w:val="62FD2D46"/>
    <w:rsid w:val="62FD5FB9"/>
    <w:rsid w:val="63043D0B"/>
    <w:rsid w:val="6306709B"/>
    <w:rsid w:val="630A3E66"/>
    <w:rsid w:val="630E06E5"/>
    <w:rsid w:val="63165FA7"/>
    <w:rsid w:val="632074AD"/>
    <w:rsid w:val="63212267"/>
    <w:rsid w:val="63215906"/>
    <w:rsid w:val="632225B3"/>
    <w:rsid w:val="63293771"/>
    <w:rsid w:val="632B4E06"/>
    <w:rsid w:val="632B64E7"/>
    <w:rsid w:val="632E0D88"/>
    <w:rsid w:val="6330580C"/>
    <w:rsid w:val="63340929"/>
    <w:rsid w:val="633649C0"/>
    <w:rsid w:val="63387A26"/>
    <w:rsid w:val="633914DA"/>
    <w:rsid w:val="633C08FC"/>
    <w:rsid w:val="633E1A60"/>
    <w:rsid w:val="63416D0D"/>
    <w:rsid w:val="634217E8"/>
    <w:rsid w:val="634265E1"/>
    <w:rsid w:val="634B7B8C"/>
    <w:rsid w:val="634E336B"/>
    <w:rsid w:val="634E64FC"/>
    <w:rsid w:val="63544194"/>
    <w:rsid w:val="63590869"/>
    <w:rsid w:val="635F3637"/>
    <w:rsid w:val="63647883"/>
    <w:rsid w:val="6367429A"/>
    <w:rsid w:val="63683A4C"/>
    <w:rsid w:val="636B3D8A"/>
    <w:rsid w:val="636F233B"/>
    <w:rsid w:val="637013A0"/>
    <w:rsid w:val="637A7682"/>
    <w:rsid w:val="63843F1E"/>
    <w:rsid w:val="638552A0"/>
    <w:rsid w:val="638769CE"/>
    <w:rsid w:val="638E55D2"/>
    <w:rsid w:val="6394356A"/>
    <w:rsid w:val="63944097"/>
    <w:rsid w:val="6397692D"/>
    <w:rsid w:val="63983766"/>
    <w:rsid w:val="63996A94"/>
    <w:rsid w:val="639A01CB"/>
    <w:rsid w:val="639D1DD4"/>
    <w:rsid w:val="63A33228"/>
    <w:rsid w:val="63A64DC2"/>
    <w:rsid w:val="63A70B3A"/>
    <w:rsid w:val="63A977B9"/>
    <w:rsid w:val="63B02335"/>
    <w:rsid w:val="63B279CD"/>
    <w:rsid w:val="63B51154"/>
    <w:rsid w:val="63B82D47"/>
    <w:rsid w:val="63B91E59"/>
    <w:rsid w:val="63BC45E5"/>
    <w:rsid w:val="63BD210C"/>
    <w:rsid w:val="63C4067C"/>
    <w:rsid w:val="63C61B2C"/>
    <w:rsid w:val="63C65464"/>
    <w:rsid w:val="63CC234F"/>
    <w:rsid w:val="63D00091"/>
    <w:rsid w:val="63D40BE9"/>
    <w:rsid w:val="63D95197"/>
    <w:rsid w:val="63DD4B50"/>
    <w:rsid w:val="63DD630A"/>
    <w:rsid w:val="63E678B4"/>
    <w:rsid w:val="63EA2D09"/>
    <w:rsid w:val="63EB3B94"/>
    <w:rsid w:val="63EB4ECB"/>
    <w:rsid w:val="63F05DFF"/>
    <w:rsid w:val="63F10BEA"/>
    <w:rsid w:val="63F23BEA"/>
    <w:rsid w:val="63F5102E"/>
    <w:rsid w:val="63F975E8"/>
    <w:rsid w:val="63FF2724"/>
    <w:rsid w:val="64007E18"/>
    <w:rsid w:val="640146EE"/>
    <w:rsid w:val="64074BCA"/>
    <w:rsid w:val="640B49E2"/>
    <w:rsid w:val="640D4E41"/>
    <w:rsid w:val="640E2967"/>
    <w:rsid w:val="64102431"/>
    <w:rsid w:val="641066DF"/>
    <w:rsid w:val="64173EFA"/>
    <w:rsid w:val="6418303F"/>
    <w:rsid w:val="641A6FF0"/>
    <w:rsid w:val="641C5084"/>
    <w:rsid w:val="64242A33"/>
    <w:rsid w:val="64265F03"/>
    <w:rsid w:val="64267CB1"/>
    <w:rsid w:val="64285135"/>
    <w:rsid w:val="642E5A0B"/>
    <w:rsid w:val="642E6B65"/>
    <w:rsid w:val="642F125B"/>
    <w:rsid w:val="642F3009"/>
    <w:rsid w:val="642F7E17"/>
    <w:rsid w:val="643028DD"/>
    <w:rsid w:val="643322BC"/>
    <w:rsid w:val="643A375C"/>
    <w:rsid w:val="643E39FE"/>
    <w:rsid w:val="644279E6"/>
    <w:rsid w:val="64446389"/>
    <w:rsid w:val="64452F49"/>
    <w:rsid w:val="64456942"/>
    <w:rsid w:val="64493D8F"/>
    <w:rsid w:val="644D47F0"/>
    <w:rsid w:val="644F3738"/>
    <w:rsid w:val="64520AA6"/>
    <w:rsid w:val="64671BB7"/>
    <w:rsid w:val="647A41C3"/>
    <w:rsid w:val="64840F16"/>
    <w:rsid w:val="64851E32"/>
    <w:rsid w:val="64882719"/>
    <w:rsid w:val="648A46E4"/>
    <w:rsid w:val="64902B9E"/>
    <w:rsid w:val="64966BE4"/>
    <w:rsid w:val="649C61C5"/>
    <w:rsid w:val="64A31301"/>
    <w:rsid w:val="64A42741"/>
    <w:rsid w:val="64A5243A"/>
    <w:rsid w:val="64A70DF2"/>
    <w:rsid w:val="64AD03D2"/>
    <w:rsid w:val="64AD2180"/>
    <w:rsid w:val="64B068E7"/>
    <w:rsid w:val="64B654D9"/>
    <w:rsid w:val="64B81251"/>
    <w:rsid w:val="64BD0615"/>
    <w:rsid w:val="64C574CA"/>
    <w:rsid w:val="64C9520C"/>
    <w:rsid w:val="64CC6AAA"/>
    <w:rsid w:val="64CF02FD"/>
    <w:rsid w:val="64D040DE"/>
    <w:rsid w:val="64D12312"/>
    <w:rsid w:val="64D21BE7"/>
    <w:rsid w:val="64D74D2B"/>
    <w:rsid w:val="64DD2A65"/>
    <w:rsid w:val="64E14E42"/>
    <w:rsid w:val="64F46001"/>
    <w:rsid w:val="64F47195"/>
    <w:rsid w:val="64F531DE"/>
    <w:rsid w:val="64FE29DC"/>
    <w:rsid w:val="65011063"/>
    <w:rsid w:val="650457AB"/>
    <w:rsid w:val="650758DA"/>
    <w:rsid w:val="65167D25"/>
    <w:rsid w:val="65172C25"/>
    <w:rsid w:val="651C71CE"/>
    <w:rsid w:val="651E1886"/>
    <w:rsid w:val="65247DB9"/>
    <w:rsid w:val="65273CE0"/>
    <w:rsid w:val="652E506F"/>
    <w:rsid w:val="65310A80"/>
    <w:rsid w:val="6531690D"/>
    <w:rsid w:val="65317D45"/>
    <w:rsid w:val="65335EBC"/>
    <w:rsid w:val="65373578"/>
    <w:rsid w:val="6538351C"/>
    <w:rsid w:val="65462432"/>
    <w:rsid w:val="65462486"/>
    <w:rsid w:val="654B3ABF"/>
    <w:rsid w:val="654F3237"/>
    <w:rsid w:val="65517B28"/>
    <w:rsid w:val="655814EA"/>
    <w:rsid w:val="655F4A2A"/>
    <w:rsid w:val="65604E14"/>
    <w:rsid w:val="65607650"/>
    <w:rsid w:val="65644F35"/>
    <w:rsid w:val="6565067D"/>
    <w:rsid w:val="65660CAD"/>
    <w:rsid w:val="656B46CF"/>
    <w:rsid w:val="6578453C"/>
    <w:rsid w:val="657E40B7"/>
    <w:rsid w:val="657F77F3"/>
    <w:rsid w:val="65870C23"/>
    <w:rsid w:val="658C6239"/>
    <w:rsid w:val="658F7046"/>
    <w:rsid w:val="65944F19"/>
    <w:rsid w:val="65962C14"/>
    <w:rsid w:val="659A6BA8"/>
    <w:rsid w:val="65A272E6"/>
    <w:rsid w:val="65A92947"/>
    <w:rsid w:val="65AA7839"/>
    <w:rsid w:val="65AF18EF"/>
    <w:rsid w:val="65AF24FC"/>
    <w:rsid w:val="65B16484"/>
    <w:rsid w:val="65B242C1"/>
    <w:rsid w:val="65B337C6"/>
    <w:rsid w:val="65B41049"/>
    <w:rsid w:val="65B41636"/>
    <w:rsid w:val="65B904AF"/>
    <w:rsid w:val="65BF28C0"/>
    <w:rsid w:val="65C14135"/>
    <w:rsid w:val="65C31EBF"/>
    <w:rsid w:val="65CB0B10"/>
    <w:rsid w:val="65D329DC"/>
    <w:rsid w:val="65D9563C"/>
    <w:rsid w:val="65DB3657"/>
    <w:rsid w:val="65DB6AE0"/>
    <w:rsid w:val="65DC6B33"/>
    <w:rsid w:val="65E12D89"/>
    <w:rsid w:val="65E816C2"/>
    <w:rsid w:val="65E9102E"/>
    <w:rsid w:val="65E971E8"/>
    <w:rsid w:val="65EC0A86"/>
    <w:rsid w:val="65EF0514"/>
    <w:rsid w:val="65FF6A0B"/>
    <w:rsid w:val="66063F8F"/>
    <w:rsid w:val="6607107C"/>
    <w:rsid w:val="660D2ED6"/>
    <w:rsid w:val="66112C08"/>
    <w:rsid w:val="66184BA2"/>
    <w:rsid w:val="661C5916"/>
    <w:rsid w:val="661E48C7"/>
    <w:rsid w:val="661F70AE"/>
    <w:rsid w:val="661F7830"/>
    <w:rsid w:val="66240220"/>
    <w:rsid w:val="66264306"/>
    <w:rsid w:val="66320B8F"/>
    <w:rsid w:val="66391F1D"/>
    <w:rsid w:val="663A7A43"/>
    <w:rsid w:val="6640544E"/>
    <w:rsid w:val="66483D36"/>
    <w:rsid w:val="66503996"/>
    <w:rsid w:val="66575337"/>
    <w:rsid w:val="66577B64"/>
    <w:rsid w:val="66596BBD"/>
    <w:rsid w:val="665C20B0"/>
    <w:rsid w:val="665C3D4F"/>
    <w:rsid w:val="666A0292"/>
    <w:rsid w:val="666B10DF"/>
    <w:rsid w:val="666E38DB"/>
    <w:rsid w:val="66714F40"/>
    <w:rsid w:val="667271DD"/>
    <w:rsid w:val="66763171"/>
    <w:rsid w:val="667B0788"/>
    <w:rsid w:val="66810A05"/>
    <w:rsid w:val="66833198"/>
    <w:rsid w:val="66855E09"/>
    <w:rsid w:val="668607FC"/>
    <w:rsid w:val="66860EDB"/>
    <w:rsid w:val="668641F4"/>
    <w:rsid w:val="668A09CB"/>
    <w:rsid w:val="668F5FE1"/>
    <w:rsid w:val="6695111E"/>
    <w:rsid w:val="669D40AB"/>
    <w:rsid w:val="66A370CE"/>
    <w:rsid w:val="66A718E0"/>
    <w:rsid w:val="66A80E51"/>
    <w:rsid w:val="66AA4BC9"/>
    <w:rsid w:val="66AC6B93"/>
    <w:rsid w:val="66AE3BEE"/>
    <w:rsid w:val="66B26F08"/>
    <w:rsid w:val="66B477F6"/>
    <w:rsid w:val="66C33EDD"/>
    <w:rsid w:val="66C36B8F"/>
    <w:rsid w:val="66C51AAB"/>
    <w:rsid w:val="66C9098F"/>
    <w:rsid w:val="66CD4D5B"/>
    <w:rsid w:val="66CD74EB"/>
    <w:rsid w:val="66D41C46"/>
    <w:rsid w:val="66DA706A"/>
    <w:rsid w:val="66DF6717"/>
    <w:rsid w:val="66E0683F"/>
    <w:rsid w:val="66E414EA"/>
    <w:rsid w:val="66E873CE"/>
    <w:rsid w:val="66F300FB"/>
    <w:rsid w:val="66F5632C"/>
    <w:rsid w:val="66FB3677"/>
    <w:rsid w:val="6703152B"/>
    <w:rsid w:val="670503E1"/>
    <w:rsid w:val="67073DC9"/>
    <w:rsid w:val="670752CC"/>
    <w:rsid w:val="670F7122"/>
    <w:rsid w:val="67141D0B"/>
    <w:rsid w:val="671708C5"/>
    <w:rsid w:val="67185FD7"/>
    <w:rsid w:val="67191D4F"/>
    <w:rsid w:val="671F124A"/>
    <w:rsid w:val="67206C39"/>
    <w:rsid w:val="6722070B"/>
    <w:rsid w:val="672524A2"/>
    <w:rsid w:val="67266558"/>
    <w:rsid w:val="67283D40"/>
    <w:rsid w:val="672D1356"/>
    <w:rsid w:val="67392CCC"/>
    <w:rsid w:val="67397CFB"/>
    <w:rsid w:val="673C2122"/>
    <w:rsid w:val="674067A8"/>
    <w:rsid w:val="67452246"/>
    <w:rsid w:val="6746005A"/>
    <w:rsid w:val="67467072"/>
    <w:rsid w:val="674D150B"/>
    <w:rsid w:val="674D2CD2"/>
    <w:rsid w:val="67554EF5"/>
    <w:rsid w:val="67586027"/>
    <w:rsid w:val="67590DCC"/>
    <w:rsid w:val="675A3185"/>
    <w:rsid w:val="675D091D"/>
    <w:rsid w:val="675E7762"/>
    <w:rsid w:val="67626C3F"/>
    <w:rsid w:val="67627252"/>
    <w:rsid w:val="67696832"/>
    <w:rsid w:val="67696CD9"/>
    <w:rsid w:val="67704709"/>
    <w:rsid w:val="67715E8D"/>
    <w:rsid w:val="67750BD7"/>
    <w:rsid w:val="6778132C"/>
    <w:rsid w:val="677A33C6"/>
    <w:rsid w:val="67890C82"/>
    <w:rsid w:val="678C42CF"/>
    <w:rsid w:val="67900263"/>
    <w:rsid w:val="67922539"/>
    <w:rsid w:val="679B09B6"/>
    <w:rsid w:val="679B2764"/>
    <w:rsid w:val="679C2E98"/>
    <w:rsid w:val="679D028A"/>
    <w:rsid w:val="679D5376"/>
    <w:rsid w:val="679F0344"/>
    <w:rsid w:val="679F4002"/>
    <w:rsid w:val="67A23AF2"/>
    <w:rsid w:val="67A41618"/>
    <w:rsid w:val="67A4786A"/>
    <w:rsid w:val="67A51EFC"/>
    <w:rsid w:val="67AC671F"/>
    <w:rsid w:val="67AE343A"/>
    <w:rsid w:val="67BD43F3"/>
    <w:rsid w:val="67C0431C"/>
    <w:rsid w:val="67C32A17"/>
    <w:rsid w:val="67CA4DF7"/>
    <w:rsid w:val="67D03B42"/>
    <w:rsid w:val="67D124CC"/>
    <w:rsid w:val="67D55C76"/>
    <w:rsid w:val="67D619EE"/>
    <w:rsid w:val="67D63D90"/>
    <w:rsid w:val="67DF6AF4"/>
    <w:rsid w:val="67E20393"/>
    <w:rsid w:val="67E61E8E"/>
    <w:rsid w:val="67E73BFB"/>
    <w:rsid w:val="67E91721"/>
    <w:rsid w:val="67EC20DF"/>
    <w:rsid w:val="67F818B5"/>
    <w:rsid w:val="67FF0F45"/>
    <w:rsid w:val="680102C6"/>
    <w:rsid w:val="68040309"/>
    <w:rsid w:val="68071393"/>
    <w:rsid w:val="680C5410"/>
    <w:rsid w:val="680D18B3"/>
    <w:rsid w:val="681744E0"/>
    <w:rsid w:val="681F6961"/>
    <w:rsid w:val="6828049B"/>
    <w:rsid w:val="68282344"/>
    <w:rsid w:val="683055A2"/>
    <w:rsid w:val="68306927"/>
    <w:rsid w:val="68354966"/>
    <w:rsid w:val="683573B6"/>
    <w:rsid w:val="6837248C"/>
    <w:rsid w:val="683E1412"/>
    <w:rsid w:val="68403510"/>
    <w:rsid w:val="6844104D"/>
    <w:rsid w:val="684A5B95"/>
    <w:rsid w:val="684B5F38"/>
    <w:rsid w:val="684D33EC"/>
    <w:rsid w:val="68524327"/>
    <w:rsid w:val="68540C60"/>
    <w:rsid w:val="6856731C"/>
    <w:rsid w:val="685814FE"/>
    <w:rsid w:val="68594E4C"/>
    <w:rsid w:val="68596203"/>
    <w:rsid w:val="685B394F"/>
    <w:rsid w:val="68610A2F"/>
    <w:rsid w:val="68641968"/>
    <w:rsid w:val="68646FFA"/>
    <w:rsid w:val="68671EE0"/>
    <w:rsid w:val="686D4DEE"/>
    <w:rsid w:val="686F13BE"/>
    <w:rsid w:val="686F5A57"/>
    <w:rsid w:val="686F7E78"/>
    <w:rsid w:val="68705C18"/>
    <w:rsid w:val="687436E1"/>
    <w:rsid w:val="687950AD"/>
    <w:rsid w:val="687C5E39"/>
    <w:rsid w:val="687E455F"/>
    <w:rsid w:val="68805514"/>
    <w:rsid w:val="68815DFE"/>
    <w:rsid w:val="688356D2"/>
    <w:rsid w:val="688651C2"/>
    <w:rsid w:val="68880F3A"/>
    <w:rsid w:val="688F20D7"/>
    <w:rsid w:val="688F37FD"/>
    <w:rsid w:val="68956452"/>
    <w:rsid w:val="689859A9"/>
    <w:rsid w:val="689E42BA"/>
    <w:rsid w:val="68A85138"/>
    <w:rsid w:val="68AA0F63"/>
    <w:rsid w:val="68AA7102"/>
    <w:rsid w:val="68AB2848"/>
    <w:rsid w:val="68B41D2F"/>
    <w:rsid w:val="68B453BE"/>
    <w:rsid w:val="68B46446"/>
    <w:rsid w:val="68B94F26"/>
    <w:rsid w:val="68BF05A2"/>
    <w:rsid w:val="68C53596"/>
    <w:rsid w:val="68D26659"/>
    <w:rsid w:val="68D42C30"/>
    <w:rsid w:val="68D75A1D"/>
    <w:rsid w:val="68DA22C3"/>
    <w:rsid w:val="68DC0F20"/>
    <w:rsid w:val="68E56022"/>
    <w:rsid w:val="68E57CC1"/>
    <w:rsid w:val="68E73D10"/>
    <w:rsid w:val="68F30B57"/>
    <w:rsid w:val="68F465CF"/>
    <w:rsid w:val="68FC7CF6"/>
    <w:rsid w:val="690744A3"/>
    <w:rsid w:val="690B1079"/>
    <w:rsid w:val="69126547"/>
    <w:rsid w:val="691714D9"/>
    <w:rsid w:val="691A3DDD"/>
    <w:rsid w:val="691B3B5C"/>
    <w:rsid w:val="691F66E4"/>
    <w:rsid w:val="692236F6"/>
    <w:rsid w:val="692755F0"/>
    <w:rsid w:val="692844CB"/>
    <w:rsid w:val="692A3144"/>
    <w:rsid w:val="692F4203"/>
    <w:rsid w:val="692F4396"/>
    <w:rsid w:val="69316E2F"/>
    <w:rsid w:val="69407A67"/>
    <w:rsid w:val="69485A1A"/>
    <w:rsid w:val="69485C04"/>
    <w:rsid w:val="694E2071"/>
    <w:rsid w:val="69505C13"/>
    <w:rsid w:val="695312C2"/>
    <w:rsid w:val="6955518E"/>
    <w:rsid w:val="69557DDE"/>
    <w:rsid w:val="695706BC"/>
    <w:rsid w:val="695B03FD"/>
    <w:rsid w:val="695B6F1E"/>
    <w:rsid w:val="695C5990"/>
    <w:rsid w:val="6962178B"/>
    <w:rsid w:val="6965127B"/>
    <w:rsid w:val="696F20FA"/>
    <w:rsid w:val="69731BEA"/>
    <w:rsid w:val="69766163"/>
    <w:rsid w:val="697935EC"/>
    <w:rsid w:val="69796AD5"/>
    <w:rsid w:val="697A3B33"/>
    <w:rsid w:val="697B284D"/>
    <w:rsid w:val="697E3764"/>
    <w:rsid w:val="697F058F"/>
    <w:rsid w:val="69825989"/>
    <w:rsid w:val="69841649"/>
    <w:rsid w:val="69876A11"/>
    <w:rsid w:val="698C2047"/>
    <w:rsid w:val="698C6808"/>
    <w:rsid w:val="698E317B"/>
    <w:rsid w:val="698E6A48"/>
    <w:rsid w:val="6990439B"/>
    <w:rsid w:val="69935DE8"/>
    <w:rsid w:val="699B47B0"/>
    <w:rsid w:val="69A00505"/>
    <w:rsid w:val="69AA5E2F"/>
    <w:rsid w:val="69AD1ECC"/>
    <w:rsid w:val="69AE33EB"/>
    <w:rsid w:val="69B1626F"/>
    <w:rsid w:val="69B60CCC"/>
    <w:rsid w:val="69B73F18"/>
    <w:rsid w:val="69B93291"/>
    <w:rsid w:val="69BC4E2E"/>
    <w:rsid w:val="69C2047C"/>
    <w:rsid w:val="69C53AC8"/>
    <w:rsid w:val="69C8232E"/>
    <w:rsid w:val="69CB37D4"/>
    <w:rsid w:val="69CB51EC"/>
    <w:rsid w:val="69D17924"/>
    <w:rsid w:val="69D44760"/>
    <w:rsid w:val="69DA7573"/>
    <w:rsid w:val="69DC0762"/>
    <w:rsid w:val="69DC778F"/>
    <w:rsid w:val="69E11605"/>
    <w:rsid w:val="69E8794F"/>
    <w:rsid w:val="69EA2BD4"/>
    <w:rsid w:val="69EE7718"/>
    <w:rsid w:val="69F14A8C"/>
    <w:rsid w:val="69F3202B"/>
    <w:rsid w:val="69F8149D"/>
    <w:rsid w:val="69FF2A4C"/>
    <w:rsid w:val="69FF522C"/>
    <w:rsid w:val="6A042842"/>
    <w:rsid w:val="6A095D5D"/>
    <w:rsid w:val="6A0F07A6"/>
    <w:rsid w:val="6A136F29"/>
    <w:rsid w:val="6A1A15F6"/>
    <w:rsid w:val="6A1B6F94"/>
    <w:rsid w:val="6A211646"/>
    <w:rsid w:val="6A222CC8"/>
    <w:rsid w:val="6A243C24"/>
    <w:rsid w:val="6A24707D"/>
    <w:rsid w:val="6A270980"/>
    <w:rsid w:val="6A281DDE"/>
    <w:rsid w:val="6A282CEC"/>
    <w:rsid w:val="6A2C6AE5"/>
    <w:rsid w:val="6A2E28DA"/>
    <w:rsid w:val="6A346104"/>
    <w:rsid w:val="6A3550F2"/>
    <w:rsid w:val="6A377D1F"/>
    <w:rsid w:val="6A3D3FA6"/>
    <w:rsid w:val="6A3F1ACC"/>
    <w:rsid w:val="6A46714C"/>
    <w:rsid w:val="6A475A9B"/>
    <w:rsid w:val="6A4D7232"/>
    <w:rsid w:val="6A4E2025"/>
    <w:rsid w:val="6A520EC7"/>
    <w:rsid w:val="6A537326"/>
    <w:rsid w:val="6A563A62"/>
    <w:rsid w:val="6A57356D"/>
    <w:rsid w:val="6A58046F"/>
    <w:rsid w:val="6A58493C"/>
    <w:rsid w:val="6A64789D"/>
    <w:rsid w:val="6A6652AB"/>
    <w:rsid w:val="6A687B43"/>
    <w:rsid w:val="6A697D3C"/>
    <w:rsid w:val="6A6C5840"/>
    <w:rsid w:val="6A721EA2"/>
    <w:rsid w:val="6A7379C8"/>
    <w:rsid w:val="6A757BBE"/>
    <w:rsid w:val="6A7960E5"/>
    <w:rsid w:val="6A7B0828"/>
    <w:rsid w:val="6A813E93"/>
    <w:rsid w:val="6A815C41"/>
    <w:rsid w:val="6A9364EA"/>
    <w:rsid w:val="6A9A4F55"/>
    <w:rsid w:val="6A9C0897"/>
    <w:rsid w:val="6AA81420"/>
    <w:rsid w:val="6AAD2EDA"/>
    <w:rsid w:val="6AAD4C88"/>
    <w:rsid w:val="6AAE4347"/>
    <w:rsid w:val="6AB46016"/>
    <w:rsid w:val="6AB51D8E"/>
    <w:rsid w:val="6ABA55F7"/>
    <w:rsid w:val="6ABC61BB"/>
    <w:rsid w:val="6AC43927"/>
    <w:rsid w:val="6AC47324"/>
    <w:rsid w:val="6AC527E9"/>
    <w:rsid w:val="6ACB3360"/>
    <w:rsid w:val="6AD12253"/>
    <w:rsid w:val="6AD227F3"/>
    <w:rsid w:val="6AD27DC4"/>
    <w:rsid w:val="6AD67A27"/>
    <w:rsid w:val="6AD77F57"/>
    <w:rsid w:val="6ADC7038"/>
    <w:rsid w:val="6ADF06DE"/>
    <w:rsid w:val="6AE04D82"/>
    <w:rsid w:val="6AE47CB9"/>
    <w:rsid w:val="6AE85D4F"/>
    <w:rsid w:val="6AEA5F00"/>
    <w:rsid w:val="6AEB755E"/>
    <w:rsid w:val="6AED32D6"/>
    <w:rsid w:val="6AF87E20"/>
    <w:rsid w:val="6AFA3F1E"/>
    <w:rsid w:val="6AFB4456"/>
    <w:rsid w:val="6AFC0403"/>
    <w:rsid w:val="6B030D4C"/>
    <w:rsid w:val="6B0638BC"/>
    <w:rsid w:val="6B0D1BCA"/>
    <w:rsid w:val="6B106FC5"/>
    <w:rsid w:val="6B151AB7"/>
    <w:rsid w:val="6B1C5EE7"/>
    <w:rsid w:val="6B1E16E2"/>
    <w:rsid w:val="6B21527D"/>
    <w:rsid w:val="6B227A82"/>
    <w:rsid w:val="6B233926"/>
    <w:rsid w:val="6B250CC2"/>
    <w:rsid w:val="6B264A3A"/>
    <w:rsid w:val="6B2C2051"/>
    <w:rsid w:val="6B2F28DD"/>
    <w:rsid w:val="6B322639"/>
    <w:rsid w:val="6B332CDE"/>
    <w:rsid w:val="6B3F1BC1"/>
    <w:rsid w:val="6B4078AA"/>
    <w:rsid w:val="6B4B22CA"/>
    <w:rsid w:val="6B4B4D56"/>
    <w:rsid w:val="6B4D0B82"/>
    <w:rsid w:val="6B546DA9"/>
    <w:rsid w:val="6B657A90"/>
    <w:rsid w:val="6B693C73"/>
    <w:rsid w:val="6B6C68F1"/>
    <w:rsid w:val="6B6D7F88"/>
    <w:rsid w:val="6B723553"/>
    <w:rsid w:val="6B7C16E9"/>
    <w:rsid w:val="6B8222FA"/>
    <w:rsid w:val="6B8474C6"/>
    <w:rsid w:val="6B8B1B3D"/>
    <w:rsid w:val="6B8E4D79"/>
    <w:rsid w:val="6B8E7D54"/>
    <w:rsid w:val="6B953331"/>
    <w:rsid w:val="6B9B0F84"/>
    <w:rsid w:val="6B9C01C8"/>
    <w:rsid w:val="6B9C0CC3"/>
    <w:rsid w:val="6B9E1CDF"/>
    <w:rsid w:val="6B9F653B"/>
    <w:rsid w:val="6BA047ED"/>
    <w:rsid w:val="6BA240C1"/>
    <w:rsid w:val="6BB0083E"/>
    <w:rsid w:val="6BB10A4A"/>
    <w:rsid w:val="6BB8040C"/>
    <w:rsid w:val="6BBB5A1F"/>
    <w:rsid w:val="6BBD0EFB"/>
    <w:rsid w:val="6BC02799"/>
    <w:rsid w:val="6BC1683A"/>
    <w:rsid w:val="6BC54708"/>
    <w:rsid w:val="6BCB05F1"/>
    <w:rsid w:val="6BCD120B"/>
    <w:rsid w:val="6BD050D2"/>
    <w:rsid w:val="6BD10A6B"/>
    <w:rsid w:val="6BD140C6"/>
    <w:rsid w:val="6BD34D56"/>
    <w:rsid w:val="6BDC1388"/>
    <w:rsid w:val="6BE0108D"/>
    <w:rsid w:val="6BE16873"/>
    <w:rsid w:val="6BE4292B"/>
    <w:rsid w:val="6BE57FCF"/>
    <w:rsid w:val="6BEB1F0C"/>
    <w:rsid w:val="6BEC17E0"/>
    <w:rsid w:val="6BED5AC6"/>
    <w:rsid w:val="6BF426B9"/>
    <w:rsid w:val="6BF572A8"/>
    <w:rsid w:val="6BF6440D"/>
    <w:rsid w:val="6BF7178C"/>
    <w:rsid w:val="6BF74882"/>
    <w:rsid w:val="6BF87D40"/>
    <w:rsid w:val="6BFD1C3F"/>
    <w:rsid w:val="6C021E4C"/>
    <w:rsid w:val="6C0307C0"/>
    <w:rsid w:val="6C053A5D"/>
    <w:rsid w:val="6C072CED"/>
    <w:rsid w:val="6C083AA7"/>
    <w:rsid w:val="6C0B605F"/>
    <w:rsid w:val="6C0B664D"/>
    <w:rsid w:val="6C0F5C50"/>
    <w:rsid w:val="6C11698D"/>
    <w:rsid w:val="6C1B56FB"/>
    <w:rsid w:val="6C20148A"/>
    <w:rsid w:val="6C225202"/>
    <w:rsid w:val="6C264CF2"/>
    <w:rsid w:val="6C2840CC"/>
    <w:rsid w:val="6C2947E2"/>
    <w:rsid w:val="6C332C64"/>
    <w:rsid w:val="6C375151"/>
    <w:rsid w:val="6C3917ED"/>
    <w:rsid w:val="6C3C0ACD"/>
    <w:rsid w:val="6C420F8A"/>
    <w:rsid w:val="6C423AF6"/>
    <w:rsid w:val="6C425506"/>
    <w:rsid w:val="6C4674C2"/>
    <w:rsid w:val="6C47110C"/>
    <w:rsid w:val="6C494258"/>
    <w:rsid w:val="6C4C54AA"/>
    <w:rsid w:val="6C4C64C1"/>
    <w:rsid w:val="6C4F379E"/>
    <w:rsid w:val="6C507FC1"/>
    <w:rsid w:val="6C527544"/>
    <w:rsid w:val="6C564EB1"/>
    <w:rsid w:val="6C587073"/>
    <w:rsid w:val="6C5B6EDA"/>
    <w:rsid w:val="6C5F0204"/>
    <w:rsid w:val="6C630EC1"/>
    <w:rsid w:val="6C636C38"/>
    <w:rsid w:val="6C67530A"/>
    <w:rsid w:val="6C6E0447"/>
    <w:rsid w:val="6C730E20"/>
    <w:rsid w:val="6C7468CE"/>
    <w:rsid w:val="6C747658"/>
    <w:rsid w:val="6C747B66"/>
    <w:rsid w:val="6C7B0E38"/>
    <w:rsid w:val="6C7E2CAC"/>
    <w:rsid w:val="6C7F2654"/>
    <w:rsid w:val="6C832144"/>
    <w:rsid w:val="6C884B18"/>
    <w:rsid w:val="6C88775B"/>
    <w:rsid w:val="6C907761"/>
    <w:rsid w:val="6C9327EC"/>
    <w:rsid w:val="6C97174C"/>
    <w:rsid w:val="6C9A748E"/>
    <w:rsid w:val="6CA35327"/>
    <w:rsid w:val="6CA74554"/>
    <w:rsid w:val="6CA9147F"/>
    <w:rsid w:val="6CAC2DE0"/>
    <w:rsid w:val="6CAF118B"/>
    <w:rsid w:val="6CB30550"/>
    <w:rsid w:val="6CBA0AE5"/>
    <w:rsid w:val="6CBC56D8"/>
    <w:rsid w:val="6CBE3029"/>
    <w:rsid w:val="6CBE5C36"/>
    <w:rsid w:val="6CBF4040"/>
    <w:rsid w:val="6CC12C6C"/>
    <w:rsid w:val="6CC31F64"/>
    <w:rsid w:val="6CCF37A9"/>
    <w:rsid w:val="6CD1113C"/>
    <w:rsid w:val="6CD208AF"/>
    <w:rsid w:val="6CDE737B"/>
    <w:rsid w:val="6CE34991"/>
    <w:rsid w:val="6CE84D5A"/>
    <w:rsid w:val="6CEB48D8"/>
    <w:rsid w:val="6CFC3B75"/>
    <w:rsid w:val="6CFC710B"/>
    <w:rsid w:val="6CFF5543"/>
    <w:rsid w:val="6D06067F"/>
    <w:rsid w:val="6D064B23"/>
    <w:rsid w:val="6D08089B"/>
    <w:rsid w:val="6D0936FF"/>
    <w:rsid w:val="6D0B3EE8"/>
    <w:rsid w:val="6D0C7A1B"/>
    <w:rsid w:val="6D185B70"/>
    <w:rsid w:val="6D190260"/>
    <w:rsid w:val="6D195F0B"/>
    <w:rsid w:val="6D1F412E"/>
    <w:rsid w:val="6D2A3396"/>
    <w:rsid w:val="6D2E6300"/>
    <w:rsid w:val="6D355868"/>
    <w:rsid w:val="6D371181"/>
    <w:rsid w:val="6D396CA7"/>
    <w:rsid w:val="6D3A3386"/>
    <w:rsid w:val="6D3F51C1"/>
    <w:rsid w:val="6D411C47"/>
    <w:rsid w:val="6D426A89"/>
    <w:rsid w:val="6D467BCA"/>
    <w:rsid w:val="6D480C98"/>
    <w:rsid w:val="6D484EBB"/>
    <w:rsid w:val="6D4D4500"/>
    <w:rsid w:val="6D4E3E17"/>
    <w:rsid w:val="6D4F30B5"/>
    <w:rsid w:val="6D521B17"/>
    <w:rsid w:val="6D5B4E6F"/>
    <w:rsid w:val="6D5E1042"/>
    <w:rsid w:val="6D605470"/>
    <w:rsid w:val="6D610E81"/>
    <w:rsid w:val="6D64426C"/>
    <w:rsid w:val="6D6535F8"/>
    <w:rsid w:val="6D660C83"/>
    <w:rsid w:val="6D686AB5"/>
    <w:rsid w:val="6D6F226E"/>
    <w:rsid w:val="6D710D5E"/>
    <w:rsid w:val="6D742357"/>
    <w:rsid w:val="6D7777CF"/>
    <w:rsid w:val="6D7C6D55"/>
    <w:rsid w:val="6D8343C6"/>
    <w:rsid w:val="6D8445D4"/>
    <w:rsid w:val="6D944304"/>
    <w:rsid w:val="6D956B6F"/>
    <w:rsid w:val="6D9640F9"/>
    <w:rsid w:val="6DA32372"/>
    <w:rsid w:val="6DA42E20"/>
    <w:rsid w:val="6DA67457"/>
    <w:rsid w:val="6DB34098"/>
    <w:rsid w:val="6DB545B6"/>
    <w:rsid w:val="6DB85411"/>
    <w:rsid w:val="6DB92C24"/>
    <w:rsid w:val="6DBE0F5A"/>
    <w:rsid w:val="6DBE53FE"/>
    <w:rsid w:val="6DC45291"/>
    <w:rsid w:val="6DCA5B51"/>
    <w:rsid w:val="6DCD0545"/>
    <w:rsid w:val="6DCE3893"/>
    <w:rsid w:val="6DD4077E"/>
    <w:rsid w:val="6DD61F24"/>
    <w:rsid w:val="6DD62748"/>
    <w:rsid w:val="6DD671D0"/>
    <w:rsid w:val="6DD8201C"/>
    <w:rsid w:val="6DD96F04"/>
    <w:rsid w:val="6DDE33AA"/>
    <w:rsid w:val="6DDF784E"/>
    <w:rsid w:val="6DE02FB4"/>
    <w:rsid w:val="6DE05374"/>
    <w:rsid w:val="6DE23187"/>
    <w:rsid w:val="6DF04A43"/>
    <w:rsid w:val="6DF42BCE"/>
    <w:rsid w:val="6DFE57FA"/>
    <w:rsid w:val="6DFF1C9E"/>
    <w:rsid w:val="6E032E11"/>
    <w:rsid w:val="6E040C1C"/>
    <w:rsid w:val="6E0A0B02"/>
    <w:rsid w:val="6E0D7A5D"/>
    <w:rsid w:val="6E10538A"/>
    <w:rsid w:val="6E134A97"/>
    <w:rsid w:val="6E14501E"/>
    <w:rsid w:val="6E146AD4"/>
    <w:rsid w:val="6E193A72"/>
    <w:rsid w:val="6E1B45FE"/>
    <w:rsid w:val="6E1B63AC"/>
    <w:rsid w:val="6E2434B3"/>
    <w:rsid w:val="6E26547D"/>
    <w:rsid w:val="6E2B60A5"/>
    <w:rsid w:val="6E313045"/>
    <w:rsid w:val="6E33606E"/>
    <w:rsid w:val="6E343F9F"/>
    <w:rsid w:val="6E350903"/>
    <w:rsid w:val="6E364F94"/>
    <w:rsid w:val="6E396833"/>
    <w:rsid w:val="6E3B6A4F"/>
    <w:rsid w:val="6E3C0915"/>
    <w:rsid w:val="6E3D732E"/>
    <w:rsid w:val="6E405E13"/>
    <w:rsid w:val="6E414065"/>
    <w:rsid w:val="6E4476B1"/>
    <w:rsid w:val="6E5033BD"/>
    <w:rsid w:val="6E514CED"/>
    <w:rsid w:val="6E5242A4"/>
    <w:rsid w:val="6E536DC3"/>
    <w:rsid w:val="6E5B57C7"/>
    <w:rsid w:val="6E5D01D4"/>
    <w:rsid w:val="6E627D5C"/>
    <w:rsid w:val="6E657628"/>
    <w:rsid w:val="6E675DDE"/>
    <w:rsid w:val="6E70494A"/>
    <w:rsid w:val="6E737F96"/>
    <w:rsid w:val="6E794BE2"/>
    <w:rsid w:val="6E7F4B8D"/>
    <w:rsid w:val="6E812DDF"/>
    <w:rsid w:val="6E847E6D"/>
    <w:rsid w:val="6E8A79E7"/>
    <w:rsid w:val="6E930639"/>
    <w:rsid w:val="6E970129"/>
    <w:rsid w:val="6E9C37BB"/>
    <w:rsid w:val="6E9D3265"/>
    <w:rsid w:val="6E9D68A1"/>
    <w:rsid w:val="6E9F5CC8"/>
    <w:rsid w:val="6EA2087C"/>
    <w:rsid w:val="6EA51021"/>
    <w:rsid w:val="6EA55B53"/>
    <w:rsid w:val="6EA671F9"/>
    <w:rsid w:val="6EA840E4"/>
    <w:rsid w:val="6EA97E5C"/>
    <w:rsid w:val="6EAE2C78"/>
    <w:rsid w:val="6EB011EB"/>
    <w:rsid w:val="6EB07C51"/>
    <w:rsid w:val="6EB563D5"/>
    <w:rsid w:val="6EB760D5"/>
    <w:rsid w:val="6EB84B2A"/>
    <w:rsid w:val="6EC16F54"/>
    <w:rsid w:val="6EC24A7A"/>
    <w:rsid w:val="6EC425A0"/>
    <w:rsid w:val="6ECB392F"/>
    <w:rsid w:val="6ECD2CC0"/>
    <w:rsid w:val="6ED30E58"/>
    <w:rsid w:val="6ED44ED9"/>
    <w:rsid w:val="6ED8429D"/>
    <w:rsid w:val="6ED92677"/>
    <w:rsid w:val="6EDB59B8"/>
    <w:rsid w:val="6EE3000B"/>
    <w:rsid w:val="6EEB3FD1"/>
    <w:rsid w:val="6EEC4B1B"/>
    <w:rsid w:val="6EED435F"/>
    <w:rsid w:val="6EF83C44"/>
    <w:rsid w:val="6EFC61DE"/>
    <w:rsid w:val="6EFE2DFA"/>
    <w:rsid w:val="6F011A46"/>
    <w:rsid w:val="6F0137F4"/>
    <w:rsid w:val="6F042205"/>
    <w:rsid w:val="6F045092"/>
    <w:rsid w:val="6F0B4673"/>
    <w:rsid w:val="6F147FEC"/>
    <w:rsid w:val="6F1A6664"/>
    <w:rsid w:val="6F1B6B22"/>
    <w:rsid w:val="6F1E6154"/>
    <w:rsid w:val="6F1F2DF1"/>
    <w:rsid w:val="6F225983"/>
    <w:rsid w:val="6F265009"/>
    <w:rsid w:val="6F2B6AC3"/>
    <w:rsid w:val="6F2C7A72"/>
    <w:rsid w:val="6F2D1032"/>
    <w:rsid w:val="6F2F7846"/>
    <w:rsid w:val="6F321C00"/>
    <w:rsid w:val="6F327E52"/>
    <w:rsid w:val="6F40683E"/>
    <w:rsid w:val="6F445933"/>
    <w:rsid w:val="6F4E60E8"/>
    <w:rsid w:val="6F5112B1"/>
    <w:rsid w:val="6F524050"/>
    <w:rsid w:val="6F570744"/>
    <w:rsid w:val="6F5B73A8"/>
    <w:rsid w:val="6F5D1B11"/>
    <w:rsid w:val="6F5D1B9D"/>
    <w:rsid w:val="6F5D3D19"/>
    <w:rsid w:val="6F6049BF"/>
    <w:rsid w:val="6F616DF1"/>
    <w:rsid w:val="6F667AFB"/>
    <w:rsid w:val="6F6B4515"/>
    <w:rsid w:val="6F6D7514"/>
    <w:rsid w:val="6F723E97"/>
    <w:rsid w:val="6F745D74"/>
    <w:rsid w:val="6F7B4147"/>
    <w:rsid w:val="6F7B65A5"/>
    <w:rsid w:val="6F854425"/>
    <w:rsid w:val="6F8700E6"/>
    <w:rsid w:val="6F941206"/>
    <w:rsid w:val="6F98301C"/>
    <w:rsid w:val="6F9F0ABE"/>
    <w:rsid w:val="6FA26D85"/>
    <w:rsid w:val="6FA50565"/>
    <w:rsid w:val="6FA819D5"/>
    <w:rsid w:val="6FAC19B2"/>
    <w:rsid w:val="6FAF14A2"/>
    <w:rsid w:val="6FAF4FFE"/>
    <w:rsid w:val="6FB17D13"/>
    <w:rsid w:val="6FB645DF"/>
    <w:rsid w:val="6FB72105"/>
    <w:rsid w:val="6FBD3BBF"/>
    <w:rsid w:val="6FC01963"/>
    <w:rsid w:val="6FC62348"/>
    <w:rsid w:val="6FCA1E38"/>
    <w:rsid w:val="6FCA62DC"/>
    <w:rsid w:val="6FD15114"/>
    <w:rsid w:val="6FD26359"/>
    <w:rsid w:val="6FD74CF9"/>
    <w:rsid w:val="6FD9651F"/>
    <w:rsid w:val="6FDD0EAC"/>
    <w:rsid w:val="6FE0340A"/>
    <w:rsid w:val="6FEA4288"/>
    <w:rsid w:val="6FEC7DD1"/>
    <w:rsid w:val="6FEF6EA6"/>
    <w:rsid w:val="6FF033C7"/>
    <w:rsid w:val="6FF135A7"/>
    <w:rsid w:val="6FF535A2"/>
    <w:rsid w:val="6FF60E7F"/>
    <w:rsid w:val="6FF670D1"/>
    <w:rsid w:val="6FFC4540"/>
    <w:rsid w:val="6FFC5590"/>
    <w:rsid w:val="70001E65"/>
    <w:rsid w:val="7004359C"/>
    <w:rsid w:val="700510C2"/>
    <w:rsid w:val="70052FBB"/>
    <w:rsid w:val="700C2451"/>
    <w:rsid w:val="700E61C9"/>
    <w:rsid w:val="7016666F"/>
    <w:rsid w:val="701745A0"/>
    <w:rsid w:val="701A152C"/>
    <w:rsid w:val="701A2DBF"/>
    <w:rsid w:val="701A42C0"/>
    <w:rsid w:val="7024431E"/>
    <w:rsid w:val="7024575A"/>
    <w:rsid w:val="702B14E6"/>
    <w:rsid w:val="70327D62"/>
    <w:rsid w:val="70333E81"/>
    <w:rsid w:val="7047080D"/>
    <w:rsid w:val="70473A56"/>
    <w:rsid w:val="704A2F79"/>
    <w:rsid w:val="704A4B4A"/>
    <w:rsid w:val="704B29AE"/>
    <w:rsid w:val="704E4817"/>
    <w:rsid w:val="705D2420"/>
    <w:rsid w:val="70604239"/>
    <w:rsid w:val="70611A79"/>
    <w:rsid w:val="70622B6A"/>
    <w:rsid w:val="7064403B"/>
    <w:rsid w:val="706B26F6"/>
    <w:rsid w:val="706B471C"/>
    <w:rsid w:val="706D1DD0"/>
    <w:rsid w:val="707161D5"/>
    <w:rsid w:val="707634ED"/>
    <w:rsid w:val="707A1ADB"/>
    <w:rsid w:val="707B75D6"/>
    <w:rsid w:val="708259FC"/>
    <w:rsid w:val="7084750E"/>
    <w:rsid w:val="70856B87"/>
    <w:rsid w:val="7086485C"/>
    <w:rsid w:val="70871AD7"/>
    <w:rsid w:val="7088272A"/>
    <w:rsid w:val="708855C3"/>
    <w:rsid w:val="708C37BF"/>
    <w:rsid w:val="709064CB"/>
    <w:rsid w:val="709443EB"/>
    <w:rsid w:val="70952446"/>
    <w:rsid w:val="7095411B"/>
    <w:rsid w:val="709D1624"/>
    <w:rsid w:val="70A258B7"/>
    <w:rsid w:val="70AE130D"/>
    <w:rsid w:val="70AE2C6B"/>
    <w:rsid w:val="70B14535"/>
    <w:rsid w:val="70B758D6"/>
    <w:rsid w:val="70BC3F26"/>
    <w:rsid w:val="70BC5C25"/>
    <w:rsid w:val="70BC660F"/>
    <w:rsid w:val="70BF4F56"/>
    <w:rsid w:val="70C07FE0"/>
    <w:rsid w:val="70C8281B"/>
    <w:rsid w:val="70C920F0"/>
    <w:rsid w:val="70C956B0"/>
    <w:rsid w:val="70CB38B7"/>
    <w:rsid w:val="70CD6C36"/>
    <w:rsid w:val="70CF0326"/>
    <w:rsid w:val="70D016D0"/>
    <w:rsid w:val="70D34F79"/>
    <w:rsid w:val="70D527EE"/>
    <w:rsid w:val="70D6602F"/>
    <w:rsid w:val="70D70CB1"/>
    <w:rsid w:val="70E17439"/>
    <w:rsid w:val="70EC07BF"/>
    <w:rsid w:val="70EF250C"/>
    <w:rsid w:val="70F116B0"/>
    <w:rsid w:val="70F70BFC"/>
    <w:rsid w:val="70FD580E"/>
    <w:rsid w:val="70FE165F"/>
    <w:rsid w:val="7100498F"/>
    <w:rsid w:val="71020599"/>
    <w:rsid w:val="71025602"/>
    <w:rsid w:val="710540F1"/>
    <w:rsid w:val="71107D1F"/>
    <w:rsid w:val="71147849"/>
    <w:rsid w:val="71186BD3"/>
    <w:rsid w:val="711F4406"/>
    <w:rsid w:val="71237A52"/>
    <w:rsid w:val="71242AF6"/>
    <w:rsid w:val="712612F0"/>
    <w:rsid w:val="71295B87"/>
    <w:rsid w:val="712D0A98"/>
    <w:rsid w:val="71357E6F"/>
    <w:rsid w:val="7140061E"/>
    <w:rsid w:val="714A1482"/>
    <w:rsid w:val="714A76D4"/>
    <w:rsid w:val="714B6AB1"/>
    <w:rsid w:val="714F1A78"/>
    <w:rsid w:val="71507188"/>
    <w:rsid w:val="71523E71"/>
    <w:rsid w:val="715440AF"/>
    <w:rsid w:val="715A01AE"/>
    <w:rsid w:val="715B5300"/>
    <w:rsid w:val="715C7408"/>
    <w:rsid w:val="71711ECE"/>
    <w:rsid w:val="71793EC4"/>
    <w:rsid w:val="717E737E"/>
    <w:rsid w:val="718515DD"/>
    <w:rsid w:val="71860688"/>
    <w:rsid w:val="718D7451"/>
    <w:rsid w:val="7199712F"/>
    <w:rsid w:val="719A3A8C"/>
    <w:rsid w:val="719A4F45"/>
    <w:rsid w:val="71A10C5A"/>
    <w:rsid w:val="71A62431"/>
    <w:rsid w:val="71A87F57"/>
    <w:rsid w:val="71AD37BF"/>
    <w:rsid w:val="71AE309E"/>
    <w:rsid w:val="71B03679"/>
    <w:rsid w:val="71B21B83"/>
    <w:rsid w:val="71B3226A"/>
    <w:rsid w:val="71B7463E"/>
    <w:rsid w:val="71BB3875"/>
    <w:rsid w:val="71C00396"/>
    <w:rsid w:val="71C01745"/>
    <w:rsid w:val="71C22860"/>
    <w:rsid w:val="71D222BD"/>
    <w:rsid w:val="71D27F8A"/>
    <w:rsid w:val="71D77D60"/>
    <w:rsid w:val="71D95ABC"/>
    <w:rsid w:val="71D97213"/>
    <w:rsid w:val="71DD7AC1"/>
    <w:rsid w:val="71E53AF6"/>
    <w:rsid w:val="71E54A92"/>
    <w:rsid w:val="71E7296F"/>
    <w:rsid w:val="71EA4432"/>
    <w:rsid w:val="71EF132F"/>
    <w:rsid w:val="71F118FE"/>
    <w:rsid w:val="71F30E81"/>
    <w:rsid w:val="71F32978"/>
    <w:rsid w:val="71F633B8"/>
    <w:rsid w:val="71F92EA9"/>
    <w:rsid w:val="7206680A"/>
    <w:rsid w:val="7207153E"/>
    <w:rsid w:val="72075BBE"/>
    <w:rsid w:val="720C2BDC"/>
    <w:rsid w:val="720D425E"/>
    <w:rsid w:val="720F7FD6"/>
    <w:rsid w:val="7227551A"/>
    <w:rsid w:val="72285514"/>
    <w:rsid w:val="722C34ED"/>
    <w:rsid w:val="722D66AE"/>
    <w:rsid w:val="722D72D6"/>
    <w:rsid w:val="722F1A94"/>
    <w:rsid w:val="72307D49"/>
    <w:rsid w:val="72343EE1"/>
    <w:rsid w:val="7235622E"/>
    <w:rsid w:val="723C018B"/>
    <w:rsid w:val="723E07D8"/>
    <w:rsid w:val="723E08BB"/>
    <w:rsid w:val="72440D8F"/>
    <w:rsid w:val="724539F8"/>
    <w:rsid w:val="724578BC"/>
    <w:rsid w:val="724E6D50"/>
    <w:rsid w:val="724F0F55"/>
    <w:rsid w:val="72553024"/>
    <w:rsid w:val="725560EA"/>
    <w:rsid w:val="725A07B6"/>
    <w:rsid w:val="725D0E4E"/>
    <w:rsid w:val="725E2516"/>
    <w:rsid w:val="72620A4E"/>
    <w:rsid w:val="726A7902"/>
    <w:rsid w:val="726C71D7"/>
    <w:rsid w:val="726E73F3"/>
    <w:rsid w:val="7270316B"/>
    <w:rsid w:val="727350C6"/>
    <w:rsid w:val="727506AD"/>
    <w:rsid w:val="7278017B"/>
    <w:rsid w:val="72797301"/>
    <w:rsid w:val="727B2178"/>
    <w:rsid w:val="727C14DD"/>
    <w:rsid w:val="727C3800"/>
    <w:rsid w:val="727E6F0A"/>
    <w:rsid w:val="72810D31"/>
    <w:rsid w:val="728468F7"/>
    <w:rsid w:val="72897D89"/>
    <w:rsid w:val="728A58AF"/>
    <w:rsid w:val="728B1D53"/>
    <w:rsid w:val="728C5898"/>
    <w:rsid w:val="728D0BCE"/>
    <w:rsid w:val="728F1117"/>
    <w:rsid w:val="7298446F"/>
    <w:rsid w:val="72987FCC"/>
    <w:rsid w:val="7299722C"/>
    <w:rsid w:val="729B64BC"/>
    <w:rsid w:val="72A10155"/>
    <w:rsid w:val="72A11576"/>
    <w:rsid w:val="72A20E4A"/>
    <w:rsid w:val="72A252EE"/>
    <w:rsid w:val="72A66B8C"/>
    <w:rsid w:val="72AA50AE"/>
    <w:rsid w:val="72AE0E98"/>
    <w:rsid w:val="72B1108D"/>
    <w:rsid w:val="72B172DF"/>
    <w:rsid w:val="72BA30C7"/>
    <w:rsid w:val="72BC63B0"/>
    <w:rsid w:val="72BD38CB"/>
    <w:rsid w:val="72C7744F"/>
    <w:rsid w:val="72C9287B"/>
    <w:rsid w:val="72CB0EC5"/>
    <w:rsid w:val="72CC4119"/>
    <w:rsid w:val="72D27981"/>
    <w:rsid w:val="72D31915"/>
    <w:rsid w:val="72D609D7"/>
    <w:rsid w:val="72D74F98"/>
    <w:rsid w:val="72EF4A6F"/>
    <w:rsid w:val="73021314"/>
    <w:rsid w:val="73045661"/>
    <w:rsid w:val="73063468"/>
    <w:rsid w:val="73093C85"/>
    <w:rsid w:val="730E59D8"/>
    <w:rsid w:val="73122968"/>
    <w:rsid w:val="731B43AB"/>
    <w:rsid w:val="731F5D5E"/>
    <w:rsid w:val="7320405D"/>
    <w:rsid w:val="73214465"/>
    <w:rsid w:val="73216977"/>
    <w:rsid w:val="73251266"/>
    <w:rsid w:val="73263829"/>
    <w:rsid w:val="73292630"/>
    <w:rsid w:val="732B7092"/>
    <w:rsid w:val="73337CF4"/>
    <w:rsid w:val="73361E3A"/>
    <w:rsid w:val="733777E5"/>
    <w:rsid w:val="733C4E98"/>
    <w:rsid w:val="733E5017"/>
    <w:rsid w:val="734105D0"/>
    <w:rsid w:val="7342107F"/>
    <w:rsid w:val="7343581A"/>
    <w:rsid w:val="73463ECB"/>
    <w:rsid w:val="7349294A"/>
    <w:rsid w:val="73494758"/>
    <w:rsid w:val="734B14E2"/>
    <w:rsid w:val="734D5DB1"/>
    <w:rsid w:val="73551CF6"/>
    <w:rsid w:val="7357396F"/>
    <w:rsid w:val="735E01CF"/>
    <w:rsid w:val="7360798C"/>
    <w:rsid w:val="73683E42"/>
    <w:rsid w:val="736B39EE"/>
    <w:rsid w:val="736E51D0"/>
    <w:rsid w:val="736F3422"/>
    <w:rsid w:val="7370719A"/>
    <w:rsid w:val="73722F12"/>
    <w:rsid w:val="73724CC1"/>
    <w:rsid w:val="737B1503"/>
    <w:rsid w:val="73880040"/>
    <w:rsid w:val="738E5E29"/>
    <w:rsid w:val="73903399"/>
    <w:rsid w:val="73903C8D"/>
    <w:rsid w:val="7393089D"/>
    <w:rsid w:val="73942E89"/>
    <w:rsid w:val="73983C24"/>
    <w:rsid w:val="73A65E31"/>
    <w:rsid w:val="73A94CE3"/>
    <w:rsid w:val="73B06CF5"/>
    <w:rsid w:val="73B9644B"/>
    <w:rsid w:val="73BC1BA6"/>
    <w:rsid w:val="73C3376E"/>
    <w:rsid w:val="73C51AD5"/>
    <w:rsid w:val="73C5522F"/>
    <w:rsid w:val="73C7469B"/>
    <w:rsid w:val="73C8056E"/>
    <w:rsid w:val="73C80B76"/>
    <w:rsid w:val="73CB43D1"/>
    <w:rsid w:val="73CF5C6F"/>
    <w:rsid w:val="73D24856"/>
    <w:rsid w:val="73D61646"/>
    <w:rsid w:val="73E120A3"/>
    <w:rsid w:val="73E81FA9"/>
    <w:rsid w:val="73E9464B"/>
    <w:rsid w:val="73EB4C4F"/>
    <w:rsid w:val="73ED2A0E"/>
    <w:rsid w:val="73EE0034"/>
    <w:rsid w:val="73EF3D7E"/>
    <w:rsid w:val="73F213AB"/>
    <w:rsid w:val="73F6488E"/>
    <w:rsid w:val="73FB4CB6"/>
    <w:rsid w:val="7407365B"/>
    <w:rsid w:val="740873D3"/>
    <w:rsid w:val="740D49E9"/>
    <w:rsid w:val="7416389E"/>
    <w:rsid w:val="741B0F63"/>
    <w:rsid w:val="741E2752"/>
    <w:rsid w:val="741E793C"/>
    <w:rsid w:val="74222528"/>
    <w:rsid w:val="742F670E"/>
    <w:rsid w:val="743326A2"/>
    <w:rsid w:val="743C0E2B"/>
    <w:rsid w:val="743C5F09"/>
    <w:rsid w:val="743D6C43"/>
    <w:rsid w:val="74412611"/>
    <w:rsid w:val="74420371"/>
    <w:rsid w:val="74463A57"/>
    <w:rsid w:val="74542E8B"/>
    <w:rsid w:val="745439F0"/>
    <w:rsid w:val="74560447"/>
    <w:rsid w:val="745A07ED"/>
    <w:rsid w:val="745C1741"/>
    <w:rsid w:val="745D14CD"/>
    <w:rsid w:val="745E3944"/>
    <w:rsid w:val="745F1D57"/>
    <w:rsid w:val="745F5355"/>
    <w:rsid w:val="74640AAD"/>
    <w:rsid w:val="74654825"/>
    <w:rsid w:val="746B5893"/>
    <w:rsid w:val="746E3096"/>
    <w:rsid w:val="74793E2D"/>
    <w:rsid w:val="747B7BA5"/>
    <w:rsid w:val="747D6759"/>
    <w:rsid w:val="7487479C"/>
    <w:rsid w:val="748C1DB2"/>
    <w:rsid w:val="748C3B60"/>
    <w:rsid w:val="748C526A"/>
    <w:rsid w:val="748F0CA1"/>
    <w:rsid w:val="74922CC2"/>
    <w:rsid w:val="749C3ABE"/>
    <w:rsid w:val="749D16C4"/>
    <w:rsid w:val="74A74054"/>
    <w:rsid w:val="74AE7F7A"/>
    <w:rsid w:val="74B26CA0"/>
    <w:rsid w:val="74B3476A"/>
    <w:rsid w:val="74B60BDD"/>
    <w:rsid w:val="74B82BA7"/>
    <w:rsid w:val="74B86703"/>
    <w:rsid w:val="74B937A2"/>
    <w:rsid w:val="74BB61F3"/>
    <w:rsid w:val="74BD01BD"/>
    <w:rsid w:val="74C002E8"/>
    <w:rsid w:val="74C0720A"/>
    <w:rsid w:val="74C65252"/>
    <w:rsid w:val="74D06055"/>
    <w:rsid w:val="74D65E5E"/>
    <w:rsid w:val="74DB7B36"/>
    <w:rsid w:val="74E0311C"/>
    <w:rsid w:val="74E05C5A"/>
    <w:rsid w:val="74E2144F"/>
    <w:rsid w:val="74E602A5"/>
    <w:rsid w:val="74E73AF3"/>
    <w:rsid w:val="74E85F78"/>
    <w:rsid w:val="74EA18EF"/>
    <w:rsid w:val="74FE790A"/>
    <w:rsid w:val="75023E22"/>
    <w:rsid w:val="75093403"/>
    <w:rsid w:val="750C4747"/>
    <w:rsid w:val="75114065"/>
    <w:rsid w:val="75155F2F"/>
    <w:rsid w:val="75173422"/>
    <w:rsid w:val="751853F4"/>
    <w:rsid w:val="75187F68"/>
    <w:rsid w:val="75261896"/>
    <w:rsid w:val="75271ADB"/>
    <w:rsid w:val="752E2E69"/>
    <w:rsid w:val="752F7239"/>
    <w:rsid w:val="753C7334"/>
    <w:rsid w:val="753F0363"/>
    <w:rsid w:val="754206C3"/>
    <w:rsid w:val="75432889"/>
    <w:rsid w:val="7547624C"/>
    <w:rsid w:val="7553467E"/>
    <w:rsid w:val="75556648"/>
    <w:rsid w:val="75563DE9"/>
    <w:rsid w:val="755723C0"/>
    <w:rsid w:val="7557416E"/>
    <w:rsid w:val="755C3532"/>
    <w:rsid w:val="755D56CA"/>
    <w:rsid w:val="7561323F"/>
    <w:rsid w:val="75616D9B"/>
    <w:rsid w:val="75630BE3"/>
    <w:rsid w:val="75630D65"/>
    <w:rsid w:val="756845CD"/>
    <w:rsid w:val="756939EE"/>
    <w:rsid w:val="756B7C19"/>
    <w:rsid w:val="757765BE"/>
    <w:rsid w:val="75792336"/>
    <w:rsid w:val="7579698A"/>
    <w:rsid w:val="757A1C0A"/>
    <w:rsid w:val="757F0471"/>
    <w:rsid w:val="75823A34"/>
    <w:rsid w:val="758525CD"/>
    <w:rsid w:val="75991DD3"/>
    <w:rsid w:val="759E3B7B"/>
    <w:rsid w:val="75A4312B"/>
    <w:rsid w:val="75A768DA"/>
    <w:rsid w:val="75AB270C"/>
    <w:rsid w:val="75AD0DB3"/>
    <w:rsid w:val="75B02F5C"/>
    <w:rsid w:val="75B0387E"/>
    <w:rsid w:val="75B23A9A"/>
    <w:rsid w:val="75BA1B6E"/>
    <w:rsid w:val="75BC2223"/>
    <w:rsid w:val="75BC7564"/>
    <w:rsid w:val="75BE243F"/>
    <w:rsid w:val="75BE5F9B"/>
    <w:rsid w:val="75C06DDC"/>
    <w:rsid w:val="75C14B91"/>
    <w:rsid w:val="75C314B9"/>
    <w:rsid w:val="75C75614"/>
    <w:rsid w:val="75C94940"/>
    <w:rsid w:val="75D77BEA"/>
    <w:rsid w:val="75D91027"/>
    <w:rsid w:val="75DB08AC"/>
    <w:rsid w:val="75DB165A"/>
    <w:rsid w:val="75E15FAD"/>
    <w:rsid w:val="75E5499B"/>
    <w:rsid w:val="75E7638A"/>
    <w:rsid w:val="75E7791A"/>
    <w:rsid w:val="75EC7227"/>
    <w:rsid w:val="75EF084A"/>
    <w:rsid w:val="75F145C2"/>
    <w:rsid w:val="75F63F3A"/>
    <w:rsid w:val="75FB2AD6"/>
    <w:rsid w:val="75FB71EF"/>
    <w:rsid w:val="75FC4D15"/>
    <w:rsid w:val="75FD4D73"/>
    <w:rsid w:val="76004806"/>
    <w:rsid w:val="76045C08"/>
    <w:rsid w:val="76053BCA"/>
    <w:rsid w:val="760836BA"/>
    <w:rsid w:val="76096858"/>
    <w:rsid w:val="760D05B1"/>
    <w:rsid w:val="760F59F0"/>
    <w:rsid w:val="76196862"/>
    <w:rsid w:val="761B5E70"/>
    <w:rsid w:val="761C14AF"/>
    <w:rsid w:val="761F3F13"/>
    <w:rsid w:val="76226F35"/>
    <w:rsid w:val="76227814"/>
    <w:rsid w:val="7635099D"/>
    <w:rsid w:val="76372875"/>
    <w:rsid w:val="76391AC6"/>
    <w:rsid w:val="763D7808"/>
    <w:rsid w:val="763E0E8A"/>
    <w:rsid w:val="7641561A"/>
    <w:rsid w:val="764B552E"/>
    <w:rsid w:val="764E6AD3"/>
    <w:rsid w:val="764F753B"/>
    <w:rsid w:val="76500C84"/>
    <w:rsid w:val="76503571"/>
    <w:rsid w:val="76516E0F"/>
    <w:rsid w:val="76532D99"/>
    <w:rsid w:val="76555F5A"/>
    <w:rsid w:val="765863F0"/>
    <w:rsid w:val="76595CC4"/>
    <w:rsid w:val="765B1A3C"/>
    <w:rsid w:val="765E4736"/>
    <w:rsid w:val="76654669"/>
    <w:rsid w:val="76666712"/>
    <w:rsid w:val="76676633"/>
    <w:rsid w:val="766D6E76"/>
    <w:rsid w:val="76726D86"/>
    <w:rsid w:val="767717AF"/>
    <w:rsid w:val="767825EE"/>
    <w:rsid w:val="767D7C04"/>
    <w:rsid w:val="76854EC0"/>
    <w:rsid w:val="76880357"/>
    <w:rsid w:val="768B609B"/>
    <w:rsid w:val="769211D6"/>
    <w:rsid w:val="76936B2F"/>
    <w:rsid w:val="769431A0"/>
    <w:rsid w:val="769907B6"/>
    <w:rsid w:val="769A5E93"/>
    <w:rsid w:val="76A62091"/>
    <w:rsid w:val="76A90E52"/>
    <w:rsid w:val="76AC04E9"/>
    <w:rsid w:val="76AC62C1"/>
    <w:rsid w:val="76B01037"/>
    <w:rsid w:val="76BC72B4"/>
    <w:rsid w:val="76BF646F"/>
    <w:rsid w:val="76C570F0"/>
    <w:rsid w:val="76C67745"/>
    <w:rsid w:val="76C802F8"/>
    <w:rsid w:val="76CD24B2"/>
    <w:rsid w:val="76CE0EBB"/>
    <w:rsid w:val="76CF41D8"/>
    <w:rsid w:val="76D0242A"/>
    <w:rsid w:val="76D37824"/>
    <w:rsid w:val="76D57A40"/>
    <w:rsid w:val="76DF7DC1"/>
    <w:rsid w:val="76E74CCF"/>
    <w:rsid w:val="76E85717"/>
    <w:rsid w:val="76E97048"/>
    <w:rsid w:val="76F00FF8"/>
    <w:rsid w:val="76F55000"/>
    <w:rsid w:val="76F824BC"/>
    <w:rsid w:val="76F854DD"/>
    <w:rsid w:val="76F9750B"/>
    <w:rsid w:val="76FA1DA2"/>
    <w:rsid w:val="76FC1C39"/>
    <w:rsid w:val="77006DD1"/>
    <w:rsid w:val="77072987"/>
    <w:rsid w:val="77073C31"/>
    <w:rsid w:val="77091498"/>
    <w:rsid w:val="770E2F52"/>
    <w:rsid w:val="771F2A69"/>
    <w:rsid w:val="77250B48"/>
    <w:rsid w:val="77271598"/>
    <w:rsid w:val="772B58B2"/>
    <w:rsid w:val="77305033"/>
    <w:rsid w:val="77334C37"/>
    <w:rsid w:val="773804C7"/>
    <w:rsid w:val="773F3EF6"/>
    <w:rsid w:val="773F4EBA"/>
    <w:rsid w:val="77414717"/>
    <w:rsid w:val="774150D6"/>
    <w:rsid w:val="77422BFC"/>
    <w:rsid w:val="77493394"/>
    <w:rsid w:val="774E2C56"/>
    <w:rsid w:val="774F52A3"/>
    <w:rsid w:val="77514BED"/>
    <w:rsid w:val="77517FDB"/>
    <w:rsid w:val="775546DD"/>
    <w:rsid w:val="775D7DE6"/>
    <w:rsid w:val="77664B3C"/>
    <w:rsid w:val="77731007"/>
    <w:rsid w:val="77732816"/>
    <w:rsid w:val="77756B2D"/>
    <w:rsid w:val="77762421"/>
    <w:rsid w:val="77784870"/>
    <w:rsid w:val="778063F1"/>
    <w:rsid w:val="7782124A"/>
    <w:rsid w:val="77847601"/>
    <w:rsid w:val="778F3FED"/>
    <w:rsid w:val="778F7D5F"/>
    <w:rsid w:val="779807BE"/>
    <w:rsid w:val="779F1915"/>
    <w:rsid w:val="779F1DFC"/>
    <w:rsid w:val="77A0511A"/>
    <w:rsid w:val="77A0522A"/>
    <w:rsid w:val="77B04009"/>
    <w:rsid w:val="77B56B1F"/>
    <w:rsid w:val="77BF5FFA"/>
    <w:rsid w:val="77C1415C"/>
    <w:rsid w:val="77C57C02"/>
    <w:rsid w:val="77C61018"/>
    <w:rsid w:val="77CB2BF1"/>
    <w:rsid w:val="77CD4BBB"/>
    <w:rsid w:val="77CD7CE9"/>
    <w:rsid w:val="77D41B61"/>
    <w:rsid w:val="77D53A70"/>
    <w:rsid w:val="77DC4BB9"/>
    <w:rsid w:val="77DE2A7C"/>
    <w:rsid w:val="77DE6580"/>
    <w:rsid w:val="77F4039A"/>
    <w:rsid w:val="77F43800"/>
    <w:rsid w:val="780103C1"/>
    <w:rsid w:val="78054355"/>
    <w:rsid w:val="78087735"/>
    <w:rsid w:val="780B56E4"/>
    <w:rsid w:val="780C6C3C"/>
    <w:rsid w:val="780F09F4"/>
    <w:rsid w:val="780F62B6"/>
    <w:rsid w:val="781118D9"/>
    <w:rsid w:val="781547E3"/>
    <w:rsid w:val="78174144"/>
    <w:rsid w:val="781817D7"/>
    <w:rsid w:val="78202F3D"/>
    <w:rsid w:val="78212811"/>
    <w:rsid w:val="7822288A"/>
    <w:rsid w:val="782335FF"/>
    <w:rsid w:val="78267E28"/>
    <w:rsid w:val="78270D8E"/>
    <w:rsid w:val="78280044"/>
    <w:rsid w:val="782F3180"/>
    <w:rsid w:val="78343ACE"/>
    <w:rsid w:val="783469E8"/>
    <w:rsid w:val="783E7867"/>
    <w:rsid w:val="784A66BD"/>
    <w:rsid w:val="784F3822"/>
    <w:rsid w:val="784F55D0"/>
    <w:rsid w:val="78520C1D"/>
    <w:rsid w:val="78540E39"/>
    <w:rsid w:val="78564BB1"/>
    <w:rsid w:val="785B21C7"/>
    <w:rsid w:val="785B5D23"/>
    <w:rsid w:val="785D3378"/>
    <w:rsid w:val="7860158C"/>
    <w:rsid w:val="786719A8"/>
    <w:rsid w:val="78680440"/>
    <w:rsid w:val="78736DE3"/>
    <w:rsid w:val="787768D5"/>
    <w:rsid w:val="78780C5B"/>
    <w:rsid w:val="7879089F"/>
    <w:rsid w:val="787D2C21"/>
    <w:rsid w:val="78834720"/>
    <w:rsid w:val="78857244"/>
    <w:rsid w:val="788A2AAC"/>
    <w:rsid w:val="78917997"/>
    <w:rsid w:val="78956095"/>
    <w:rsid w:val="789C1FE2"/>
    <w:rsid w:val="78A13AE1"/>
    <w:rsid w:val="78A46A79"/>
    <w:rsid w:val="78A51694"/>
    <w:rsid w:val="78A70F68"/>
    <w:rsid w:val="78A90480"/>
    <w:rsid w:val="78AA2807"/>
    <w:rsid w:val="78AA52E1"/>
    <w:rsid w:val="78B11DBB"/>
    <w:rsid w:val="78B13B17"/>
    <w:rsid w:val="78B24758"/>
    <w:rsid w:val="78B2790D"/>
    <w:rsid w:val="78B33DB1"/>
    <w:rsid w:val="78B6564F"/>
    <w:rsid w:val="78BB2C66"/>
    <w:rsid w:val="78BC253A"/>
    <w:rsid w:val="78BF076D"/>
    <w:rsid w:val="78BF1C53"/>
    <w:rsid w:val="78C45911"/>
    <w:rsid w:val="78C6353E"/>
    <w:rsid w:val="78CC6C21"/>
    <w:rsid w:val="78CD4747"/>
    <w:rsid w:val="78CF4B42"/>
    <w:rsid w:val="78D238C9"/>
    <w:rsid w:val="78E0091E"/>
    <w:rsid w:val="78E201F2"/>
    <w:rsid w:val="78E30DC9"/>
    <w:rsid w:val="78E7188D"/>
    <w:rsid w:val="78E73A5B"/>
    <w:rsid w:val="78F16688"/>
    <w:rsid w:val="78F37B6E"/>
    <w:rsid w:val="78F817C4"/>
    <w:rsid w:val="78FB7506"/>
    <w:rsid w:val="78FD3C99"/>
    <w:rsid w:val="79013CB3"/>
    <w:rsid w:val="79032BF7"/>
    <w:rsid w:val="79035E58"/>
    <w:rsid w:val="790408DA"/>
    <w:rsid w:val="79053EE1"/>
    <w:rsid w:val="7908577F"/>
    <w:rsid w:val="790908D2"/>
    <w:rsid w:val="790F4586"/>
    <w:rsid w:val="79102FB2"/>
    <w:rsid w:val="7916110B"/>
    <w:rsid w:val="791709EF"/>
    <w:rsid w:val="79175AE9"/>
    <w:rsid w:val="7924651E"/>
    <w:rsid w:val="792516D5"/>
    <w:rsid w:val="79254583"/>
    <w:rsid w:val="79292468"/>
    <w:rsid w:val="79293917"/>
    <w:rsid w:val="79312F28"/>
    <w:rsid w:val="79314097"/>
    <w:rsid w:val="79330A4E"/>
    <w:rsid w:val="7935614D"/>
    <w:rsid w:val="79366790"/>
    <w:rsid w:val="79377700"/>
    <w:rsid w:val="793A1DDD"/>
    <w:rsid w:val="793D367B"/>
    <w:rsid w:val="793E37CF"/>
    <w:rsid w:val="7941371E"/>
    <w:rsid w:val="7947052B"/>
    <w:rsid w:val="794A141B"/>
    <w:rsid w:val="794C13E9"/>
    <w:rsid w:val="794C5FB4"/>
    <w:rsid w:val="79501641"/>
    <w:rsid w:val="79502E50"/>
    <w:rsid w:val="79507852"/>
    <w:rsid w:val="795310F0"/>
    <w:rsid w:val="79537342"/>
    <w:rsid w:val="796706F8"/>
    <w:rsid w:val="7967694A"/>
    <w:rsid w:val="79690914"/>
    <w:rsid w:val="796C21B2"/>
    <w:rsid w:val="796D486C"/>
    <w:rsid w:val="79725F8B"/>
    <w:rsid w:val="7980657F"/>
    <w:rsid w:val="79892D64"/>
    <w:rsid w:val="798E3ED6"/>
    <w:rsid w:val="79954CA1"/>
    <w:rsid w:val="79974F22"/>
    <w:rsid w:val="7997722F"/>
    <w:rsid w:val="799A287B"/>
    <w:rsid w:val="799F3C44"/>
    <w:rsid w:val="79A12DC0"/>
    <w:rsid w:val="79A22246"/>
    <w:rsid w:val="79A90F38"/>
    <w:rsid w:val="79AB2CDA"/>
    <w:rsid w:val="79AD1EA7"/>
    <w:rsid w:val="79B13D67"/>
    <w:rsid w:val="79B31B8F"/>
    <w:rsid w:val="79B86715"/>
    <w:rsid w:val="79BC4EE7"/>
    <w:rsid w:val="79BC6C95"/>
    <w:rsid w:val="79BD2A0E"/>
    <w:rsid w:val="79BE7E2E"/>
    <w:rsid w:val="79C542E2"/>
    <w:rsid w:val="79C773E8"/>
    <w:rsid w:val="79CB2FD9"/>
    <w:rsid w:val="79D614B5"/>
    <w:rsid w:val="79D73ACF"/>
    <w:rsid w:val="79DE4AF9"/>
    <w:rsid w:val="79DF2984"/>
    <w:rsid w:val="79E32474"/>
    <w:rsid w:val="79E35352"/>
    <w:rsid w:val="79E61318"/>
    <w:rsid w:val="79EB1329"/>
    <w:rsid w:val="79EE471E"/>
    <w:rsid w:val="79F01792"/>
    <w:rsid w:val="79F77C3D"/>
    <w:rsid w:val="79F9126F"/>
    <w:rsid w:val="79F91C98"/>
    <w:rsid w:val="79FA4A90"/>
    <w:rsid w:val="79FA77BE"/>
    <w:rsid w:val="79FC3536"/>
    <w:rsid w:val="79FF0771"/>
    <w:rsid w:val="79FF6B82"/>
    <w:rsid w:val="79FF71A2"/>
    <w:rsid w:val="7A0A7A6A"/>
    <w:rsid w:val="7A0C2CC5"/>
    <w:rsid w:val="7A1169E4"/>
    <w:rsid w:val="7A123E69"/>
    <w:rsid w:val="7A124B07"/>
    <w:rsid w:val="7A141EC2"/>
    <w:rsid w:val="7A1C773B"/>
    <w:rsid w:val="7A28432B"/>
    <w:rsid w:val="7A324B89"/>
    <w:rsid w:val="7A340F22"/>
    <w:rsid w:val="7A3507F6"/>
    <w:rsid w:val="7A356A48"/>
    <w:rsid w:val="7A364017"/>
    <w:rsid w:val="7A37543D"/>
    <w:rsid w:val="7A3905A1"/>
    <w:rsid w:val="7A3E3B4E"/>
    <w:rsid w:val="7A3E50D3"/>
    <w:rsid w:val="7A41363F"/>
    <w:rsid w:val="7A415B80"/>
    <w:rsid w:val="7A450BEA"/>
    <w:rsid w:val="7A4B1DC7"/>
    <w:rsid w:val="7A4F3F08"/>
    <w:rsid w:val="7A523156"/>
    <w:rsid w:val="7A590988"/>
    <w:rsid w:val="7A5A200A"/>
    <w:rsid w:val="7A6645E3"/>
    <w:rsid w:val="7A6A40CD"/>
    <w:rsid w:val="7A73373A"/>
    <w:rsid w:val="7A772BBC"/>
    <w:rsid w:val="7A777060"/>
    <w:rsid w:val="7A7C01D3"/>
    <w:rsid w:val="7A7E4E00"/>
    <w:rsid w:val="7A7E7E6C"/>
    <w:rsid w:val="7A8265E1"/>
    <w:rsid w:val="7A903C7E"/>
    <w:rsid w:val="7A9B68AB"/>
    <w:rsid w:val="7AA317C2"/>
    <w:rsid w:val="7AA37E55"/>
    <w:rsid w:val="7AA717C2"/>
    <w:rsid w:val="7AAC160F"/>
    <w:rsid w:val="7AAC4F5C"/>
    <w:rsid w:val="7AAD2A82"/>
    <w:rsid w:val="7AAF67FA"/>
    <w:rsid w:val="7AB27FAA"/>
    <w:rsid w:val="7AB37421"/>
    <w:rsid w:val="7AB40EEF"/>
    <w:rsid w:val="7AB51971"/>
    <w:rsid w:val="7AB67B89"/>
    <w:rsid w:val="7ABD0F17"/>
    <w:rsid w:val="7AC06311"/>
    <w:rsid w:val="7AC2483D"/>
    <w:rsid w:val="7AC81DE4"/>
    <w:rsid w:val="7ACC13AD"/>
    <w:rsid w:val="7ACF29F8"/>
    <w:rsid w:val="7ACF6BB6"/>
    <w:rsid w:val="7AD4203F"/>
    <w:rsid w:val="7AD95625"/>
    <w:rsid w:val="7ADB139D"/>
    <w:rsid w:val="7ADD5115"/>
    <w:rsid w:val="7AE069B4"/>
    <w:rsid w:val="7AE71284"/>
    <w:rsid w:val="7AE849D9"/>
    <w:rsid w:val="7AE909AA"/>
    <w:rsid w:val="7AE973D5"/>
    <w:rsid w:val="7AEA338E"/>
    <w:rsid w:val="7AEA5977"/>
    <w:rsid w:val="7AEA5A84"/>
    <w:rsid w:val="7AED2E7F"/>
    <w:rsid w:val="7AF46CD4"/>
    <w:rsid w:val="7AF67F85"/>
    <w:rsid w:val="7AF7341E"/>
    <w:rsid w:val="7AFD63C8"/>
    <w:rsid w:val="7B055DF4"/>
    <w:rsid w:val="7B087367"/>
    <w:rsid w:val="7B09420D"/>
    <w:rsid w:val="7B1B798E"/>
    <w:rsid w:val="7B2A66F6"/>
    <w:rsid w:val="7B2C7682"/>
    <w:rsid w:val="7B337B8D"/>
    <w:rsid w:val="7B3867F0"/>
    <w:rsid w:val="7B406C9B"/>
    <w:rsid w:val="7B446F42"/>
    <w:rsid w:val="7B4C229B"/>
    <w:rsid w:val="7B4C4049"/>
    <w:rsid w:val="7B4C5DF7"/>
    <w:rsid w:val="7B5B24DE"/>
    <w:rsid w:val="7B5F7149"/>
    <w:rsid w:val="7B615D46"/>
    <w:rsid w:val="7B686D42"/>
    <w:rsid w:val="7B7470FC"/>
    <w:rsid w:val="7B782467"/>
    <w:rsid w:val="7B7A081D"/>
    <w:rsid w:val="7B7A2964"/>
    <w:rsid w:val="7B841746"/>
    <w:rsid w:val="7B8869E6"/>
    <w:rsid w:val="7B8A5F60"/>
    <w:rsid w:val="7B9E726C"/>
    <w:rsid w:val="7BA07EF1"/>
    <w:rsid w:val="7BA1502A"/>
    <w:rsid w:val="7BA30F4E"/>
    <w:rsid w:val="7BA31081"/>
    <w:rsid w:val="7BA37D65"/>
    <w:rsid w:val="7BA44CC3"/>
    <w:rsid w:val="7BA80414"/>
    <w:rsid w:val="7BAA07FA"/>
    <w:rsid w:val="7BB24622"/>
    <w:rsid w:val="7BB75966"/>
    <w:rsid w:val="7BBA00F8"/>
    <w:rsid w:val="7BBA7205"/>
    <w:rsid w:val="7BBE352C"/>
    <w:rsid w:val="7BBF1AC8"/>
    <w:rsid w:val="7BC41E31"/>
    <w:rsid w:val="7BC63DFB"/>
    <w:rsid w:val="7BCF0129"/>
    <w:rsid w:val="7BD0720C"/>
    <w:rsid w:val="7BD30100"/>
    <w:rsid w:val="7BD32074"/>
    <w:rsid w:val="7BDB1C4D"/>
    <w:rsid w:val="7BDD2EF3"/>
    <w:rsid w:val="7BDF6C6B"/>
    <w:rsid w:val="7BDF7FCA"/>
    <w:rsid w:val="7BE326F8"/>
    <w:rsid w:val="7BE349AD"/>
    <w:rsid w:val="7BE55CEF"/>
    <w:rsid w:val="7BE75540"/>
    <w:rsid w:val="7BEB5610"/>
    <w:rsid w:val="7BEF48E5"/>
    <w:rsid w:val="7BF5274F"/>
    <w:rsid w:val="7BF70CB5"/>
    <w:rsid w:val="7BF8465F"/>
    <w:rsid w:val="7BFE17E7"/>
    <w:rsid w:val="7C012278"/>
    <w:rsid w:val="7C013085"/>
    <w:rsid w:val="7C047936"/>
    <w:rsid w:val="7C0611DC"/>
    <w:rsid w:val="7C073B61"/>
    <w:rsid w:val="7C0C4936"/>
    <w:rsid w:val="7C0E0B16"/>
    <w:rsid w:val="7C1A5BAA"/>
    <w:rsid w:val="7C1B6D71"/>
    <w:rsid w:val="7C2157BA"/>
    <w:rsid w:val="7C2428D0"/>
    <w:rsid w:val="7C260E9D"/>
    <w:rsid w:val="7C2C66D7"/>
    <w:rsid w:val="7C2E0B52"/>
    <w:rsid w:val="7C2E460D"/>
    <w:rsid w:val="7C3175AE"/>
    <w:rsid w:val="7C330D65"/>
    <w:rsid w:val="7C372603"/>
    <w:rsid w:val="7C3821BC"/>
    <w:rsid w:val="7C396E77"/>
    <w:rsid w:val="7C3D3207"/>
    <w:rsid w:val="7C3F6017"/>
    <w:rsid w:val="7C4371FA"/>
    <w:rsid w:val="7C464B65"/>
    <w:rsid w:val="7C47503C"/>
    <w:rsid w:val="7C5A2796"/>
    <w:rsid w:val="7C5C4760"/>
    <w:rsid w:val="7C5E2286"/>
    <w:rsid w:val="7C60214C"/>
    <w:rsid w:val="7C607043"/>
    <w:rsid w:val="7C640BA7"/>
    <w:rsid w:val="7C6813C3"/>
    <w:rsid w:val="7C6A0C2B"/>
    <w:rsid w:val="7C6C5AC7"/>
    <w:rsid w:val="7C783B35"/>
    <w:rsid w:val="7C7970C0"/>
    <w:rsid w:val="7C7D22D7"/>
    <w:rsid w:val="7C815F74"/>
    <w:rsid w:val="7C863B69"/>
    <w:rsid w:val="7C8D66C7"/>
    <w:rsid w:val="7C8E6168"/>
    <w:rsid w:val="7C9537CE"/>
    <w:rsid w:val="7C9D5C0E"/>
    <w:rsid w:val="7C9E2682"/>
    <w:rsid w:val="7C9E6B26"/>
    <w:rsid w:val="7CA24237"/>
    <w:rsid w:val="7CA2788D"/>
    <w:rsid w:val="7CA659DB"/>
    <w:rsid w:val="7CA852AF"/>
    <w:rsid w:val="7CB079A3"/>
    <w:rsid w:val="7CB55689"/>
    <w:rsid w:val="7CB75F27"/>
    <w:rsid w:val="7CB93960"/>
    <w:rsid w:val="7CBD19F6"/>
    <w:rsid w:val="7CC16371"/>
    <w:rsid w:val="7CC3033B"/>
    <w:rsid w:val="7CC6544B"/>
    <w:rsid w:val="7CD87B19"/>
    <w:rsid w:val="7CD97B5E"/>
    <w:rsid w:val="7CDC31A1"/>
    <w:rsid w:val="7CDC31AB"/>
    <w:rsid w:val="7CE147EB"/>
    <w:rsid w:val="7CE2717A"/>
    <w:rsid w:val="7CE32B26"/>
    <w:rsid w:val="7CEA1D6C"/>
    <w:rsid w:val="7CED0323"/>
    <w:rsid w:val="7CF23C24"/>
    <w:rsid w:val="7CF76237"/>
    <w:rsid w:val="7CF77FE5"/>
    <w:rsid w:val="7CF82511"/>
    <w:rsid w:val="7CF91FAF"/>
    <w:rsid w:val="7CF95B0B"/>
    <w:rsid w:val="7CFB5AA5"/>
    <w:rsid w:val="7D00333D"/>
    <w:rsid w:val="7D012C11"/>
    <w:rsid w:val="7D0163F4"/>
    <w:rsid w:val="7D0239FF"/>
    <w:rsid w:val="7D0B14FB"/>
    <w:rsid w:val="7D0C7EE6"/>
    <w:rsid w:val="7D0F63A0"/>
    <w:rsid w:val="7D1110A6"/>
    <w:rsid w:val="7D114E3B"/>
    <w:rsid w:val="7D11554A"/>
    <w:rsid w:val="7D133070"/>
    <w:rsid w:val="7D157FB6"/>
    <w:rsid w:val="7D18560A"/>
    <w:rsid w:val="7D187B07"/>
    <w:rsid w:val="7D1D3EEF"/>
    <w:rsid w:val="7D21425A"/>
    <w:rsid w:val="7D215236"/>
    <w:rsid w:val="7D245C2D"/>
    <w:rsid w:val="7D252DA4"/>
    <w:rsid w:val="7D253473"/>
    <w:rsid w:val="7D2B2488"/>
    <w:rsid w:val="7D325284"/>
    <w:rsid w:val="7D3354C1"/>
    <w:rsid w:val="7D342A41"/>
    <w:rsid w:val="7D3D0E71"/>
    <w:rsid w:val="7D3E3E65"/>
    <w:rsid w:val="7D3F78F1"/>
    <w:rsid w:val="7D40198C"/>
    <w:rsid w:val="7D455C6D"/>
    <w:rsid w:val="7D457FAA"/>
    <w:rsid w:val="7D47589E"/>
    <w:rsid w:val="7D477EDA"/>
    <w:rsid w:val="7D502AF4"/>
    <w:rsid w:val="7D513B99"/>
    <w:rsid w:val="7D587A0A"/>
    <w:rsid w:val="7D5B0573"/>
    <w:rsid w:val="7D5B394E"/>
    <w:rsid w:val="7D5E40CD"/>
    <w:rsid w:val="7D625DA6"/>
    <w:rsid w:val="7D6A4EF9"/>
    <w:rsid w:val="7D6E632D"/>
    <w:rsid w:val="7D742DD1"/>
    <w:rsid w:val="7D7635FF"/>
    <w:rsid w:val="7D7713AE"/>
    <w:rsid w:val="7D791035"/>
    <w:rsid w:val="7D7C5D4D"/>
    <w:rsid w:val="7D8001A4"/>
    <w:rsid w:val="7D847ACA"/>
    <w:rsid w:val="7D8E26F7"/>
    <w:rsid w:val="7D8E57CF"/>
    <w:rsid w:val="7D91703D"/>
    <w:rsid w:val="7DB36601"/>
    <w:rsid w:val="7DB67EA0"/>
    <w:rsid w:val="7DBC6FF3"/>
    <w:rsid w:val="7DBE1B3B"/>
    <w:rsid w:val="7DC73E5B"/>
    <w:rsid w:val="7DC8310F"/>
    <w:rsid w:val="7DCA74A7"/>
    <w:rsid w:val="7DCC3AD8"/>
    <w:rsid w:val="7DCD56F2"/>
    <w:rsid w:val="7DD138CC"/>
    <w:rsid w:val="7DD36A7D"/>
    <w:rsid w:val="7DE16EE5"/>
    <w:rsid w:val="7DE451F8"/>
    <w:rsid w:val="7DE85257"/>
    <w:rsid w:val="7DEC20D2"/>
    <w:rsid w:val="7DEC709C"/>
    <w:rsid w:val="7DF033B2"/>
    <w:rsid w:val="7DF10ED8"/>
    <w:rsid w:val="7DF63F66"/>
    <w:rsid w:val="7DFA4415"/>
    <w:rsid w:val="7DFD5ACF"/>
    <w:rsid w:val="7E01111B"/>
    <w:rsid w:val="7E0D1B9F"/>
    <w:rsid w:val="7E0D3F64"/>
    <w:rsid w:val="7E17093E"/>
    <w:rsid w:val="7E2B43EA"/>
    <w:rsid w:val="7E2E3EDA"/>
    <w:rsid w:val="7E372D8F"/>
    <w:rsid w:val="7E3824B7"/>
    <w:rsid w:val="7E3E0F87"/>
    <w:rsid w:val="7E417769"/>
    <w:rsid w:val="7E447259"/>
    <w:rsid w:val="7E470AF8"/>
    <w:rsid w:val="7E4920F0"/>
    <w:rsid w:val="7E4E1E86"/>
    <w:rsid w:val="7E5036DA"/>
    <w:rsid w:val="7E543906"/>
    <w:rsid w:val="7E54763A"/>
    <w:rsid w:val="7E5B4207"/>
    <w:rsid w:val="7E657E8A"/>
    <w:rsid w:val="7E6B71E3"/>
    <w:rsid w:val="7E6D4A02"/>
    <w:rsid w:val="7E71280E"/>
    <w:rsid w:val="7E727045"/>
    <w:rsid w:val="7E730245"/>
    <w:rsid w:val="7E775881"/>
    <w:rsid w:val="7E7A5BE3"/>
    <w:rsid w:val="7E7A711F"/>
    <w:rsid w:val="7E7E09BD"/>
    <w:rsid w:val="7E7E4059"/>
    <w:rsid w:val="7E7F4735"/>
    <w:rsid w:val="7E800E52"/>
    <w:rsid w:val="7E856B85"/>
    <w:rsid w:val="7E861620"/>
    <w:rsid w:val="7E8B4E88"/>
    <w:rsid w:val="7E994615"/>
    <w:rsid w:val="7E9C52E7"/>
    <w:rsid w:val="7EA36676"/>
    <w:rsid w:val="7EAC2C32"/>
    <w:rsid w:val="7EB1094C"/>
    <w:rsid w:val="7EBE1F99"/>
    <w:rsid w:val="7EBE688F"/>
    <w:rsid w:val="7EC05876"/>
    <w:rsid w:val="7ECA271F"/>
    <w:rsid w:val="7ECC585B"/>
    <w:rsid w:val="7ED93E46"/>
    <w:rsid w:val="7EE03426"/>
    <w:rsid w:val="7EE051D4"/>
    <w:rsid w:val="7EE66A56"/>
    <w:rsid w:val="7EE9101C"/>
    <w:rsid w:val="7EEF3951"/>
    <w:rsid w:val="7EEF4D6E"/>
    <w:rsid w:val="7EEF71C5"/>
    <w:rsid w:val="7EF35A49"/>
    <w:rsid w:val="7EF51DF4"/>
    <w:rsid w:val="7EF5291F"/>
    <w:rsid w:val="7EFC5D86"/>
    <w:rsid w:val="7F001CE7"/>
    <w:rsid w:val="7F026BC0"/>
    <w:rsid w:val="7F0F1615"/>
    <w:rsid w:val="7F10538E"/>
    <w:rsid w:val="7F137755"/>
    <w:rsid w:val="7F177E9D"/>
    <w:rsid w:val="7F1B4EB8"/>
    <w:rsid w:val="7F1D01D6"/>
    <w:rsid w:val="7F1F7D58"/>
    <w:rsid w:val="7F210E94"/>
    <w:rsid w:val="7F233313"/>
    <w:rsid w:val="7F233E95"/>
    <w:rsid w:val="7F250E39"/>
    <w:rsid w:val="7F2552DD"/>
    <w:rsid w:val="7F2F7F0A"/>
    <w:rsid w:val="7F313C82"/>
    <w:rsid w:val="7F316AC2"/>
    <w:rsid w:val="7F3472CE"/>
    <w:rsid w:val="7F355E5B"/>
    <w:rsid w:val="7F36260E"/>
    <w:rsid w:val="7F3D43D5"/>
    <w:rsid w:val="7F3D4789"/>
    <w:rsid w:val="7F414D3C"/>
    <w:rsid w:val="7F416D20"/>
    <w:rsid w:val="7F42716B"/>
    <w:rsid w:val="7F4339B5"/>
    <w:rsid w:val="7F443DFC"/>
    <w:rsid w:val="7F45772D"/>
    <w:rsid w:val="7F527438"/>
    <w:rsid w:val="7F533FA1"/>
    <w:rsid w:val="7F5977EB"/>
    <w:rsid w:val="7F606315"/>
    <w:rsid w:val="7F6317BF"/>
    <w:rsid w:val="7F661BEE"/>
    <w:rsid w:val="7F676E48"/>
    <w:rsid w:val="7F6C6A68"/>
    <w:rsid w:val="7F7A1ED6"/>
    <w:rsid w:val="7F7B4EFD"/>
    <w:rsid w:val="7F80048F"/>
    <w:rsid w:val="7F811A2C"/>
    <w:rsid w:val="7F824B73"/>
    <w:rsid w:val="7F960830"/>
    <w:rsid w:val="7F9E12D9"/>
    <w:rsid w:val="7FA04963"/>
    <w:rsid w:val="7FA309A1"/>
    <w:rsid w:val="7FA33A73"/>
    <w:rsid w:val="7FA50238"/>
    <w:rsid w:val="7FA75CF2"/>
    <w:rsid w:val="7FB13432"/>
    <w:rsid w:val="7FB3182A"/>
    <w:rsid w:val="7FBD3767"/>
    <w:rsid w:val="7FC20D7E"/>
    <w:rsid w:val="7FCB1B74"/>
    <w:rsid w:val="7FCE5462"/>
    <w:rsid w:val="7FD1668B"/>
    <w:rsid w:val="7FD745AF"/>
    <w:rsid w:val="7FD92360"/>
    <w:rsid w:val="7FDA60C7"/>
    <w:rsid w:val="7FDB21E3"/>
    <w:rsid w:val="7FDD1166"/>
    <w:rsid w:val="7FE47E50"/>
    <w:rsid w:val="7FF54CAF"/>
    <w:rsid w:val="7FF8479F"/>
    <w:rsid w:val="7FFD1DB6"/>
    <w:rsid w:val="7FFD5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 w:semiHidden="0" w:name="heading 2" w:locked="1"/>
    <w:lsdException w:qFormat="1" w:unhideWhenUsed="0" w:uiPriority="0" w:semiHidden="0" w:name="heading 3" w:locked="1"/>
    <w:lsdException w:qFormat="1" w:unhideWhenUsed="0" w:uiPriority="0" w:semiHidden="0" w:name="heading 4" w:locked="1"/>
    <w:lsdException w:qFormat="1" w:unhideWhenUsed="0" w:uiPriority="0" w:semiHidden="0" w:name="heading 5" w:locked="1"/>
    <w:lsdException w:qFormat="1" w:uiPriority="0" w:semiHidden="0" w:name="heading 6" w:locked="1"/>
    <w:lsdException w:qFormat="1" w:uiPriority="0" w:semiHidden="0" w:name="heading 7" w:locked="1"/>
    <w:lsdException w:qFormat="1" w:uiPriority="0" w:semiHidden="0" w:name="heading 8" w:locked="1"/>
    <w:lsdException w:qFormat="1" w:uiPriority="0" w:semiHidden="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0" w:semiHidden="0" w:name="toc 1"/>
    <w:lsdException w:qFormat="1" w:unhideWhenUsed="0" w:uiPriority="0" w:semiHidden="0" w:name="toc 2" w:locked="1"/>
    <w:lsdException w:qFormat="1" w:unhideWhenUsed="0" w:uiPriority="0" w:semiHidden="0" w:name="toc 3" w:locked="1"/>
    <w:lsdException w:qFormat="1" w:unhideWhenUsed="0" w:uiPriority="0" w:semiHidden="0" w:name="toc 4" w:locked="1"/>
    <w:lsdException w:qFormat="1" w:unhideWhenUsed="0" w:uiPriority="0" w:semiHidden="0" w:name="toc 5" w:locked="1"/>
    <w:lsdException w:unhideWhenUsed="0" w:uiPriority="0" w:semiHidden="0" w:name="toc 6" w:locked="1"/>
    <w:lsdException w:qFormat="1" w:unhideWhenUsed="0" w:uiPriority="39"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nhideWhenUsed="0" w:uiPriority="0" w:semiHidden="0" w:name="footnote text" w:locked="1"/>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unhideWhenUsed="0" w:uiPriority="0" w:semiHidden="0" w:name="annotation reference"/>
    <w:lsdException w:unhideWhenUsed="0" w:uiPriority="0" w:semiHidden="0" w:name="line number" w:locked="1"/>
    <w:lsdException w:unhideWhenUsed="0" w:uiPriority="0" w:semiHidden="0" w:name="page number"/>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iPriority="99" w:semiHidden="0" w:name="List"/>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qFormat="1" w:uiPriority="99" w:semiHidden="0" w:name="Salutation" w:locked="1"/>
    <w:lsdException w:unhideWhenUsed="0" w:uiPriority="0" w:semiHidden="0" w:name="Date"/>
    <w:lsdException w:qFormat="1" w:unhideWhenUsed="0" w:uiPriority="0" w:semiHidden="0" w:name="Body Text First Indent"/>
    <w:lsdException w:qFormat="1" w:uiPriority="0" w:semiHidden="0" w:name="Body Text First Indent 2"/>
    <w:lsdException w:qFormat="1" w:unhideWhenUsed="0" w:uiPriority="0" w:semiHidden="0" w:name="Note Heading"/>
    <w:lsdException w:unhideWhenUsed="0" w:uiPriority="0" w:semiHidden="0" w:name="Body Text 2" w:locked="1"/>
    <w:lsdException w:unhideWhenUsed="0" w:uiPriority="0" w:semiHidden="0" w:name="Body Text 3" w:locked="1"/>
    <w:lsdException w:qFormat="1" w:unhideWhenUsed="0" w:uiPriority="0" w:semiHidden="0" w:name="Body Text Indent 2" w:locked="1"/>
    <w:lsdException w:unhideWhenUsed="0" w:uiPriority="0" w:semiHidden="0" w:name="Body Text Indent 3" w:locked="1"/>
    <w:lsdException w:unhideWhenUsed="0" w:uiPriority="0" w:semiHidden="0" w:name="Block Text" w:locked="1"/>
    <w:lsdException w:qFormat="1" w:unhideWhenUsed="0" w:uiPriority="0" w:semiHidden="0" w:name="Hyperlink"/>
    <w:lsdException w:qFormat="1" w:unhideWhenUsed="0" w:uiPriority="0" w:semiHidden="0" w:name="FollowedHyperlink"/>
    <w:lsdException w:qFormat="1" w:unhideWhenUsed="0" w:uiPriority="0" w:semiHidden="0" w:name="Strong" w:locked="1"/>
    <w:lsdException w:qFormat="1" w:unhideWhenUsed="0" w:uiPriority="0" w:semiHidden="0" w:name="Emphasis"/>
    <w:lsdException w:unhideWhenUsed="0" w:uiPriority="0" w:semiHidden="0" w:name="Document Map" w:locked="1"/>
    <w:lsdException w:qFormat="1" w:unhideWhenUsed="0" w:uiPriority="0" w:semiHidden="0" w:name="Plain Text"/>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qFormat="1" w:unhideWhenUsed="0" w:uiPriority="0" w:semiHidden="0" w:name="HTML Code" w:locked="1"/>
    <w:lsdException w:unhideWhenUsed="0" w:uiPriority="0" w:semiHidden="0" w:name="HTML Definition" w:locked="1"/>
    <w:lsdException w:unhideWhenUsed="0" w:uiPriority="0" w:semiHidden="0" w:name="HTML Keyboard" w:locked="1"/>
    <w:lsdException w:qFormat="1"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unhideWhenUsed="0" w:uiPriority="0" w:semiHidden="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3"/>
    <w:qFormat/>
    <w:locked/>
    <w:uiPriority w:val="99"/>
    <w:pPr>
      <w:keepNext/>
      <w:numPr>
        <w:ilvl w:val="0"/>
        <w:numId w:val="1"/>
      </w:numPr>
      <w:tabs>
        <w:tab w:val="left" w:pos="420"/>
        <w:tab w:val="clear" w:pos="0"/>
      </w:tabs>
      <w:overflowPunct w:val="0"/>
      <w:snapToGrid w:val="0"/>
      <w:spacing w:line="360" w:lineRule="auto"/>
      <w:ind w:left="432" w:hanging="432"/>
      <w:jc w:val="center"/>
      <w:outlineLvl w:val="0"/>
    </w:pPr>
    <w:rPr>
      <w:rFonts w:ascii="Times New Roman" w:hAnsi="Times New Roman" w:eastAsia="宋体"/>
      <w:b/>
      <w:bCs/>
      <w:color w:val="000000"/>
      <w:kern w:val="44"/>
      <w:sz w:val="30"/>
      <w:szCs w:val="30"/>
    </w:rPr>
  </w:style>
  <w:style w:type="paragraph" w:styleId="3">
    <w:name w:val="heading 2"/>
    <w:basedOn w:val="2"/>
    <w:next w:val="1"/>
    <w:link w:val="42"/>
    <w:qFormat/>
    <w:locked/>
    <w:uiPriority w:val="9"/>
    <w:pPr>
      <w:keepNext/>
      <w:keepLines/>
      <w:numPr>
        <w:ilvl w:val="1"/>
        <w:numId w:val="1"/>
      </w:numPr>
      <w:spacing w:before="120" w:after="120" w:line="360" w:lineRule="auto"/>
      <w:ind w:left="0"/>
      <w:jc w:val="left"/>
      <w:outlineLvl w:val="1"/>
    </w:pPr>
    <w:rPr>
      <w:rFonts w:ascii="Times New Roman" w:hAnsi="Times New Roman" w:eastAsia="宋体"/>
      <w:sz w:val="28"/>
      <w:szCs w:val="32"/>
    </w:rPr>
  </w:style>
  <w:style w:type="paragraph" w:styleId="4">
    <w:name w:val="heading 3"/>
    <w:basedOn w:val="1"/>
    <w:next w:val="1"/>
    <w:link w:val="50"/>
    <w:qFormat/>
    <w:locked/>
    <w:uiPriority w:val="0"/>
    <w:pPr>
      <w:keepNext/>
      <w:keepLines/>
      <w:numPr>
        <w:ilvl w:val="2"/>
        <w:numId w:val="1"/>
      </w:numPr>
      <w:tabs>
        <w:tab w:val="left" w:pos="420"/>
        <w:tab w:val="clear" w:pos="0"/>
      </w:tabs>
      <w:spacing w:before="120" w:after="120" w:line="360" w:lineRule="auto"/>
      <w:ind w:left="720" w:hanging="720"/>
      <w:outlineLvl w:val="2"/>
    </w:pPr>
    <w:rPr>
      <w:rFonts w:ascii="Times New Roman" w:hAnsi="Times New Roman" w:eastAsia="宋体"/>
      <w:b/>
      <w:bCs/>
      <w:sz w:val="24"/>
      <w:szCs w:val="32"/>
    </w:rPr>
  </w:style>
  <w:style w:type="paragraph" w:styleId="5">
    <w:name w:val="heading 4"/>
    <w:basedOn w:val="1"/>
    <w:next w:val="1"/>
    <w:link w:val="52"/>
    <w:qFormat/>
    <w:locked/>
    <w:uiPriority w:val="0"/>
    <w:pPr>
      <w:keepNext/>
      <w:keepLines/>
      <w:numPr>
        <w:ilvl w:val="3"/>
        <w:numId w:val="1"/>
      </w:numPr>
      <w:tabs>
        <w:tab w:val="left" w:pos="420"/>
        <w:tab w:val="clear" w:pos="0"/>
      </w:tabs>
      <w:spacing w:line="360" w:lineRule="auto"/>
      <w:ind w:left="864" w:hanging="864"/>
      <w:jc w:val="left"/>
      <w:outlineLvl w:val="3"/>
    </w:pPr>
    <w:rPr>
      <w:rFonts w:ascii="Times New Roman" w:hAnsi="Times New Roman" w:eastAsia="宋体"/>
      <w:b/>
      <w:bCs/>
      <w:sz w:val="24"/>
      <w:szCs w:val="28"/>
    </w:rPr>
  </w:style>
  <w:style w:type="paragraph" w:styleId="6">
    <w:name w:val="heading 5"/>
    <w:basedOn w:val="1"/>
    <w:next w:val="1"/>
    <w:link w:val="63"/>
    <w:qFormat/>
    <w:locked/>
    <w:uiPriority w:val="0"/>
    <w:pPr>
      <w:keepNext/>
      <w:keepLines/>
      <w:numPr>
        <w:ilvl w:val="4"/>
        <w:numId w:val="2"/>
      </w:numPr>
      <w:spacing w:before="280" w:after="290" w:line="376" w:lineRule="auto"/>
      <w:ind w:left="1366"/>
      <w:outlineLvl w:val="4"/>
    </w:pPr>
    <w:rPr>
      <w:b/>
      <w:bCs/>
      <w:sz w:val="28"/>
      <w:szCs w:val="28"/>
    </w:rPr>
  </w:style>
  <w:style w:type="paragraph" w:styleId="7">
    <w:name w:val="heading 6"/>
    <w:basedOn w:val="1"/>
    <w:next w:val="1"/>
    <w:unhideWhenUsed/>
    <w:qFormat/>
    <w:locked/>
    <w:uiPriority w:val="0"/>
    <w:pPr>
      <w:keepNext/>
      <w:keepLines/>
      <w:numPr>
        <w:ilvl w:val="5"/>
        <w:numId w:val="2"/>
      </w:numPr>
      <w:spacing w:before="240" w:after="64" w:line="317" w:lineRule="auto"/>
      <w:ind w:left="1509"/>
      <w:outlineLvl w:val="5"/>
    </w:pPr>
    <w:rPr>
      <w:rFonts w:ascii="Arial" w:hAnsi="Arial" w:eastAsia="黑体"/>
      <w:b/>
      <w:sz w:val="24"/>
    </w:rPr>
  </w:style>
  <w:style w:type="paragraph" w:styleId="8">
    <w:name w:val="heading 7"/>
    <w:basedOn w:val="1"/>
    <w:next w:val="1"/>
    <w:unhideWhenUsed/>
    <w:qFormat/>
    <w:locked/>
    <w:uiPriority w:val="0"/>
    <w:pPr>
      <w:keepNext/>
      <w:keepLines/>
      <w:numPr>
        <w:ilvl w:val="6"/>
        <w:numId w:val="2"/>
      </w:numPr>
      <w:spacing w:before="240" w:after="64" w:line="317" w:lineRule="auto"/>
      <w:ind w:left="1654"/>
      <w:outlineLvl w:val="6"/>
    </w:pPr>
    <w:rPr>
      <w:b/>
      <w:sz w:val="24"/>
    </w:rPr>
  </w:style>
  <w:style w:type="paragraph" w:styleId="9">
    <w:name w:val="heading 8"/>
    <w:basedOn w:val="1"/>
    <w:next w:val="1"/>
    <w:unhideWhenUsed/>
    <w:qFormat/>
    <w:locked/>
    <w:uiPriority w:val="0"/>
    <w:pPr>
      <w:keepNext/>
      <w:keepLines/>
      <w:numPr>
        <w:ilvl w:val="7"/>
        <w:numId w:val="3"/>
      </w:numPr>
      <w:spacing w:before="240" w:after="64" w:line="317" w:lineRule="auto"/>
      <w:ind w:left="1440"/>
      <w:outlineLvl w:val="7"/>
    </w:pPr>
    <w:rPr>
      <w:rFonts w:ascii="Arial" w:hAnsi="Arial" w:eastAsia="黑体"/>
      <w:sz w:val="24"/>
    </w:rPr>
  </w:style>
  <w:style w:type="paragraph" w:styleId="10">
    <w:name w:val="heading 9"/>
    <w:basedOn w:val="1"/>
    <w:next w:val="1"/>
    <w:unhideWhenUsed/>
    <w:qFormat/>
    <w:locked/>
    <w:uiPriority w:val="0"/>
    <w:pPr>
      <w:keepNext/>
      <w:keepLines/>
      <w:numPr>
        <w:ilvl w:val="8"/>
        <w:numId w:val="4"/>
      </w:numPr>
      <w:spacing w:before="240" w:after="64" w:line="317" w:lineRule="auto"/>
      <w:ind w:left="1941"/>
      <w:outlineLvl w:val="8"/>
    </w:pPr>
    <w:rPr>
      <w:rFonts w:ascii="Arial" w:hAnsi="Arial" w:eastAsia="黑体"/>
    </w:rPr>
  </w:style>
  <w:style w:type="character" w:default="1" w:styleId="36">
    <w:name w:val="Default Paragraph Font"/>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locked/>
    <w:uiPriority w:val="39"/>
    <w:pPr>
      <w:ind w:left="2520" w:leftChars="1200"/>
    </w:pPr>
  </w:style>
  <w:style w:type="paragraph" w:styleId="12">
    <w:name w:val="Note Heading"/>
    <w:basedOn w:val="1"/>
    <w:next w:val="1"/>
    <w:qFormat/>
    <w:uiPriority w:val="0"/>
    <w:pPr>
      <w:jc w:val="center"/>
    </w:pPr>
  </w:style>
  <w:style w:type="paragraph" w:styleId="13">
    <w:name w:val="Normal Indent"/>
    <w:basedOn w:val="1"/>
    <w:link w:val="137"/>
    <w:qFormat/>
    <w:uiPriority w:val="0"/>
    <w:pPr>
      <w:spacing w:before="50" w:beforeLines="50" w:line="360" w:lineRule="auto"/>
      <w:ind w:firstLine="560" w:firstLineChars="200"/>
    </w:pPr>
    <w:rPr>
      <w:rFonts w:ascii="Calibri" w:hAnsi="Calibri"/>
      <w:sz w:val="28"/>
    </w:rPr>
  </w:style>
  <w:style w:type="paragraph" w:styleId="14">
    <w:name w:val="annotation text"/>
    <w:basedOn w:val="1"/>
    <w:qFormat/>
    <w:uiPriority w:val="0"/>
    <w:pPr>
      <w:jc w:val="left"/>
    </w:pPr>
  </w:style>
  <w:style w:type="paragraph" w:styleId="15">
    <w:name w:val="Salutation"/>
    <w:basedOn w:val="1"/>
    <w:next w:val="1"/>
    <w:unhideWhenUsed/>
    <w:qFormat/>
    <w:locked/>
    <w:uiPriority w:val="99"/>
    <w:pPr>
      <w:widowControl w:val="0"/>
      <w:spacing w:line="307" w:lineRule="auto"/>
      <w:jc w:val="both"/>
    </w:pPr>
    <w:rPr>
      <w:rFonts w:ascii="Times New Roman" w:hAnsi="Times New Roman" w:eastAsia="宋体" w:cs="Times New Roman"/>
      <w:kern w:val="2"/>
      <w:sz w:val="21"/>
      <w:szCs w:val="24"/>
      <w:lang w:val="en-US" w:eastAsia="zh-CN" w:bidi="ar-SA"/>
    </w:rPr>
  </w:style>
  <w:style w:type="paragraph" w:styleId="16">
    <w:name w:val="Body Text"/>
    <w:basedOn w:val="1"/>
    <w:qFormat/>
    <w:uiPriority w:val="0"/>
    <w:pPr>
      <w:widowControl/>
      <w:snapToGrid w:val="0"/>
      <w:spacing w:before="60" w:after="160" w:line="259" w:lineRule="auto"/>
      <w:ind w:right="113"/>
    </w:pPr>
    <w:rPr>
      <w:rFonts w:ascii="Times New Roman" w:hAnsi="Times New Roman" w:eastAsia="宋体"/>
      <w:kern w:val="0"/>
      <w:sz w:val="18"/>
      <w:szCs w:val="20"/>
    </w:rPr>
  </w:style>
  <w:style w:type="paragraph" w:styleId="17">
    <w:name w:val="Body Text Indent"/>
    <w:basedOn w:val="1"/>
    <w:next w:val="18"/>
    <w:qFormat/>
    <w:uiPriority w:val="0"/>
    <w:pPr>
      <w:ind w:firstLine="560" w:firstLineChars="200"/>
    </w:pPr>
    <w:rPr>
      <w:sz w:val="28"/>
    </w:rPr>
  </w:style>
  <w:style w:type="paragraph" w:styleId="18">
    <w:name w:val="Balloon Text"/>
    <w:basedOn w:val="1"/>
    <w:next w:val="16"/>
    <w:semiHidden/>
    <w:qFormat/>
    <w:uiPriority w:val="0"/>
    <w:rPr>
      <w:kern w:val="0"/>
      <w:sz w:val="18"/>
      <w:szCs w:val="20"/>
    </w:rPr>
  </w:style>
  <w:style w:type="paragraph" w:styleId="19">
    <w:name w:val="toc 5"/>
    <w:basedOn w:val="1"/>
    <w:next w:val="1"/>
    <w:qFormat/>
    <w:locked/>
    <w:uiPriority w:val="0"/>
    <w:pPr>
      <w:ind w:left="1680" w:leftChars="800"/>
    </w:pPr>
  </w:style>
  <w:style w:type="paragraph" w:styleId="20">
    <w:name w:val="toc 3"/>
    <w:basedOn w:val="1"/>
    <w:next w:val="1"/>
    <w:qFormat/>
    <w:locked/>
    <w:uiPriority w:val="0"/>
    <w:pPr>
      <w:ind w:left="840" w:leftChars="400"/>
    </w:pPr>
  </w:style>
  <w:style w:type="paragraph" w:styleId="21">
    <w:name w:val="Plain Text"/>
    <w:basedOn w:val="1"/>
    <w:next w:val="1"/>
    <w:qFormat/>
    <w:uiPriority w:val="0"/>
    <w:rPr>
      <w:rFonts w:ascii="宋体" w:hAnsi="Courier New"/>
      <w:szCs w:val="20"/>
    </w:rPr>
  </w:style>
  <w:style w:type="paragraph" w:styleId="22">
    <w:name w:val="Body Text Indent 2"/>
    <w:basedOn w:val="1"/>
    <w:next w:val="1"/>
    <w:qFormat/>
    <w:locked/>
    <w:uiPriority w:val="0"/>
    <w:pPr>
      <w:spacing w:after="120" w:afterLines="0" w:line="480" w:lineRule="auto"/>
      <w:ind w:left="420" w:leftChars="200"/>
    </w:pPr>
  </w:style>
  <w:style w:type="paragraph" w:styleId="23">
    <w:name w:val="footer"/>
    <w:basedOn w:val="1"/>
    <w:qFormat/>
    <w:uiPriority w:val="0"/>
    <w:pPr>
      <w:tabs>
        <w:tab w:val="center" w:pos="4153"/>
        <w:tab w:val="right" w:pos="8306"/>
      </w:tabs>
      <w:snapToGrid w:val="0"/>
    </w:pPr>
    <w:rPr>
      <w:sz w:val="18"/>
    </w:rPr>
  </w:style>
  <w:style w:type="paragraph" w:styleId="2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pPr>
    <w:rPr>
      <w:sz w:val="18"/>
    </w:rPr>
  </w:style>
  <w:style w:type="paragraph" w:styleId="25">
    <w:name w:val="toc 1"/>
    <w:basedOn w:val="1"/>
    <w:next w:val="1"/>
    <w:qFormat/>
    <w:uiPriority w:val="0"/>
    <w:pPr>
      <w:spacing w:line="312" w:lineRule="auto"/>
    </w:pPr>
    <w:rPr>
      <w:rFonts w:ascii="Times New Roman" w:hAnsi="Times New Roman" w:eastAsia="宋体"/>
      <w:sz w:val="24"/>
    </w:rPr>
  </w:style>
  <w:style w:type="paragraph" w:styleId="26">
    <w:name w:val="toc 4"/>
    <w:basedOn w:val="1"/>
    <w:next w:val="1"/>
    <w:qFormat/>
    <w:locked/>
    <w:uiPriority w:val="0"/>
    <w:pPr>
      <w:ind w:left="1260" w:leftChars="600"/>
    </w:pPr>
  </w:style>
  <w:style w:type="paragraph" w:styleId="27">
    <w:name w:val="List"/>
    <w:basedOn w:val="1"/>
    <w:unhideWhenUsed/>
    <w:qFormat/>
    <w:uiPriority w:val="99"/>
    <w:pPr>
      <w:ind w:left="200" w:hanging="200" w:hangingChars="200"/>
      <w:contextualSpacing/>
    </w:pPr>
  </w:style>
  <w:style w:type="paragraph" w:styleId="28">
    <w:name w:val="toc 2"/>
    <w:basedOn w:val="1"/>
    <w:next w:val="1"/>
    <w:qFormat/>
    <w:locked/>
    <w:uiPriority w:val="0"/>
    <w:pPr>
      <w:ind w:left="420" w:leftChars="200"/>
    </w:pPr>
  </w:style>
  <w:style w:type="paragraph" w:styleId="29">
    <w:name w:val="HTML Preformatted"/>
    <w:basedOn w:val="1"/>
    <w:qFormat/>
    <w:locked/>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3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31">
    <w:name w:val="Title"/>
    <w:basedOn w:val="1"/>
    <w:next w:val="1"/>
    <w:link w:val="64"/>
    <w:qFormat/>
    <w:locked/>
    <w:uiPriority w:val="0"/>
    <w:pPr>
      <w:spacing w:before="240" w:after="60"/>
      <w:jc w:val="center"/>
      <w:outlineLvl w:val="0"/>
    </w:pPr>
    <w:rPr>
      <w:rFonts w:ascii="Cambria" w:hAnsi="Cambria"/>
      <w:b/>
      <w:bCs/>
      <w:sz w:val="32"/>
      <w:szCs w:val="32"/>
    </w:rPr>
  </w:style>
  <w:style w:type="paragraph" w:styleId="32">
    <w:name w:val="Body Text First Indent"/>
    <w:basedOn w:val="16"/>
    <w:next w:val="1"/>
    <w:qFormat/>
    <w:uiPriority w:val="0"/>
    <w:pPr>
      <w:ind w:firstLine="420" w:firstLineChars="100"/>
    </w:pPr>
  </w:style>
  <w:style w:type="paragraph" w:styleId="33">
    <w:name w:val="Body Text First Indent 2"/>
    <w:basedOn w:val="17"/>
    <w:next w:val="32"/>
    <w:unhideWhenUsed/>
    <w:qFormat/>
    <w:uiPriority w:val="0"/>
    <w:pPr>
      <w:spacing w:after="120"/>
      <w:ind w:left="420" w:leftChars="200" w:firstLine="420"/>
    </w:pPr>
    <w:rPr>
      <w:sz w:val="21"/>
    </w:rPr>
  </w:style>
  <w:style w:type="table" w:styleId="35">
    <w:name w:val="Table Grid"/>
    <w:basedOn w:val="3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basedOn w:val="36"/>
    <w:qFormat/>
    <w:locked/>
    <w:uiPriority w:val="0"/>
    <w:rPr>
      <w:b/>
    </w:rPr>
  </w:style>
  <w:style w:type="character" w:styleId="38">
    <w:name w:val="FollowedHyperlink"/>
    <w:basedOn w:val="36"/>
    <w:qFormat/>
    <w:uiPriority w:val="0"/>
    <w:rPr>
      <w:color w:val="800080"/>
      <w:u w:val="none"/>
    </w:rPr>
  </w:style>
  <w:style w:type="character" w:styleId="39">
    <w:name w:val="Emphasis"/>
    <w:basedOn w:val="36"/>
    <w:qFormat/>
    <w:uiPriority w:val="0"/>
  </w:style>
  <w:style w:type="character" w:styleId="40">
    <w:name w:val="Hyperlink"/>
    <w:basedOn w:val="36"/>
    <w:qFormat/>
    <w:uiPriority w:val="0"/>
    <w:rPr>
      <w:color w:val="0000FF"/>
      <w:u w:val="none"/>
    </w:rPr>
  </w:style>
  <w:style w:type="character" w:styleId="41">
    <w:name w:val="HTML Code"/>
    <w:basedOn w:val="36"/>
    <w:qFormat/>
    <w:locked/>
    <w:uiPriority w:val="0"/>
    <w:rPr>
      <w:rFonts w:ascii="Courier New" w:hAnsi="Courier New"/>
      <w:sz w:val="20"/>
    </w:rPr>
  </w:style>
  <w:style w:type="character" w:customStyle="1" w:styleId="42">
    <w:name w:val="标题 2 Char"/>
    <w:link w:val="3"/>
    <w:qFormat/>
    <w:uiPriority w:val="9"/>
    <w:rPr>
      <w:rFonts w:ascii="Times New Roman" w:hAnsi="Times New Roman" w:eastAsia="宋体" w:cs="Times New Roman"/>
      <w:b/>
      <w:bCs/>
      <w:kern w:val="2"/>
      <w:sz w:val="28"/>
      <w:szCs w:val="32"/>
    </w:rPr>
  </w:style>
  <w:style w:type="character" w:customStyle="1" w:styleId="43">
    <w:name w:val="标题 1 Char"/>
    <w:link w:val="2"/>
    <w:qFormat/>
    <w:uiPriority w:val="99"/>
    <w:rPr>
      <w:rFonts w:ascii="Times New Roman" w:hAnsi="Times New Roman" w:eastAsia="宋体"/>
      <w:b/>
      <w:bCs/>
      <w:color w:val="000000"/>
      <w:kern w:val="44"/>
      <w:sz w:val="30"/>
      <w:szCs w:val="30"/>
    </w:rPr>
  </w:style>
  <w:style w:type="paragraph" w:customStyle="1" w:styleId="44">
    <w:name w:val="表格标题"/>
    <w:basedOn w:val="45"/>
    <w:next w:val="1"/>
    <w:qFormat/>
    <w:uiPriority w:val="0"/>
    <w:pPr>
      <w:numPr>
        <w:ilvl w:val="7"/>
        <w:numId w:val="1"/>
      </w:numPr>
      <w:tabs>
        <w:tab w:val="left" w:pos="420"/>
        <w:tab w:val="clear" w:pos="0"/>
      </w:tabs>
      <w:spacing w:line="240" w:lineRule="auto"/>
      <w:ind w:left="0" w:firstLine="0" w:firstLineChars="0"/>
      <w:jc w:val="center"/>
    </w:pPr>
    <w:rPr>
      <w:rFonts w:ascii="Times New Roman" w:hAnsi="Times New Roman" w:eastAsia="宋体"/>
      <w:b/>
      <w:bCs/>
      <w:color w:val="auto"/>
      <w:szCs w:val="21"/>
    </w:rPr>
  </w:style>
  <w:style w:type="paragraph" w:customStyle="1" w:styleId="45">
    <w:name w:val="正文内容"/>
    <w:basedOn w:val="1"/>
    <w:qFormat/>
    <w:uiPriority w:val="0"/>
    <w:pPr>
      <w:adjustRightInd w:val="0"/>
      <w:spacing w:line="360" w:lineRule="auto"/>
    </w:pPr>
    <w:rPr>
      <w:color w:val="000000"/>
      <w:sz w:val="24"/>
    </w:rPr>
  </w:style>
  <w:style w:type="paragraph" w:customStyle="1" w:styleId="46">
    <w:name w:val="闽创报告正文"/>
    <w:basedOn w:val="47"/>
    <w:link w:val="100"/>
    <w:qFormat/>
    <w:uiPriority w:val="0"/>
    <w:pPr>
      <w:widowControl w:val="0"/>
      <w:tabs>
        <w:tab w:val="left" w:pos="0"/>
      </w:tabs>
      <w:autoSpaceDE w:val="0"/>
      <w:autoSpaceDN w:val="0"/>
      <w:spacing w:line="360" w:lineRule="auto"/>
      <w:ind w:firstLine="200" w:firstLineChars="200"/>
      <w:jc w:val="both"/>
    </w:pPr>
    <w:rPr>
      <w:rFonts w:ascii="Times New Roman" w:hAnsi="Times New Roman" w:eastAsia="宋体" w:cs="宋体"/>
      <w:color w:val="000000" w:themeColor="text1"/>
      <w:kern w:val="0"/>
      <w:szCs w:val="20"/>
      <w:lang w:val="zh-CN"/>
      <w14:textFill>
        <w14:solidFill>
          <w14:schemeClr w14:val="tx1"/>
        </w14:solidFill>
      </w14:textFill>
    </w:rPr>
  </w:style>
  <w:style w:type="paragraph" w:customStyle="1" w:styleId="47">
    <w:name w:val="0正文"/>
    <w:basedOn w:val="17"/>
    <w:unhideWhenUsed/>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paragraph" w:customStyle="1" w:styleId="48">
    <w:name w:val="表格内容"/>
    <w:basedOn w:val="27"/>
    <w:next w:val="1"/>
    <w:link w:val="58"/>
    <w:qFormat/>
    <w:uiPriority w:val="0"/>
    <w:pPr>
      <w:numPr>
        <w:ilvl w:val="0"/>
        <w:numId w:val="0"/>
      </w:numPr>
      <w:spacing w:line="240" w:lineRule="auto"/>
      <w:ind w:left="0" w:firstLine="0" w:firstLineChars="0"/>
      <w:jc w:val="center"/>
    </w:pPr>
    <w:rPr>
      <w:rFonts w:ascii="Times New Roman" w:hAnsi="Times New Roman" w:eastAsia="宋体" w:cs="Times New Roman"/>
      <w:sz w:val="21"/>
    </w:rPr>
  </w:style>
  <w:style w:type="paragraph" w:customStyle="1" w:styleId="49">
    <w:name w:val="图文标题"/>
    <w:basedOn w:val="1"/>
    <w:next w:val="1"/>
    <w:link w:val="66"/>
    <w:qFormat/>
    <w:uiPriority w:val="0"/>
    <w:pPr>
      <w:numPr>
        <w:ilvl w:val="8"/>
        <w:numId w:val="1"/>
      </w:numPr>
      <w:spacing w:line="360" w:lineRule="auto"/>
      <w:ind w:left="1583" w:hanging="1583" w:firstLineChars="0"/>
      <w:jc w:val="center"/>
    </w:pPr>
    <w:rPr>
      <w:rFonts w:ascii="Times New Roman" w:hAnsi="Times New Roman" w:eastAsia="宋体"/>
      <w:b/>
      <w:bCs/>
      <w:color w:val="auto"/>
      <w:sz w:val="24"/>
      <w:szCs w:val="21"/>
    </w:rPr>
  </w:style>
  <w:style w:type="character" w:customStyle="1" w:styleId="50">
    <w:name w:val="标题 3 Char"/>
    <w:link w:val="4"/>
    <w:semiHidden/>
    <w:qFormat/>
    <w:uiPriority w:val="0"/>
    <w:rPr>
      <w:rFonts w:ascii="Times New Roman" w:hAnsi="Times New Roman" w:eastAsia="宋体"/>
      <w:b/>
      <w:bCs/>
      <w:kern w:val="2"/>
      <w:sz w:val="24"/>
      <w:szCs w:val="32"/>
    </w:rPr>
  </w:style>
  <w:style w:type="paragraph" w:customStyle="1" w:styleId="51">
    <w:name w:val="表格"/>
    <w:basedOn w:val="1"/>
    <w:next w:val="1"/>
    <w:qFormat/>
    <w:uiPriority w:val="0"/>
    <w:pPr>
      <w:adjustRightInd w:val="0"/>
      <w:snapToGrid w:val="0"/>
      <w:spacing w:beforeLines="10" w:afterLines="10" w:line="259" w:lineRule="auto"/>
      <w:jc w:val="center"/>
    </w:pPr>
    <w:rPr>
      <w:rFonts w:ascii="宋体"/>
      <w:kern w:val="0"/>
      <w:szCs w:val="20"/>
    </w:rPr>
  </w:style>
  <w:style w:type="character" w:customStyle="1" w:styleId="52">
    <w:name w:val="标题 4 Char"/>
    <w:link w:val="5"/>
    <w:semiHidden/>
    <w:qFormat/>
    <w:uiPriority w:val="0"/>
    <w:rPr>
      <w:rFonts w:ascii="Times New Roman" w:hAnsi="Times New Roman" w:eastAsia="宋体" w:cs="Times New Roman"/>
      <w:b/>
      <w:bCs/>
      <w:kern w:val="2"/>
      <w:sz w:val="24"/>
      <w:szCs w:val="28"/>
    </w:rPr>
  </w:style>
  <w:style w:type="paragraph" w:customStyle="1" w:styleId="53">
    <w:name w:val="Default"/>
    <w:basedOn w:val="54"/>
    <w:next w:val="55"/>
    <w:qFormat/>
    <w:uiPriority w:val="0"/>
    <w:pPr>
      <w:widowControl w:val="0"/>
      <w:autoSpaceDE w:val="0"/>
      <w:autoSpaceDN w:val="0"/>
      <w:adjustRightInd w:val="0"/>
    </w:pPr>
    <w:rPr>
      <w:color w:val="000000"/>
      <w:sz w:val="24"/>
      <w:szCs w:val="24"/>
      <w:lang w:val="en-US" w:eastAsia="zh-CN" w:bidi="ar-SA"/>
    </w:rPr>
  </w:style>
  <w:style w:type="paragraph" w:customStyle="1" w:styleId="54">
    <w:name w:val="纯文本1"/>
    <w:basedOn w:val="1"/>
    <w:next w:val="21"/>
    <w:qFormat/>
    <w:uiPriority w:val="0"/>
    <w:pPr>
      <w:textAlignment w:val="baseline"/>
    </w:pPr>
    <w:rPr>
      <w:rFonts w:ascii="宋体" w:hAnsi="Courier New"/>
    </w:rPr>
  </w:style>
  <w:style w:type="paragraph" w:customStyle="1" w:styleId="55">
    <w:name w:val="样式35"/>
    <w:next w:val="56"/>
    <w:qFormat/>
    <w:uiPriority w:val="99"/>
    <w:pPr>
      <w:widowControl w:val="0"/>
      <w:spacing w:line="312" w:lineRule="auto"/>
      <w:ind w:firstLine="567"/>
      <w:jc w:val="both"/>
    </w:pPr>
    <w:rPr>
      <w:rFonts w:ascii="宋体" w:hAnsi="Times New Roman" w:eastAsia="宋体" w:cs="Times New Roman"/>
      <w:kern w:val="2"/>
      <w:sz w:val="21"/>
      <w:szCs w:val="22"/>
      <w:lang w:val="en-US" w:eastAsia="zh-CN" w:bidi="ar-SA"/>
    </w:rPr>
  </w:style>
  <w:style w:type="paragraph" w:customStyle="1" w:styleId="56">
    <w:name w:val="font6"/>
    <w:basedOn w:val="1"/>
    <w:next w:val="28"/>
    <w:qFormat/>
    <w:uiPriority w:val="99"/>
    <w:pPr>
      <w:widowControl/>
      <w:spacing w:beforeAutospacing="1" w:afterAutospacing="1" w:line="360" w:lineRule="auto"/>
      <w:ind w:firstLine="720" w:firstLineChars="200"/>
      <w:jc w:val="left"/>
    </w:pPr>
    <w:rPr>
      <w:rFonts w:ascii="宋体" w:hAnsi="宋体" w:eastAsia="宋体"/>
      <w:sz w:val="20"/>
      <w:szCs w:val="20"/>
    </w:rPr>
  </w:style>
  <w:style w:type="paragraph" w:customStyle="1" w:styleId="57">
    <w:name w:val="xl27"/>
    <w:basedOn w:val="1"/>
    <w:next w:val="22"/>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character" w:customStyle="1" w:styleId="58">
    <w:name w:val="表格内容 Char1"/>
    <w:link w:val="48"/>
    <w:qFormat/>
    <w:uiPriority w:val="0"/>
    <w:rPr>
      <w:rFonts w:ascii="Times New Roman" w:hAnsi="Times New Roman" w:eastAsia="宋体" w:cs="Times New Roman"/>
      <w:sz w:val="21"/>
    </w:rPr>
  </w:style>
  <w:style w:type="paragraph" w:customStyle="1" w:styleId="59">
    <w:name w:val="表格标题无编号"/>
    <w:basedOn w:val="44"/>
    <w:qFormat/>
    <w:uiPriority w:val="0"/>
    <w:pPr>
      <w:widowControl w:val="0"/>
      <w:numPr>
        <w:ilvl w:val="7"/>
        <w:numId w:val="0"/>
      </w:numPr>
      <w:autoSpaceDE w:val="0"/>
      <w:autoSpaceDN w:val="0"/>
      <w:spacing w:line="360" w:lineRule="auto"/>
      <w:ind w:left="1440" w:hanging="1440" w:firstLineChars="0"/>
      <w:jc w:val="center"/>
      <w:outlineLvl w:val="9"/>
    </w:pPr>
    <w:rPr>
      <w:rFonts w:ascii="Times New Roman" w:hAnsi="Times New Roman" w:eastAsia="宋体" w:cs="宋体"/>
      <w:kern w:val="0"/>
      <w:sz w:val="24"/>
      <w:szCs w:val="22"/>
      <w:lang w:val="zh-CN" w:eastAsia="zh-CN" w:bidi="ar-SA"/>
    </w:rPr>
  </w:style>
  <w:style w:type="table" w:customStyle="1" w:styleId="60">
    <w:name w:val="网格型1"/>
    <w:basedOn w:val="34"/>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1">
    <w:name w:val="6表格（锐）"/>
    <w:basedOn w:val="35"/>
    <w:qFormat/>
    <w:locked/>
    <w:uiPriority w:val="99"/>
    <w:pPr>
      <w:jc w:val="center"/>
    </w:pPr>
    <w:rPr>
      <w:sz w:val="21"/>
    </w:rPr>
    <w:tblPr>
      <w:tblBorders>
        <w:top w:val="single" w:color="auto" w:sz="12" w:space="0"/>
        <w:bottom w:val="single" w:color="auto" w:sz="12" w:space="0"/>
      </w:tblBorders>
      <w:tblCellMar>
        <w:top w:w="0" w:type="dxa"/>
        <w:left w:w="108" w:type="dxa"/>
        <w:bottom w:w="0" w:type="dxa"/>
        <w:right w:w="108" w:type="dxa"/>
      </w:tblCellMar>
    </w:tblPr>
    <w:trPr>
      <w:tblHeader/>
    </w:trPr>
    <w:tcPr>
      <w:vAlign w:val="center"/>
    </w:tcPr>
  </w:style>
  <w:style w:type="paragraph" w:customStyle="1" w:styleId="62">
    <w:name w:val="表格表头"/>
    <w:basedOn w:val="1"/>
    <w:unhideWhenUsed/>
    <w:qFormat/>
    <w:uiPriority w:val="0"/>
    <w:pPr>
      <w:adjustRightInd w:val="0"/>
      <w:snapToGrid w:val="0"/>
      <w:spacing w:beforeLines="0" w:afterLines="0" w:line="240" w:lineRule="auto"/>
      <w:ind w:firstLine="0" w:firstLineChars="0"/>
      <w:jc w:val="center"/>
    </w:pPr>
    <w:rPr>
      <w:rFonts w:hint="eastAsia" w:ascii="Times New Roman" w:hAnsi="Times New Roman"/>
      <w:b/>
      <w:sz w:val="21"/>
    </w:rPr>
  </w:style>
  <w:style w:type="character" w:customStyle="1" w:styleId="63">
    <w:name w:val="标题 5 Char"/>
    <w:link w:val="6"/>
    <w:semiHidden/>
    <w:qFormat/>
    <w:uiPriority w:val="0"/>
    <w:rPr>
      <w:b/>
      <w:bCs/>
      <w:kern w:val="2"/>
      <w:sz w:val="28"/>
      <w:szCs w:val="28"/>
    </w:rPr>
  </w:style>
  <w:style w:type="character" w:customStyle="1" w:styleId="64">
    <w:name w:val="标题 Char"/>
    <w:link w:val="31"/>
    <w:qFormat/>
    <w:uiPriority w:val="0"/>
    <w:rPr>
      <w:rFonts w:ascii="Cambria" w:hAnsi="Cambria" w:cs="Times New Roman"/>
      <w:b/>
      <w:bCs/>
      <w:kern w:val="2"/>
      <w:sz w:val="32"/>
      <w:szCs w:val="32"/>
    </w:rPr>
  </w:style>
  <w:style w:type="character" w:customStyle="1" w:styleId="65">
    <w:name w:val="闽创报告正文 Char"/>
    <w:link w:val="46"/>
    <w:qFormat/>
    <w:uiPriority w:val="0"/>
    <w:rPr>
      <w:rFonts w:ascii="Times New Roman" w:hAnsi="Times New Roman" w:eastAsia="宋体" w:cs="宋体"/>
      <w:color w:val="FF0000"/>
      <w:kern w:val="0"/>
      <w:sz w:val="24"/>
      <w:szCs w:val="20"/>
      <w:lang w:val="zh-CN" w:eastAsia="zh-CN" w:bidi="ar-SA"/>
    </w:rPr>
  </w:style>
  <w:style w:type="character" w:customStyle="1" w:styleId="66">
    <w:name w:val="图文标题 Char1"/>
    <w:link w:val="49"/>
    <w:qFormat/>
    <w:uiPriority w:val="0"/>
    <w:rPr>
      <w:rFonts w:ascii="Times New Roman" w:hAnsi="Times New Roman" w:eastAsia="宋体"/>
      <w:b/>
      <w:bCs/>
      <w:color w:val="auto"/>
      <w:sz w:val="24"/>
      <w:szCs w:val="21"/>
    </w:rPr>
  </w:style>
  <w:style w:type="paragraph" w:customStyle="1" w:styleId="67">
    <w:name w:val="表字体"/>
    <w:next w:val="1"/>
    <w:unhideWhenUsed/>
    <w:qFormat/>
    <w:uiPriority w:val="0"/>
    <w:pPr>
      <w:jc w:val="center"/>
    </w:pPr>
    <w:rPr>
      <w:rFonts w:hint="eastAsia" w:ascii="Times New Roman" w:hAnsi="Times New Roman" w:eastAsia="宋体" w:cs="Times New Roman"/>
      <w:sz w:val="21"/>
      <w:lang w:val="en-US" w:eastAsia="zh-CN" w:bidi="ar-SA"/>
    </w:rPr>
  </w:style>
  <w:style w:type="character" w:customStyle="1" w:styleId="68">
    <w:name w:val="font21"/>
    <w:basedOn w:val="36"/>
    <w:qFormat/>
    <w:uiPriority w:val="0"/>
    <w:rPr>
      <w:rFonts w:hint="eastAsia" w:ascii="宋体" w:hAnsi="宋体" w:eastAsia="宋体" w:cs="宋体"/>
      <w:color w:val="000000"/>
      <w:sz w:val="21"/>
      <w:szCs w:val="21"/>
      <w:u w:val="none"/>
    </w:rPr>
  </w:style>
  <w:style w:type="character" w:customStyle="1" w:styleId="69">
    <w:name w:val="font11"/>
    <w:basedOn w:val="36"/>
    <w:qFormat/>
    <w:uiPriority w:val="0"/>
    <w:rPr>
      <w:rFonts w:hint="default" w:ascii="Times New Roman" w:hAnsi="Times New Roman" w:cs="Times New Roman"/>
      <w:color w:val="000000"/>
      <w:sz w:val="21"/>
      <w:szCs w:val="21"/>
      <w:u w:val="none"/>
    </w:rPr>
  </w:style>
  <w:style w:type="character" w:customStyle="1" w:styleId="70">
    <w:name w:val="font31"/>
    <w:basedOn w:val="36"/>
    <w:qFormat/>
    <w:uiPriority w:val="0"/>
    <w:rPr>
      <w:rFonts w:hint="default" w:ascii="Times New Roman" w:hAnsi="Times New Roman" w:cs="Times New Roman"/>
      <w:color w:val="000000"/>
      <w:sz w:val="21"/>
      <w:szCs w:val="21"/>
      <w:u w:val="none"/>
      <w:vertAlign w:val="superscript"/>
    </w:rPr>
  </w:style>
  <w:style w:type="character" w:customStyle="1" w:styleId="71">
    <w:name w:val="font41"/>
    <w:basedOn w:val="36"/>
    <w:qFormat/>
    <w:uiPriority w:val="0"/>
    <w:rPr>
      <w:rFonts w:hint="default" w:ascii="Times New Roman" w:hAnsi="Times New Roman" w:cs="Times New Roman"/>
      <w:color w:val="000000"/>
      <w:sz w:val="21"/>
      <w:szCs w:val="21"/>
      <w:u w:val="none"/>
    </w:rPr>
  </w:style>
  <w:style w:type="paragraph" w:customStyle="1" w:styleId="72">
    <w:name w:val=" Char Char Char Char Char Char Char Char Char Char Char"/>
    <w:basedOn w:val="1"/>
    <w:qFormat/>
    <w:uiPriority w:val="0"/>
    <w:rPr>
      <w:sz w:val="24"/>
    </w:rPr>
  </w:style>
  <w:style w:type="paragraph" w:customStyle="1" w:styleId="73">
    <w:name w:val="6表文（锐）"/>
    <w:basedOn w:val="74"/>
    <w:qFormat/>
    <w:uiPriority w:val="0"/>
    <w:pPr>
      <w:topLinePunct/>
      <w:spacing w:line="240" w:lineRule="auto"/>
      <w:ind w:firstLine="0" w:firstLineChars="0"/>
      <w:jc w:val="center"/>
    </w:pPr>
    <w:rPr>
      <w:rFonts w:ascii="Times New Roman" w:hAnsi="Times New Roman" w:eastAsia="宋体" w:cs="Times New Roman"/>
      <w:color w:val="FF0000"/>
      <w:sz w:val="21"/>
      <w:szCs w:val="21"/>
    </w:rPr>
  </w:style>
  <w:style w:type="paragraph" w:customStyle="1" w:styleId="74">
    <w:name w:val="7正文（锐）"/>
    <w:basedOn w:val="1"/>
    <w:qFormat/>
    <w:uiPriority w:val="0"/>
    <w:pPr>
      <w:topLinePunct/>
      <w:spacing w:line="360" w:lineRule="auto"/>
      <w:ind w:firstLine="480" w:firstLineChars="200"/>
    </w:pPr>
    <w:rPr>
      <w:rFonts w:ascii="Times New Roman" w:hAnsi="Times New Roman" w:eastAsia="宋体" w:cs="Times New Roman"/>
      <w:sz w:val="24"/>
      <w:szCs w:val="24"/>
    </w:rPr>
  </w:style>
  <w:style w:type="paragraph" w:customStyle="1" w:styleId="75">
    <w:name w:val="表标题"/>
    <w:qFormat/>
    <w:uiPriority w:val="0"/>
    <w:pPr>
      <w:jc w:val="center"/>
    </w:pPr>
    <w:rPr>
      <w:rFonts w:ascii="Times New Roman" w:hAnsi="Times New Roman" w:eastAsia="宋体" w:cs="Times New Roman"/>
      <w:b/>
      <w:sz w:val="21"/>
      <w:lang w:val="en-US" w:eastAsia="zh-CN" w:bidi="ar-SA"/>
    </w:rPr>
  </w:style>
  <w:style w:type="paragraph" w:customStyle="1" w:styleId="76">
    <w:name w:val="表头1"/>
    <w:basedOn w:val="1"/>
    <w:next w:val="1"/>
    <w:qFormat/>
    <w:uiPriority w:val="0"/>
    <w:pPr>
      <w:numPr>
        <w:ilvl w:val="4"/>
        <w:numId w:val="5"/>
      </w:numPr>
      <w:tabs>
        <w:tab w:val="left" w:pos="0"/>
        <w:tab w:val="clear" w:pos="420"/>
      </w:tabs>
      <w:adjustRightInd/>
      <w:snapToGrid/>
      <w:spacing w:line="360" w:lineRule="auto"/>
      <w:ind w:left="0" w:firstLine="0" w:firstLineChars="0"/>
      <w:jc w:val="center"/>
      <w:outlineLvl w:val="7"/>
    </w:pPr>
    <w:rPr>
      <w:rFonts w:ascii="Times New Roman" w:hAnsi="Times New Roman" w:eastAsia="宋体"/>
      <w:b/>
    </w:rPr>
  </w:style>
  <w:style w:type="character" w:customStyle="1" w:styleId="77">
    <w:name w:val="font71"/>
    <w:basedOn w:val="36"/>
    <w:qFormat/>
    <w:uiPriority w:val="0"/>
    <w:rPr>
      <w:rFonts w:hint="default" w:ascii="Times New Roman" w:hAnsi="Times New Roman" w:cs="Times New Roman"/>
      <w:color w:val="FF0000"/>
      <w:sz w:val="21"/>
      <w:szCs w:val="21"/>
      <w:u w:val="none"/>
    </w:rPr>
  </w:style>
  <w:style w:type="character" w:customStyle="1" w:styleId="78">
    <w:name w:val="font101"/>
    <w:basedOn w:val="36"/>
    <w:qFormat/>
    <w:uiPriority w:val="0"/>
    <w:rPr>
      <w:rFonts w:hint="default" w:ascii="Times New Roman" w:hAnsi="Times New Roman" w:cs="Times New Roman"/>
      <w:color w:val="FF0000"/>
      <w:sz w:val="21"/>
      <w:szCs w:val="21"/>
      <w:u w:val="none"/>
      <w:vertAlign w:val="superscript"/>
    </w:rPr>
  </w:style>
  <w:style w:type="character" w:customStyle="1" w:styleId="79">
    <w:name w:val="font51"/>
    <w:basedOn w:val="36"/>
    <w:qFormat/>
    <w:uiPriority w:val="0"/>
    <w:rPr>
      <w:rFonts w:hint="default" w:ascii="Times New Roman" w:hAnsi="Times New Roman" w:cs="Times New Roman"/>
      <w:color w:val="0000FF"/>
      <w:sz w:val="21"/>
      <w:szCs w:val="21"/>
      <w:u w:val="none"/>
    </w:rPr>
  </w:style>
  <w:style w:type="character" w:customStyle="1" w:styleId="80">
    <w:name w:val="font112"/>
    <w:basedOn w:val="36"/>
    <w:qFormat/>
    <w:uiPriority w:val="0"/>
    <w:rPr>
      <w:rFonts w:hint="default" w:ascii="Times New Roman" w:hAnsi="Times New Roman" w:cs="Times New Roman"/>
      <w:color w:val="0000FF"/>
      <w:sz w:val="21"/>
      <w:szCs w:val="21"/>
      <w:u w:val="none"/>
      <w:vertAlign w:val="superscript"/>
    </w:rPr>
  </w:style>
  <w:style w:type="character" w:customStyle="1" w:styleId="81">
    <w:name w:val="font91"/>
    <w:basedOn w:val="36"/>
    <w:qFormat/>
    <w:uiPriority w:val="0"/>
    <w:rPr>
      <w:rFonts w:hint="default" w:ascii="Times New Roman" w:hAnsi="Times New Roman" w:cs="Times New Roman"/>
      <w:color w:val="7030A0"/>
      <w:sz w:val="21"/>
      <w:szCs w:val="21"/>
      <w:u w:val="none"/>
    </w:rPr>
  </w:style>
  <w:style w:type="character" w:customStyle="1" w:styleId="82">
    <w:name w:val="font121"/>
    <w:basedOn w:val="36"/>
    <w:qFormat/>
    <w:uiPriority w:val="0"/>
    <w:rPr>
      <w:rFonts w:hint="default" w:ascii="Times New Roman" w:hAnsi="Times New Roman" w:cs="Times New Roman"/>
      <w:color w:val="7030A0"/>
      <w:sz w:val="21"/>
      <w:szCs w:val="21"/>
      <w:u w:val="none"/>
      <w:vertAlign w:val="superscript"/>
    </w:rPr>
  </w:style>
  <w:style w:type="character" w:customStyle="1" w:styleId="83">
    <w:name w:val="font61"/>
    <w:basedOn w:val="36"/>
    <w:qFormat/>
    <w:uiPriority w:val="0"/>
    <w:rPr>
      <w:rFonts w:hint="eastAsia" w:ascii="宋体" w:hAnsi="宋体" w:eastAsia="宋体" w:cs="宋体"/>
      <w:color w:val="FF0000"/>
      <w:sz w:val="20"/>
      <w:szCs w:val="20"/>
      <w:u w:val="none"/>
    </w:rPr>
  </w:style>
  <w:style w:type="character" w:customStyle="1" w:styleId="84">
    <w:name w:val="font01"/>
    <w:basedOn w:val="36"/>
    <w:qFormat/>
    <w:uiPriority w:val="0"/>
    <w:rPr>
      <w:rFonts w:hint="default" w:ascii="Times New Roman" w:hAnsi="Times New Roman" w:cs="Times New Roman"/>
      <w:color w:val="FF0000"/>
      <w:sz w:val="20"/>
      <w:szCs w:val="20"/>
      <w:u w:val="none"/>
    </w:rPr>
  </w:style>
  <w:style w:type="character" w:customStyle="1" w:styleId="85">
    <w:name w:val="font81"/>
    <w:basedOn w:val="36"/>
    <w:qFormat/>
    <w:uiPriority w:val="0"/>
    <w:rPr>
      <w:rFonts w:hint="default" w:ascii="Times New Roman" w:hAnsi="Times New Roman" w:cs="Times New Roman"/>
      <w:color w:val="FF0000"/>
      <w:sz w:val="20"/>
      <w:szCs w:val="20"/>
      <w:u w:val="none"/>
      <w:vertAlign w:val="superscript"/>
    </w:rPr>
  </w:style>
  <w:style w:type="table" w:customStyle="1" w:styleId="86">
    <w:name w:val="Table Normal"/>
    <w:unhideWhenUsed/>
    <w:qFormat/>
    <w:uiPriority w:val="0"/>
    <w:tblPr>
      <w:tblCellMar>
        <w:top w:w="0" w:type="dxa"/>
        <w:left w:w="0" w:type="dxa"/>
        <w:bottom w:w="0" w:type="dxa"/>
        <w:right w:w="0" w:type="dxa"/>
      </w:tblCellMar>
    </w:tblPr>
  </w:style>
  <w:style w:type="paragraph" w:customStyle="1" w:styleId="87">
    <w:name w:val="表格内容bg"/>
    <w:basedOn w:val="1"/>
    <w:qFormat/>
    <w:uiPriority w:val="0"/>
    <w:pPr>
      <w:spacing w:line="240" w:lineRule="auto"/>
      <w:ind w:firstLine="0" w:firstLineChars="0"/>
      <w:jc w:val="center"/>
    </w:pPr>
    <w:rPr>
      <w:rFonts w:ascii="Times New Roman" w:hAnsi="Times New Roman" w:eastAsia="宋体"/>
      <w:sz w:val="21"/>
    </w:rPr>
  </w:style>
  <w:style w:type="paragraph" w:customStyle="1" w:styleId="88">
    <w:name w:val="16正文"/>
    <w:basedOn w:val="1"/>
    <w:qFormat/>
    <w:uiPriority w:val="0"/>
    <w:pPr>
      <w:widowControl/>
      <w:shd w:val="clear" w:color="auto" w:fill="FFFFFF"/>
      <w:spacing w:after="50" w:afterLines="50" w:line="360" w:lineRule="auto"/>
      <w:ind w:firstLine="880" w:firstLineChars="200"/>
      <w:jc w:val="left"/>
    </w:pPr>
    <w:rPr>
      <w:rFonts w:hint="eastAsia" w:ascii="Times New Roman" w:hAnsi="Times New Roman" w:eastAsia="宋体" w:cs="黑体"/>
      <w:bCs/>
      <w:color w:val="000000" w:themeColor="text1"/>
      <w:kern w:val="0"/>
      <w:sz w:val="24"/>
      <w:szCs w:val="24"/>
      <w14:textFill>
        <w14:solidFill>
          <w14:schemeClr w14:val="tx1"/>
        </w14:solidFill>
      </w14:textFill>
    </w:rPr>
  </w:style>
  <w:style w:type="paragraph" w:customStyle="1" w:styleId="89">
    <w:name w:val="正文(首行缩进)"/>
    <w:basedOn w:val="1"/>
    <w:qFormat/>
    <w:uiPriority w:val="0"/>
    <w:pPr>
      <w:ind w:firstLine="420"/>
    </w:pPr>
    <w:rPr>
      <w:kern w:val="24"/>
    </w:rPr>
  </w:style>
  <w:style w:type="paragraph" w:customStyle="1" w:styleId="90">
    <w:name w:val="表正文"/>
    <w:basedOn w:val="1"/>
    <w:qFormat/>
    <w:uiPriority w:val="0"/>
    <w:pPr>
      <w:spacing w:line="360" w:lineRule="auto"/>
      <w:ind w:firstLine="200" w:firstLineChars="200"/>
    </w:pPr>
    <w:rPr>
      <w:sz w:val="24"/>
    </w:rPr>
  </w:style>
  <w:style w:type="paragraph" w:customStyle="1" w:styleId="91">
    <w:name w:val="表哥的格式"/>
    <w:qFormat/>
    <w:uiPriority w:val="0"/>
    <w:pPr>
      <w:widowControl w:val="0"/>
      <w:autoSpaceDE w:val="0"/>
      <w:autoSpaceDN w:val="0"/>
      <w:adjustRightInd w:val="0"/>
      <w:snapToGrid w:val="0"/>
      <w:spacing w:line="360" w:lineRule="auto"/>
      <w:jc w:val="center"/>
    </w:pPr>
    <w:rPr>
      <w:rFonts w:ascii="Times New Roman" w:hAnsi="Times New Roman" w:eastAsia="宋体" w:cs="Times New Roman"/>
      <w:sz w:val="24"/>
      <w:szCs w:val="21"/>
      <w:lang w:val="en-US" w:eastAsia="zh-CN" w:bidi="ar-SA"/>
    </w:rPr>
  </w:style>
  <w:style w:type="paragraph" w:customStyle="1" w:styleId="92">
    <w:name w:val="z表格内文字"/>
    <w:basedOn w:val="1"/>
    <w:qFormat/>
    <w:uiPriority w:val="0"/>
    <w:pPr>
      <w:jc w:val="center"/>
    </w:pPr>
    <w:rPr>
      <w:color w:val="000000"/>
      <w:szCs w:val="21"/>
    </w:rPr>
  </w:style>
  <w:style w:type="paragraph" w:customStyle="1" w:styleId="93">
    <w:name w:val="书表文字"/>
    <w:qFormat/>
    <w:uiPriority w:val="0"/>
    <w:pPr>
      <w:widowControl w:val="0"/>
    </w:pPr>
    <w:rPr>
      <w:rFonts w:ascii="Times New Roman" w:hAnsi="Times New Roman" w:eastAsia="宋体" w:cs="Courier New"/>
      <w:kern w:val="2"/>
      <w:sz w:val="21"/>
      <w:szCs w:val="21"/>
      <w:lang w:val="en-US" w:eastAsia="zh-CN" w:bidi="ar-SA"/>
    </w:rPr>
  </w:style>
  <w:style w:type="character" w:customStyle="1" w:styleId="94">
    <w:name w:val="fontstyle01"/>
    <w:basedOn w:val="36"/>
    <w:qFormat/>
    <w:uiPriority w:val="0"/>
    <w:rPr>
      <w:rFonts w:ascii="宋体" w:hAnsi="宋体" w:eastAsia="宋体" w:cs="宋体"/>
      <w:color w:val="000000"/>
      <w:sz w:val="22"/>
      <w:szCs w:val="22"/>
    </w:rPr>
  </w:style>
  <w:style w:type="paragraph" w:customStyle="1" w:styleId="95">
    <w:name w:val="表格内文字"/>
    <w:basedOn w:val="96"/>
    <w:qFormat/>
    <w:uiPriority w:val="0"/>
    <w:pPr>
      <w:widowControl w:val="0"/>
      <w:tabs>
        <w:tab w:val="left" w:pos="3825"/>
        <w:tab w:val="left" w:pos="4680"/>
      </w:tabs>
      <w:adjustRightInd w:val="0"/>
      <w:snapToGrid w:val="0"/>
      <w:spacing w:line="240" w:lineRule="auto"/>
      <w:ind w:firstLine="480" w:firstLineChars="200"/>
    </w:pPr>
    <w:rPr>
      <w:rFonts w:ascii="Calibri" w:hAnsi="Calibri" w:cs="宋体"/>
      <w:b w:val="0"/>
      <w:sz w:val="21"/>
      <w:szCs w:val="24"/>
    </w:rPr>
  </w:style>
  <w:style w:type="paragraph" w:customStyle="1" w:styleId="96">
    <w:name w:val="表格名称"/>
    <w:next w:val="95"/>
    <w:qFormat/>
    <w:uiPriority w:val="0"/>
    <w:pPr>
      <w:tabs>
        <w:tab w:val="left" w:pos="3825"/>
        <w:tab w:val="left" w:pos="4680"/>
      </w:tabs>
      <w:spacing w:line="360" w:lineRule="auto"/>
      <w:jc w:val="center"/>
    </w:pPr>
    <w:rPr>
      <w:rFonts w:ascii="Times New Roman" w:hAnsi="Times New Roman" w:eastAsia="宋体" w:cs="Times New Roman"/>
      <w:b/>
      <w:sz w:val="24"/>
      <w:szCs w:val="21"/>
      <w:lang w:val="en-US" w:eastAsia="zh-CN" w:bidi="ar-SA"/>
    </w:rPr>
  </w:style>
  <w:style w:type="paragraph" w:customStyle="1" w:styleId="97">
    <w:name w:val="Table Paragraph"/>
    <w:basedOn w:val="1"/>
    <w:qFormat/>
    <w:uiPriority w:val="1"/>
    <w:pPr>
      <w:jc w:val="center"/>
    </w:pPr>
    <w:rPr>
      <w:rFonts w:ascii="宋体" w:hAnsi="宋体" w:cs="宋体"/>
      <w:lang w:val="zh-CN" w:bidi="zh-CN"/>
    </w:rPr>
  </w:style>
  <w:style w:type="paragraph" w:customStyle="1" w:styleId="98">
    <w:name w:val="注释"/>
    <w:qFormat/>
    <w:uiPriority w:val="0"/>
    <w:pPr>
      <w:widowControl w:val="0"/>
      <w:adjustRightInd w:val="0"/>
      <w:snapToGrid w:val="0"/>
      <w:spacing w:line="360" w:lineRule="auto"/>
      <w:jc w:val="both"/>
      <w:textAlignment w:val="baseline"/>
    </w:pPr>
    <w:rPr>
      <w:rFonts w:ascii="Calibri" w:hAnsi="Calibri" w:eastAsia="宋体" w:cs="宋体"/>
      <w:snapToGrid w:val="0"/>
      <w:spacing w:val="4"/>
      <w:sz w:val="24"/>
      <w:szCs w:val="21"/>
      <w:lang w:val="en-US" w:eastAsia="zh-CN" w:bidi="ar-SA"/>
    </w:rPr>
  </w:style>
  <w:style w:type="paragraph" w:customStyle="1" w:styleId="99">
    <w:name w:val="表内容"/>
    <w:basedOn w:val="1"/>
    <w:qFormat/>
    <w:uiPriority w:val="0"/>
    <w:pPr>
      <w:widowControl/>
      <w:adjustRightInd w:val="0"/>
      <w:jc w:val="center"/>
    </w:pPr>
    <w:rPr>
      <w:szCs w:val="21"/>
    </w:rPr>
  </w:style>
  <w:style w:type="character" w:customStyle="1" w:styleId="100">
    <w:name w:val="报告正文 Char"/>
    <w:link w:val="46"/>
    <w:qFormat/>
    <w:uiPriority w:val="0"/>
    <w:rPr>
      <w:rFonts w:ascii="Times New Roman" w:hAnsi="Times New Roman" w:eastAsia="宋体"/>
      <w:color w:val="000000" w:themeColor="text1"/>
      <w:sz w:val="24"/>
      <w:szCs w:val="24"/>
      <w14:textFill>
        <w14:solidFill>
          <w14:schemeClr w14:val="tx1"/>
        </w14:solidFill>
      </w14:textFill>
    </w:rPr>
  </w:style>
  <w:style w:type="paragraph" w:customStyle="1" w:styleId="101">
    <w:name w:val="表 内容"/>
    <w:qFormat/>
    <w:uiPriority w:val="0"/>
    <w:pPr>
      <w:widowControl w:val="0"/>
      <w:spacing w:line="360" w:lineRule="auto"/>
      <w:jc w:val="center"/>
    </w:pPr>
    <w:rPr>
      <w:rFonts w:ascii="Calibri" w:hAnsi="宋体" w:eastAsia="宋体" w:cs="Times New Roman"/>
      <w:kern w:val="2"/>
      <w:sz w:val="24"/>
      <w:lang w:val="en-US" w:eastAsia="zh-CN" w:bidi="ar-SA"/>
    </w:rPr>
  </w:style>
  <w:style w:type="paragraph" w:customStyle="1" w:styleId="102">
    <w:name w:val="样式 首行缩进:  2 字符1"/>
    <w:basedOn w:val="1"/>
    <w:qFormat/>
    <w:uiPriority w:val="0"/>
    <w:pPr>
      <w:adjustRightInd w:val="0"/>
      <w:snapToGrid w:val="0"/>
      <w:spacing w:line="360" w:lineRule="auto"/>
      <w:ind w:firstLine="480" w:firstLineChars="200"/>
    </w:pPr>
    <w:rPr>
      <w:rFonts w:hint="eastAsia" w:ascii="宋体" w:hAnsi="宋体"/>
      <w:sz w:val="24"/>
      <w:szCs w:val="20"/>
    </w:rPr>
  </w:style>
  <w:style w:type="paragraph" w:customStyle="1" w:styleId="103">
    <w:name w:val="0报告正文"/>
    <w:basedOn w:val="1"/>
    <w:qFormat/>
    <w:uiPriority w:val="0"/>
    <w:pPr>
      <w:autoSpaceDE w:val="0"/>
      <w:autoSpaceDN w:val="0"/>
      <w:spacing w:line="360" w:lineRule="auto"/>
      <w:ind w:firstLine="482"/>
    </w:pPr>
    <w:rPr>
      <w:rFonts w:eastAsia="Times New Roman"/>
      <w:color w:val="000000"/>
      <w:kern w:val="0"/>
      <w:sz w:val="24"/>
      <w:szCs w:val="20"/>
    </w:rPr>
  </w:style>
  <w:style w:type="paragraph" w:customStyle="1" w:styleId="104">
    <w:name w:val="表格内容b"/>
    <w:basedOn w:val="1"/>
    <w:qFormat/>
    <w:uiPriority w:val="0"/>
    <w:pPr>
      <w:jc w:val="center"/>
    </w:pPr>
  </w:style>
  <w:style w:type="paragraph" w:customStyle="1" w:styleId="105">
    <w:name w:val="文"/>
    <w:basedOn w:val="1"/>
    <w:qFormat/>
    <w:uiPriority w:val="0"/>
    <w:pPr>
      <w:widowControl/>
      <w:spacing w:line="360" w:lineRule="auto"/>
      <w:ind w:firstLine="200" w:firstLineChars="200"/>
    </w:pPr>
    <w:rPr>
      <w:bCs/>
      <w:kern w:val="0"/>
      <w:sz w:val="24"/>
      <w:szCs w:val="28"/>
    </w:rPr>
  </w:style>
  <w:style w:type="paragraph" w:customStyle="1" w:styleId="106">
    <w:name w:val="a表格内文字"/>
    <w:basedOn w:val="1"/>
    <w:qFormat/>
    <w:uiPriority w:val="0"/>
    <w:pPr>
      <w:jc w:val="center"/>
    </w:pPr>
    <w:rPr>
      <w:color w:val="000000"/>
      <w:szCs w:val="21"/>
    </w:rPr>
  </w:style>
  <w:style w:type="paragraph" w:customStyle="1" w:styleId="107">
    <w:name w:val="金皇-正文"/>
    <w:basedOn w:val="1"/>
    <w:qFormat/>
    <w:uiPriority w:val="0"/>
    <w:pPr>
      <w:spacing w:line="360" w:lineRule="auto"/>
      <w:ind w:firstLine="200" w:firstLineChars="200"/>
    </w:pPr>
    <w:rPr>
      <w:sz w:val="24"/>
    </w:rPr>
  </w:style>
  <w:style w:type="paragraph" w:customStyle="1" w:styleId="108">
    <w:name w:val="样式 黑色 行距: 最小值 26 磅"/>
    <w:basedOn w:val="1"/>
    <w:qFormat/>
    <w:uiPriority w:val="0"/>
    <w:pPr>
      <w:ind w:firstLine="200" w:firstLineChars="200"/>
      <w:jc w:val="left"/>
    </w:pPr>
    <w:rPr>
      <w:rFonts w:eastAsia="楷体_GB2312" w:cs="宋体"/>
      <w:color w:val="000000"/>
      <w:spacing w:val="6"/>
      <w:sz w:val="28"/>
      <w:szCs w:val="20"/>
    </w:rPr>
  </w:style>
  <w:style w:type="paragraph" w:customStyle="1" w:styleId="109">
    <w:name w:val="北京表格内容"/>
    <w:basedOn w:val="1"/>
    <w:next w:val="1"/>
    <w:qFormat/>
    <w:uiPriority w:val="0"/>
    <w:pPr>
      <w:widowControl/>
      <w:spacing w:line="280" w:lineRule="exact"/>
      <w:jc w:val="center"/>
    </w:pPr>
    <w:rPr>
      <w:bCs/>
      <w:color w:val="000000"/>
      <w:sz w:val="18"/>
    </w:rPr>
  </w:style>
  <w:style w:type="paragraph" w:customStyle="1" w:styleId="110">
    <w:name w:val="金皇-标题3"/>
    <w:basedOn w:val="4"/>
    <w:qFormat/>
    <w:uiPriority w:val="0"/>
    <w:pPr>
      <w:keepNext w:val="0"/>
      <w:keepLines w:val="0"/>
      <w:numPr>
        <w:numId w:val="6"/>
      </w:numPr>
      <w:tabs>
        <w:tab w:val="left" w:pos="644"/>
        <w:tab w:val="clear" w:pos="420"/>
      </w:tabs>
      <w:adjustRightInd w:val="0"/>
      <w:jc w:val="left"/>
    </w:pPr>
    <w:rPr>
      <w:rFonts w:eastAsia="黑体"/>
      <w:sz w:val="28"/>
      <w:szCs w:val="30"/>
    </w:rPr>
  </w:style>
  <w:style w:type="paragraph" w:customStyle="1" w:styleId="111">
    <w:name w:val="表格内文字（两端对齐）"/>
    <w:basedOn w:val="95"/>
    <w:qFormat/>
    <w:uiPriority w:val="0"/>
    <w:pPr>
      <w:tabs>
        <w:tab w:val="left" w:pos="1980"/>
      </w:tabs>
      <w:jc w:val="both"/>
    </w:pPr>
  </w:style>
  <w:style w:type="paragraph" w:customStyle="1" w:styleId="112">
    <w:name w:val="无编号标题2"/>
    <w:basedOn w:val="3"/>
    <w:next w:val="1"/>
    <w:link w:val="147"/>
    <w:qFormat/>
    <w:uiPriority w:val="0"/>
    <w:pPr>
      <w:numPr>
        <w:ilvl w:val="0"/>
        <w:numId w:val="0"/>
      </w:numPr>
      <w:tabs>
        <w:tab w:val="left" w:pos="0"/>
        <w:tab w:val="clear" w:pos="420"/>
      </w:tabs>
    </w:pPr>
    <w:rPr>
      <w:rFonts w:ascii="Times New Roman" w:hAnsi="Times New Roman" w:eastAsia="宋体"/>
      <w:sz w:val="24"/>
    </w:rPr>
  </w:style>
  <w:style w:type="character" w:customStyle="1" w:styleId="113">
    <w:name w:val="disabled"/>
    <w:basedOn w:val="36"/>
    <w:qFormat/>
    <w:uiPriority w:val="0"/>
    <w:rPr>
      <w:vanish/>
    </w:rPr>
  </w:style>
  <w:style w:type="character" w:customStyle="1" w:styleId="114">
    <w:name w:val="znspantitle"/>
    <w:basedOn w:val="36"/>
    <w:qFormat/>
    <w:uiPriority w:val="0"/>
    <w:rPr>
      <w:b/>
      <w:bCs/>
      <w:color w:val="333333"/>
    </w:rPr>
  </w:style>
  <w:style w:type="paragraph" w:customStyle="1" w:styleId="115">
    <w:name w:val="Table Text"/>
    <w:basedOn w:val="1"/>
    <w:semiHidden/>
    <w:qFormat/>
    <w:uiPriority w:val="0"/>
    <w:rPr>
      <w:rFonts w:ascii="宋体" w:hAnsi="宋体" w:eastAsia="宋体" w:cs="宋体"/>
      <w:sz w:val="24"/>
      <w:szCs w:val="24"/>
      <w:lang w:val="en-US" w:eastAsia="en-US" w:bidi="ar-SA"/>
    </w:rPr>
  </w:style>
  <w:style w:type="paragraph" w:customStyle="1" w:styleId="116">
    <w:name w:val="文本"/>
    <w:basedOn w:val="1"/>
    <w:qFormat/>
    <w:uiPriority w:val="0"/>
    <w:pPr>
      <w:spacing w:line="360" w:lineRule="auto"/>
      <w:ind w:firstLine="200" w:firstLineChars="200"/>
    </w:pPr>
    <w:rPr>
      <w:rFonts w:ascii="Calibri" w:hAnsi="Calibri" w:cs="宋体"/>
      <w:sz w:val="24"/>
    </w:rPr>
  </w:style>
  <w:style w:type="paragraph" w:customStyle="1" w:styleId="117">
    <w:name w:val="报告书表格文（林）"/>
    <w:basedOn w:val="1"/>
    <w:qFormat/>
    <w:uiPriority w:val="0"/>
    <w:pPr>
      <w:spacing w:line="280" w:lineRule="exact"/>
      <w:ind w:firstLine="0" w:firstLineChars="0"/>
      <w:jc w:val="center"/>
    </w:pPr>
    <w:rPr>
      <w:rFonts w:ascii="Times New Roman" w:hAnsi="Times New Roman"/>
      <w:sz w:val="21"/>
    </w:rPr>
  </w:style>
  <w:style w:type="paragraph" w:customStyle="1" w:styleId="118">
    <w:name w:val="正文格式111"/>
    <w:basedOn w:val="1"/>
    <w:qFormat/>
    <w:uiPriority w:val="0"/>
    <w:pPr>
      <w:spacing w:line="420" w:lineRule="auto"/>
      <w:ind w:firstLine="480" w:firstLineChars="200"/>
    </w:pPr>
    <w:rPr>
      <w:bCs/>
      <w:kern w:val="0"/>
      <w:sz w:val="24"/>
    </w:rPr>
  </w:style>
  <w:style w:type="paragraph" w:customStyle="1" w:styleId="119">
    <w:name w:val="正文11111111111"/>
    <w:basedOn w:val="1"/>
    <w:qFormat/>
    <w:uiPriority w:val="0"/>
    <w:pPr>
      <w:spacing w:line="360" w:lineRule="auto"/>
      <w:ind w:firstLine="480" w:firstLineChars="200"/>
    </w:pPr>
    <w:rPr>
      <w:rFonts w:ascii="宋体" w:hAnsi="宋体"/>
      <w:sz w:val="24"/>
    </w:rPr>
  </w:style>
  <w:style w:type="paragraph" w:customStyle="1" w:styleId="120">
    <w:name w:val="111正文的格式"/>
    <w:basedOn w:val="1"/>
    <w:qFormat/>
    <w:uiPriority w:val="0"/>
    <w:pPr>
      <w:adjustRightInd w:val="0"/>
      <w:snapToGrid w:val="0"/>
      <w:spacing w:line="360" w:lineRule="auto"/>
      <w:ind w:firstLine="480" w:firstLineChars="200"/>
    </w:pPr>
    <w:rPr>
      <w:color w:val="0000FF"/>
      <w:sz w:val="24"/>
    </w:rPr>
  </w:style>
  <w:style w:type="paragraph" w:customStyle="1" w:styleId="121">
    <w:name w:val="标题3"/>
    <w:basedOn w:val="1"/>
    <w:qFormat/>
    <w:uiPriority w:val="0"/>
    <w:pPr>
      <w:spacing w:line="360" w:lineRule="auto"/>
      <w:outlineLvl w:val="2"/>
    </w:pPr>
    <w:rPr>
      <w:b/>
      <w:sz w:val="24"/>
    </w:rPr>
  </w:style>
  <w:style w:type="paragraph" w:customStyle="1" w:styleId="122">
    <w:name w:val="Other|1"/>
    <w:basedOn w:val="1"/>
    <w:qFormat/>
    <w:uiPriority w:val="0"/>
    <w:pPr>
      <w:widowControl w:val="0"/>
      <w:spacing w:after="30" w:line="425" w:lineRule="auto"/>
      <w:ind w:firstLine="400"/>
      <w:jc w:val="both"/>
    </w:pPr>
    <w:rPr>
      <w:rFonts w:ascii="宋体" w:hAnsi="宋体" w:cs="宋体"/>
      <w:sz w:val="24"/>
      <w:lang w:val="zh-TW" w:eastAsia="zh-TW" w:bidi="zh-TW"/>
    </w:rPr>
  </w:style>
  <w:style w:type="paragraph" w:customStyle="1" w:styleId="123">
    <w:name w:val="表格内容（）"/>
    <w:basedOn w:val="1"/>
    <w:qFormat/>
    <w:uiPriority w:val="0"/>
    <w:pPr>
      <w:adjustRightInd w:val="0"/>
      <w:snapToGrid w:val="0"/>
      <w:jc w:val="center"/>
    </w:pPr>
    <w:rPr>
      <w:color w:val="00B0F0"/>
      <w:szCs w:val="21"/>
      <w:lang w:val="zh-CN"/>
    </w:rPr>
  </w:style>
  <w:style w:type="paragraph" w:customStyle="1" w:styleId="124">
    <w:name w:val="表表表表"/>
    <w:basedOn w:val="125"/>
    <w:qFormat/>
    <w:uiPriority w:val="0"/>
    <w:pPr>
      <w:jc w:val="center"/>
    </w:pPr>
    <w:rPr>
      <w:rFonts w:eastAsia="仿宋"/>
      <w:szCs w:val="21"/>
    </w:rPr>
  </w:style>
  <w:style w:type="paragraph" w:customStyle="1" w:styleId="125">
    <w:name w:val="表格文字"/>
    <w:basedOn w:val="1"/>
    <w:qFormat/>
    <w:uiPriority w:val="0"/>
    <w:pPr>
      <w:spacing w:line="560" w:lineRule="exact"/>
      <w:ind w:firstLine="0" w:firstLineChars="0"/>
      <w:jc w:val="center"/>
    </w:pPr>
    <w:rPr>
      <w:rFonts w:eastAsia="方正楷体简体"/>
      <w:szCs w:val="24"/>
    </w:rPr>
  </w:style>
  <w:style w:type="character" w:customStyle="1" w:styleId="126">
    <w:name w:val="fontstyle21"/>
    <w:basedOn w:val="36"/>
    <w:qFormat/>
    <w:uiPriority w:val="0"/>
    <w:rPr>
      <w:rFonts w:ascii="TimesNewRomanPSMT" w:hAnsi="TimesNewRomanPSMT" w:eastAsia="TimesNewRomanPSMT" w:cs="TimesNewRomanPSMT"/>
      <w:color w:val="000000"/>
      <w:sz w:val="24"/>
      <w:szCs w:val="24"/>
    </w:rPr>
  </w:style>
  <w:style w:type="paragraph" w:customStyle="1" w:styleId="127">
    <w:name w:val="22标题2"/>
    <w:basedOn w:val="128"/>
    <w:qFormat/>
    <w:uiPriority w:val="99"/>
    <w:pPr>
      <w:adjustRightInd w:val="0"/>
      <w:snapToGrid w:val="0"/>
    </w:pPr>
    <w:rPr>
      <w:color w:val="0000FF"/>
    </w:rPr>
  </w:style>
  <w:style w:type="paragraph" w:customStyle="1" w:styleId="128">
    <w:name w:val="标题2"/>
    <w:basedOn w:val="21"/>
    <w:qFormat/>
    <w:uiPriority w:val="99"/>
    <w:pPr>
      <w:spacing w:line="360" w:lineRule="auto"/>
      <w:outlineLvl w:val="1"/>
    </w:pPr>
    <w:rPr>
      <w:rFonts w:ascii="Times New Roman" w:hAnsi="Times New Roman" w:eastAsia="黑体"/>
      <w:sz w:val="30"/>
      <w:szCs w:val="30"/>
    </w:rPr>
  </w:style>
  <w:style w:type="paragraph" w:customStyle="1" w:styleId="129">
    <w:name w:val="三级标题（）"/>
    <w:basedOn w:val="1"/>
    <w:qFormat/>
    <w:uiPriority w:val="99"/>
    <w:pPr>
      <w:tabs>
        <w:tab w:val="left" w:pos="3840"/>
      </w:tabs>
      <w:spacing w:line="360" w:lineRule="auto"/>
      <w:outlineLvl w:val="2"/>
    </w:pPr>
    <w:rPr>
      <w:rFonts w:eastAsia="黑体"/>
      <w:color w:val="5B9BD5"/>
      <w:sz w:val="28"/>
      <w:szCs w:val="30"/>
    </w:rPr>
  </w:style>
  <w:style w:type="paragraph" w:customStyle="1" w:styleId="130">
    <w:name w:val="111表格"/>
    <w:basedOn w:val="1"/>
    <w:qFormat/>
    <w:uiPriority w:val="99"/>
    <w:pPr>
      <w:autoSpaceDE w:val="0"/>
      <w:autoSpaceDN w:val="0"/>
      <w:adjustRightInd w:val="0"/>
      <w:snapToGrid w:val="0"/>
      <w:spacing w:line="360" w:lineRule="auto"/>
      <w:ind w:firstLine="200" w:firstLineChars="200"/>
    </w:pPr>
    <w:rPr>
      <w:kern w:val="0"/>
      <w:szCs w:val="21"/>
    </w:rPr>
  </w:style>
  <w:style w:type="paragraph" w:customStyle="1" w:styleId="131">
    <w:name w:val="表头"/>
    <w:basedOn w:val="1"/>
    <w:next w:val="1"/>
    <w:qFormat/>
    <w:uiPriority w:val="0"/>
    <w:pPr>
      <w:numPr>
        <w:ilvl w:val="4"/>
        <w:numId w:val="7"/>
      </w:numPr>
      <w:tabs>
        <w:tab w:val="left" w:pos="420"/>
        <w:tab w:val="clear" w:pos="0"/>
      </w:tabs>
      <w:spacing w:line="360" w:lineRule="auto"/>
      <w:ind w:left="0" w:firstLine="0" w:firstLineChars="0"/>
      <w:jc w:val="center"/>
    </w:pPr>
    <w:rPr>
      <w:b/>
      <w:szCs w:val="22"/>
    </w:rPr>
  </w:style>
  <w:style w:type="paragraph" w:customStyle="1" w:styleId="132">
    <w:name w:val="@正文"/>
    <w:basedOn w:val="1"/>
    <w:qFormat/>
    <w:uiPriority w:val="0"/>
    <w:pPr>
      <w:tabs>
        <w:tab w:val="left" w:pos="1980"/>
        <w:tab w:val="left" w:pos="3825"/>
        <w:tab w:val="left" w:pos="4680"/>
      </w:tabs>
      <w:spacing w:line="360" w:lineRule="auto"/>
      <w:ind w:firstLine="200" w:firstLineChars="200"/>
      <w:jc w:val="left"/>
    </w:pPr>
    <w:rPr>
      <w:rFonts w:hAnsi="宋体"/>
      <w:kern w:val="0"/>
      <w:szCs w:val="21"/>
    </w:rPr>
  </w:style>
  <w:style w:type="character" w:customStyle="1" w:styleId="133">
    <w:name w:val="15"/>
    <w:qFormat/>
    <w:uiPriority w:val="0"/>
    <w:rPr>
      <w:rFonts w:hint="default" w:ascii="Times New Roman" w:hAnsi="Times New Roman" w:cs="Times New Roman"/>
    </w:rPr>
  </w:style>
  <w:style w:type="paragraph" w:customStyle="1" w:styleId="134">
    <w:name w:val="金皇-表（图）头"/>
    <w:basedOn w:val="1"/>
    <w:qFormat/>
    <w:uiPriority w:val="0"/>
    <w:pPr>
      <w:adjustRightInd w:val="0"/>
      <w:snapToGrid w:val="0"/>
      <w:jc w:val="center"/>
      <w:outlineLvl w:val="4"/>
    </w:pPr>
    <w:rPr>
      <w:rFonts w:eastAsia="黑体"/>
      <w:b/>
      <w:sz w:val="24"/>
    </w:rPr>
  </w:style>
  <w:style w:type="paragraph" w:customStyle="1" w:styleId="135">
    <w:name w:val="111正文格式111"/>
    <w:basedOn w:val="1"/>
    <w:qFormat/>
    <w:uiPriority w:val="99"/>
    <w:pPr>
      <w:adjustRightInd w:val="0"/>
      <w:snapToGrid w:val="0"/>
      <w:spacing w:line="360" w:lineRule="auto"/>
      <w:ind w:firstLine="200" w:firstLineChars="200"/>
    </w:pPr>
    <w:rPr>
      <w:kern w:val="0"/>
    </w:rPr>
  </w:style>
  <w:style w:type="paragraph" w:customStyle="1" w:styleId="136">
    <w:name w:val="（环评）表格内容"/>
    <w:basedOn w:val="1"/>
    <w:next w:val="16"/>
    <w:qFormat/>
    <w:uiPriority w:val="0"/>
    <w:pPr>
      <w:adjustRightInd w:val="0"/>
      <w:snapToGrid w:val="0"/>
      <w:spacing w:line="240" w:lineRule="auto"/>
      <w:ind w:firstLine="0" w:firstLineChars="0"/>
      <w:jc w:val="center"/>
    </w:pPr>
    <w:rPr>
      <w:rFonts w:ascii="Times New Roman" w:hAnsi="Times New Roman" w:eastAsia="宋体"/>
      <w:iCs/>
      <w:szCs w:val="21"/>
    </w:rPr>
  </w:style>
  <w:style w:type="character" w:customStyle="1" w:styleId="137">
    <w:name w:val="正文缩进 Char"/>
    <w:link w:val="13"/>
    <w:qFormat/>
    <w:uiPriority w:val="0"/>
    <w:rPr>
      <w:rFonts w:ascii="Calibri" w:hAnsi="Calibri"/>
      <w:sz w:val="28"/>
    </w:rPr>
  </w:style>
  <w:style w:type="paragraph" w:customStyle="1" w:styleId="138">
    <w:name w:val="1表格（5宋.）"/>
    <w:basedOn w:val="1"/>
    <w:qFormat/>
    <w:uiPriority w:val="0"/>
    <w:pPr>
      <w:shd w:val="clear" w:color="auto" w:fill="auto"/>
      <w:spacing w:line="240" w:lineRule="auto"/>
      <w:ind w:firstLine="0" w:firstLineChars="0"/>
      <w:jc w:val="center"/>
    </w:pPr>
    <w:rPr>
      <w:rFonts w:ascii="宋体" w:hAnsi="宋体" w:eastAsia="宋体" w:cs="宋体"/>
      <w:color w:val="000000"/>
      <w:sz w:val="21"/>
      <w:szCs w:val="22"/>
      <w:u w:val="none"/>
      <w:shd w:val="clear" w:color="auto" w:fill="auto"/>
      <w:lang w:val="zh-TW" w:eastAsia="zh-TW" w:bidi="zh-TW"/>
    </w:rPr>
  </w:style>
  <w:style w:type="paragraph" w:customStyle="1" w:styleId="139">
    <w:name w:val="11正文"/>
    <w:basedOn w:val="140"/>
    <w:qFormat/>
    <w:uiPriority w:val="99"/>
  </w:style>
  <w:style w:type="paragraph" w:customStyle="1" w:styleId="140">
    <w:name w:val="正文111"/>
    <w:basedOn w:val="141"/>
    <w:qFormat/>
    <w:uiPriority w:val="99"/>
    <w:pPr>
      <w:ind w:firstLine="480"/>
    </w:pPr>
  </w:style>
  <w:style w:type="paragraph" w:customStyle="1" w:styleId="141">
    <w:name w:val="正文的格式52"/>
    <w:basedOn w:val="1"/>
    <w:qFormat/>
    <w:uiPriority w:val="99"/>
    <w:pPr>
      <w:spacing w:line="360" w:lineRule="auto"/>
      <w:ind w:firstLine="200" w:firstLineChars="200"/>
    </w:pPr>
    <w:rPr>
      <w:kern w:val="0"/>
      <w:sz w:val="24"/>
      <w:szCs w:val="20"/>
    </w:rPr>
  </w:style>
  <w:style w:type="paragraph" w:customStyle="1" w:styleId="142">
    <w:name w:val="10、表格内容"/>
    <w:basedOn w:val="16"/>
    <w:qFormat/>
    <w:uiPriority w:val="0"/>
    <w:pPr>
      <w:widowControl w:val="0"/>
      <w:adjustRightInd w:val="0"/>
      <w:spacing w:before="0" w:after="0" w:line="280" w:lineRule="exact"/>
      <w:ind w:right="0"/>
      <w:jc w:val="center"/>
    </w:pPr>
    <w:rPr>
      <w:color w:val="000000"/>
      <w:kern w:val="2"/>
      <w:sz w:val="21"/>
      <w:szCs w:val="24"/>
    </w:rPr>
  </w:style>
  <w:style w:type="paragraph" w:customStyle="1" w:styleId="143">
    <w:name w:val="22表格"/>
    <w:basedOn w:val="124"/>
    <w:qFormat/>
    <w:uiPriority w:val="0"/>
    <w:pPr>
      <w:adjustRightInd w:val="0"/>
      <w:snapToGrid w:val="0"/>
      <w:textAlignment w:val="center"/>
    </w:pPr>
    <w:rPr>
      <w:rFonts w:eastAsia="宋体"/>
      <w:color w:val="000000"/>
    </w:rPr>
  </w:style>
  <w:style w:type="paragraph" w:customStyle="1" w:styleId="144">
    <w:name w:val="111正文"/>
    <w:basedOn w:val="1"/>
    <w:qFormat/>
    <w:uiPriority w:val="99"/>
    <w:pPr>
      <w:widowControl/>
      <w:tabs>
        <w:tab w:val="left" w:pos="7276"/>
      </w:tabs>
      <w:adjustRightInd w:val="0"/>
      <w:snapToGrid w:val="0"/>
      <w:spacing w:line="360" w:lineRule="auto"/>
      <w:ind w:firstLine="480" w:firstLineChars="200"/>
      <w:jc w:val="left"/>
    </w:pPr>
    <w:rPr>
      <w:color w:val="C00000"/>
      <w:kern w:val="0"/>
      <w:sz w:val="24"/>
      <w:szCs w:val="32"/>
    </w:rPr>
  </w:style>
  <w:style w:type="paragraph" w:customStyle="1" w:styleId="145">
    <w:name w:val="WPSOffice手动目录 1"/>
    <w:qFormat/>
    <w:uiPriority w:val="0"/>
    <w:pPr>
      <w:ind w:leftChars="0"/>
    </w:pPr>
    <w:rPr>
      <w:rFonts w:ascii="Times New Roman" w:hAnsi="Times New Roman" w:eastAsia="宋体" w:cs="Times New Roman"/>
      <w:sz w:val="20"/>
      <w:szCs w:val="20"/>
    </w:rPr>
  </w:style>
  <w:style w:type="paragraph" w:styleId="146">
    <w:name w:val="List Paragraph"/>
    <w:basedOn w:val="1"/>
    <w:qFormat/>
    <w:uiPriority w:val="1"/>
    <w:pPr>
      <w:ind w:left="1286" w:hanging="277"/>
    </w:pPr>
    <w:rPr>
      <w:rFonts w:ascii="宋体" w:hAnsi="宋体" w:eastAsia="宋体" w:cs="宋体"/>
      <w:lang w:val="en-US" w:eastAsia="zh-CN" w:bidi="ar-SA"/>
    </w:rPr>
  </w:style>
  <w:style w:type="character" w:customStyle="1" w:styleId="147">
    <w:name w:val="无编号标题2 Char"/>
    <w:link w:val="112"/>
    <w:qFormat/>
    <w:uiPriority w:val="0"/>
    <w:rPr>
      <w:rFonts w:ascii="Times New Roman" w:hAnsi="Times New Roman" w:eastAsia="宋体"/>
      <w:sz w:val="24"/>
    </w:rPr>
  </w:style>
  <w:style w:type="paragraph" w:customStyle="1" w:styleId="148">
    <w:name w:val="7表格(治)"/>
    <w:qFormat/>
    <w:uiPriority w:val="0"/>
    <w:pPr>
      <w:jc w:val="center"/>
    </w:pPr>
    <w:rPr>
      <w:rFonts w:ascii="Times New Roman" w:hAnsi="Times New Roman" w:eastAsia="宋体" w:cs="Times New Roman"/>
      <w:sz w:val="21"/>
      <w:lang w:val="en-US" w:eastAsia="zh-CN" w:bidi="ar-SA"/>
    </w:rPr>
  </w:style>
  <w:style w:type="paragraph" w:customStyle="1" w:styleId="149">
    <w:name w:val="5段落"/>
    <w:basedOn w:val="1"/>
    <w:qFormat/>
    <w:uiPriority w:val="0"/>
    <w:pPr>
      <w:spacing w:line="360" w:lineRule="auto"/>
      <w:ind w:firstLine="200" w:firstLineChars="200"/>
    </w:pPr>
    <w:rPr>
      <w:szCs w:val="28"/>
    </w:rPr>
  </w:style>
  <w:style w:type="paragraph" w:customStyle="1" w:styleId="150">
    <w:name w:val="环评 表格"/>
    <w:basedOn w:val="151"/>
    <w:qFormat/>
    <w:uiPriority w:val="0"/>
    <w:pPr>
      <w:pBdr>
        <w:top w:val="none" w:color="auto" w:sz="0" w:space="1"/>
        <w:left w:val="dashed" w:color="FFFFFF" w:sz="4" w:space="4"/>
        <w:bottom w:val="none" w:color="auto" w:sz="0" w:space="1"/>
        <w:right w:val="dashed" w:color="FFFFFF" w:sz="4" w:space="4"/>
      </w:pBdr>
      <w:ind w:firstLine="0" w:firstLineChars="0"/>
      <w:jc w:val="center"/>
    </w:pPr>
    <w:rPr>
      <w:sz w:val="21"/>
      <w:szCs w:val="21"/>
      <w:lang w:eastAsia="en-US"/>
    </w:rPr>
  </w:style>
  <w:style w:type="paragraph" w:customStyle="1" w:styleId="151">
    <w:name w:val="无间隔1"/>
    <w:qFormat/>
    <w:uiPriority w:val="1"/>
    <w:pPr>
      <w:widowControl w:val="0"/>
      <w:ind w:firstLine="200" w:firstLineChars="200"/>
      <w:jc w:val="both"/>
    </w:pPr>
    <w:rPr>
      <w:rFonts w:ascii="Calibri" w:hAnsi="Calibri" w:eastAsia="宋体" w:cs="Calibri"/>
      <w:kern w:val="2"/>
      <w:sz w:val="24"/>
      <w:szCs w:val="24"/>
      <w:lang w:val="en-US" w:eastAsia="zh-CN" w:bidi="ar-SA"/>
    </w:rPr>
  </w:style>
  <w:style w:type="paragraph" w:customStyle="1" w:styleId="152">
    <w:name w:val="屠彪标题"/>
    <w:basedOn w:val="1"/>
    <w:qFormat/>
    <w:uiPriority w:val="0"/>
    <w:pPr>
      <w:adjustRightInd w:val="0"/>
      <w:snapToGrid w:val="0"/>
      <w:spacing w:before="10" w:beforeLines="10" w:after="10" w:afterLines="10"/>
      <w:jc w:val="center"/>
    </w:pPr>
    <w:rPr>
      <w:rFonts w:ascii="Times New Roman" w:hAnsi="Times New Roman" w:eastAsia="宋体"/>
      <w:b/>
      <w:kern w:val="0"/>
      <w:sz w:val="24"/>
      <w:szCs w:val="20"/>
    </w:rPr>
  </w:style>
  <w:style w:type="paragraph" w:customStyle="1" w:styleId="153">
    <w:name w:val="彪哥文本"/>
    <w:basedOn w:val="1"/>
    <w:next w:val="1"/>
    <w:qFormat/>
    <w:uiPriority w:val="0"/>
    <w:pPr>
      <w:adjustRightInd w:val="0"/>
      <w:snapToGrid w:val="0"/>
      <w:spacing w:before="10" w:beforeLines="10" w:after="10" w:afterLines="10" w:line="240" w:lineRule="auto"/>
      <w:jc w:val="center"/>
    </w:pPr>
    <w:rPr>
      <w:rFonts w:ascii="Times New Roman" w:hAnsi="Times New Roman" w:eastAsia="宋体"/>
      <w:kern w:val="0"/>
      <w:szCs w:val="20"/>
    </w:rPr>
  </w:style>
  <w:style w:type="paragraph" w:customStyle="1" w:styleId="154">
    <w:name w:val="表格的字"/>
    <w:basedOn w:val="155"/>
    <w:next w:val="1"/>
    <w:qFormat/>
    <w:uiPriority w:val="0"/>
    <w:pPr>
      <w:jc w:val="center"/>
    </w:pPr>
    <w:rPr>
      <w:szCs w:val="21"/>
      <w:lang w:val="en-US" w:eastAsia="zh-CN" w:bidi="ar-SA"/>
    </w:rPr>
  </w:style>
  <w:style w:type="paragraph" w:customStyle="1" w:styleId="155">
    <w:name w:val="项目基本情况的字"/>
    <w:basedOn w:val="1"/>
    <w:qFormat/>
    <w:uiPriority w:val="0"/>
    <w:pPr>
      <w:jc w:val="center"/>
    </w:pPr>
    <w:rPr>
      <w:rFonts w:cs="宋体"/>
    </w:rPr>
  </w:style>
  <w:style w:type="paragraph" w:customStyle="1" w:styleId="156">
    <w:name w:val="个人表格"/>
    <w:basedOn w:val="1"/>
    <w:next w:val="1"/>
    <w:qFormat/>
    <w:uiPriority w:val="0"/>
    <w:pPr>
      <w:spacing w:before="120" w:beforeLines="0" w:after="120" w:afterLines="0"/>
      <w:jc w:val="center"/>
    </w:pPr>
    <w:rPr>
      <w:rFonts w:ascii="Times New Roman" w:hAnsi="Times New Roman" w:cs="Times New Roman"/>
      <w:szCs w:val="21"/>
    </w:rPr>
  </w:style>
  <w:style w:type="paragraph" w:customStyle="1" w:styleId="157">
    <w:name w:val="zhang正文"/>
    <w:basedOn w:val="17"/>
    <w:next w:val="1"/>
    <w:qFormat/>
    <w:uiPriority w:val="0"/>
    <w:pPr>
      <w:autoSpaceDE w:val="0"/>
      <w:autoSpaceDN w:val="0"/>
      <w:adjustRightInd w:val="0"/>
      <w:snapToGrid w:val="0"/>
      <w:spacing w:line="500" w:lineRule="exact"/>
      <w:ind w:firstLine="539"/>
      <w:textAlignment w:val="baseline"/>
    </w:pPr>
    <w:rPr>
      <w:rFonts w:eastAsia="楷体_GB2312"/>
      <w:kern w:val="0"/>
    </w:rPr>
  </w:style>
  <w:style w:type="paragraph" w:customStyle="1" w:styleId="158">
    <w:name w:val="常用"/>
    <w:basedOn w:val="1"/>
    <w:qFormat/>
    <w:uiPriority w:val="0"/>
    <w:pPr>
      <w:widowControl/>
      <w:spacing w:line="360" w:lineRule="auto"/>
      <w:ind w:firstLine="200" w:firstLineChars="200"/>
      <w:jc w:val="left"/>
    </w:pPr>
    <w:rPr>
      <w:rFonts w:ascii="宋体" w:hAnsi="宋体" w:eastAsia="宋体"/>
      <w:kern w:val="0"/>
      <w:szCs w:val="28"/>
    </w:rPr>
  </w:style>
  <w:style w:type="paragraph" w:customStyle="1" w:styleId="159">
    <w:name w:val="正文1"/>
    <w:basedOn w:val="17"/>
    <w:qFormat/>
    <w:uiPriority w:val="0"/>
    <w:pPr>
      <w:ind w:firstLine="200" w:firstLineChars="200"/>
    </w:pPr>
    <w:rPr>
      <w:rFonts w:eastAsia="宋体" w:cs="宋体"/>
      <w:sz w:val="24"/>
    </w:rPr>
  </w:style>
  <w:style w:type="paragraph" w:customStyle="1" w:styleId="160">
    <w:name w:val="CM11"/>
    <w:basedOn w:val="1"/>
    <w:next w:val="1"/>
    <w:qFormat/>
    <w:uiPriority w:val="0"/>
    <w:pPr>
      <w:autoSpaceDE w:val="0"/>
      <w:autoSpaceDN w:val="0"/>
      <w:adjustRightInd w:val="0"/>
      <w:spacing w:line="520" w:lineRule="atLeast"/>
      <w:ind w:firstLine="0"/>
      <w:jc w:val="left"/>
    </w:pPr>
    <w:rPr>
      <w:rFonts w:ascii="宋体" w:eastAsia="宋体"/>
      <w:kern w:val="0"/>
      <w:sz w:val="24"/>
    </w:rPr>
  </w:style>
  <w:style w:type="paragraph" w:customStyle="1" w:styleId="161">
    <w:name w:val="6表格"/>
    <w:basedOn w:val="1"/>
    <w:qFormat/>
    <w:uiPriority w:val="0"/>
    <w:pPr>
      <w:jc w:val="center"/>
    </w:pPr>
  </w:style>
  <w:style w:type="paragraph" w:customStyle="1" w:styleId="162">
    <w:name w:val="正文（无网格）"/>
    <w:basedOn w:val="1"/>
    <w:qFormat/>
    <w:uiPriority w:val="0"/>
    <w:pPr>
      <w:adjustRightInd w:val="0"/>
      <w:snapToGrid w:val="0"/>
      <w:spacing w:line="360" w:lineRule="auto"/>
      <w:ind w:firstLine="480" w:firstLineChars="200"/>
    </w:pPr>
    <w:rPr>
      <w:rFonts w:cs="宋体"/>
      <w:sz w:val="24"/>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1" Type="http://schemas.openxmlformats.org/officeDocument/2006/relationships/fontTable" Target="fontTable.xml"/><Relationship Id="rId40" Type="http://schemas.microsoft.com/office/2006/relationships/keyMapCustomizations" Target="customizations.xml"/><Relationship Id="rId4" Type="http://schemas.openxmlformats.org/officeDocument/2006/relationships/footer" Target="footer2.xml"/><Relationship Id="rId39" Type="http://schemas.openxmlformats.org/officeDocument/2006/relationships/customXml" Target="../customXml/item2.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22.png"/><Relationship Id="rId35" Type="http://schemas.openxmlformats.org/officeDocument/2006/relationships/image" Target="media/image21.png"/><Relationship Id="rId34" Type="http://schemas.openxmlformats.org/officeDocument/2006/relationships/image" Target="media/image20.png"/><Relationship Id="rId33" Type="http://schemas.openxmlformats.org/officeDocument/2006/relationships/image" Target="media/image19.png"/><Relationship Id="rId32" Type="http://schemas.openxmlformats.org/officeDocument/2006/relationships/image" Target="media/image18.jpeg"/><Relationship Id="rId31" Type="http://schemas.openxmlformats.org/officeDocument/2006/relationships/image" Target="media/image17.png"/><Relationship Id="rId30" Type="http://schemas.openxmlformats.org/officeDocument/2006/relationships/image" Target="media/image16.jpeg"/><Relationship Id="rId3" Type="http://schemas.openxmlformats.org/officeDocument/2006/relationships/footer" Target="footer1.xml"/><Relationship Id="rId29" Type="http://schemas.openxmlformats.org/officeDocument/2006/relationships/image" Target="media/image15.jpeg"/><Relationship Id="rId28" Type="http://schemas.openxmlformats.org/officeDocument/2006/relationships/image" Target="media/image14.wmf"/><Relationship Id="rId27" Type="http://schemas.openxmlformats.org/officeDocument/2006/relationships/oleObject" Target="embeddings/oleObject5.bin"/><Relationship Id="rId26" Type="http://schemas.openxmlformats.org/officeDocument/2006/relationships/image" Target="media/image13.wmf"/><Relationship Id="rId25" Type="http://schemas.openxmlformats.org/officeDocument/2006/relationships/oleObject" Target="embeddings/oleObject4.bin"/><Relationship Id="rId24" Type="http://schemas.openxmlformats.org/officeDocument/2006/relationships/image" Target="media/image12.wmf"/><Relationship Id="rId23" Type="http://schemas.openxmlformats.org/officeDocument/2006/relationships/oleObject" Target="embeddings/oleObject3.bin"/><Relationship Id="rId22" Type="http://schemas.openxmlformats.org/officeDocument/2006/relationships/image" Target="media/image11.wmf"/><Relationship Id="rId21" Type="http://schemas.openxmlformats.org/officeDocument/2006/relationships/oleObject" Target="embeddings/oleObject2.bin"/><Relationship Id="rId20" Type="http://schemas.openxmlformats.org/officeDocument/2006/relationships/image" Target="media/image10.w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jpe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extobjs>
    <extobj name="ECB019B1-382A-4266-B25C-5B523AA43C14-1">
      <extobjdata type="ECB019B1-382A-4266-B25C-5B523AA43C14" data="ewoJIkZpbGVJZCIgOiAiNTEwODQ3Njc0NDI0IiwKCSJHcm91cElkIiA6ICIxMTIxNzI2MjI1IiwKCSJJbWFnZSIgOiAiaVZCT1J3MEtHZ29BQUFBTlNVaEVVZ0FBQlJZQUFBSzRDQVlBQUFBQmFxSE9BQUFBQVhOU1IwSUFyczRjNlFBQUlBQkpSRUZVZUp6czNYdDRWTlc5Ly9IUGQ4L2t4aDI4WURYMG9HS0JBTW5zQ1dxOXRXQnJxNjFhTDYyMmFyWGFlaXZXV3JCS3JaZDZGQlVxb3FLMVdxcG84VUt0VnM5UnFsYXIxVi9yQlRNekNSaWhva1pCUlVFRWdwREx6RjYvUHpMSkNTRWhHUWlaa0x4ZlQzMHlzL2ZhYTM4M1QyZkRmTEwyV2hJ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RVJFUkVSVVpQei8zT1JiU0t5OUhDc0FBQUFBRWxGVGtTdVFtQ0MiLAoJIlRoZW1lIiA6ICIiLAoJIlR5cGUiIDogImZsb3ciLAoJIlVzZXJJZCIgOiAiMTA1NDEyODczNyIsCgkiVmVyc2lvbiIgOiAiNSIKfQo="/>
    </extobj>
    <extobj name="ECB019B1-382A-4266-B25C-5B523AA43C14-2">
      <extobjdata type="ECB019B1-382A-4266-B25C-5B523AA43C14" data="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"/>
    </extobj>
  </extobjs>
</s:customData>
</file>

<file path=customXml/item2.xml><?xml version="1.0" encoding="utf-8"?>
<contractReview xmlns="http://schemas.wps.cn/vas-ai-hub/contract-review">
  <reviewItems>
    <reviewItem>
      <errorID>7127de51-5a9a-4425-9eb8-305d99f54b70</errorID>
      <errorWord>竹兜</errorWord>
      <group>L1_Word</group>
      <groupName>字词问题</groupName>
      <ability>L2_Typo</ability>
      <abilityName>字词错误</abilityName>
      <candidateList>
        <item>竹篼</item>
      </candidateList>
      <explain/>
      <paraID>102F57DE</paraID>
      <start>35</start>
      <end>37</end>
      <status>ignored</status>
      <modifiedWord/>
      <trackRevisions>false</trackRevisions>
    </reviewItem>
    <reviewItem>
      <errorID>72a35522-54ed-4e0a-93cb-659a9c943528</errorID>
      <errorWord>》</errorWord>
      <group>L1_Word</group>
      <groupName>字词问题</groupName>
      <ability>L2_Typo</ability>
      <abilityName>字词错误</abilityName>
      <candidateList>
        <item>》和</item>
      </candidateList>
      <explain/>
      <paraID>75B09D45</paraID>
      <start>120</start>
      <end>122</end>
      <status>modified</status>
      <modifiedWord>》和</modifiedWord>
      <trackRevisions>false</trackRevisions>
    </reviewItem>
    <reviewItem>
      <errorID>149af50d-1dc1-40cc-afc5-a1907f11c95d</errorID>
      <errorWord>确实落实</errorWord>
      <group>L1_Word</group>
      <groupName>字词问题</groupName>
      <ability>L2_Typo</ability>
      <abilityName>字词错误</abilityName>
      <candidateList>
        <item>切实落实</item>
      </candidateList>
      <explain/>
      <paraID>5B111653</paraID>
      <start>100</start>
      <end>104</end>
      <status>modified</status>
      <modifiedWord>切实落实</modifiedWord>
      <trackRevisions>false</trackRevisions>
    </reviewItem>
    <reviewItem>
      <errorID>0684a227-14e4-43ac-8fe6-f84332ba6ee6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10A1A33A</paraID>
      <start>183</start>
      <end>184</end>
      <status>unmodified</status>
      <modifiedWord/>
      <trackRevisions>false</trackRevisions>
    </reviewItem>
    <reviewItem>
      <errorID>df54331c-3f37-4126-929e-fe7d3048ce4a</errorID>
      <errorWord>起步</errorWord>
      <group>L1_Word</group>
      <groupName>字词问题</groupName>
      <ability>L2_Typo</ability>
      <abilityName>字词错误</abilityName>
      <candidateList>
        <item>步</item>
      </candidateList>
      <explain/>
      <paraID>7D0DF2F5</paraID>
      <start>106</start>
      <end>108</end>
      <status>ignored</status>
      <modifiedWord/>
      <trackRevisions>false</trackRevisions>
    </reviewItem>
    <reviewItem>
      <errorID>899efa7d-5d56-4402-ad84-87bb5f4843c8</errorID>
      <errorWord>［2］</errorWord>
      <group>L1_Punc</group>
      <groupName>标点问题</groupName>
      <ability>L2_Punc_CN</ability>
      <abilityName>标点符号问题</abilityName>
      <candidateList>
        <item>[2]</item>
      </candidateList>
      <explain/>
      <paraID>44C09739</paraID>
      <start>143</start>
      <end>146</end>
      <status>modified</status>
      <modifiedWord>[2]</modifiedWord>
      <trackRevisions>false</trackRevisions>
    </reviewItem>
    <reviewItem>
      <errorID>77b33264-0e15-4e00-997f-bc8b2704aae2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2445DA30</paraID>
      <start>124</start>
      <end>125</end>
      <status>unmodified</status>
      <modifiedWord/>
      <trackRevisions>false</trackRevisions>
    </reviewItem>
    <reviewItem>
      <errorID>a113b2bb-ddbe-4f3a-8b6f-8226c96cf573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2445DA30</paraID>
      <start>126</start>
      <end>127</end>
      <status>unmodified</status>
      <modifiedWord/>
      <trackRevisions>false</trackRevisions>
    </reviewItem>
    <reviewItem>
      <errorID>e77b9dfa-7f60-4d3c-b750-4c066ffc7cc8</errorID>
      <errorWord>原住居民</errorWord>
      <group>L1_Sensitive</group>
      <groupName>敏感问题</groupName>
      <ability>L2_Violent</ability>
      <abilityName>暴恐词条</abilityName>
      <candidateList/>
      <explain>【暴恐词条】句中包含暴恐类敏感词条，请注意甄别。</explain>
      <paraID>3485CEB2</paraID>
      <start>276</start>
      <end>280</end>
      <status>unmodified</status>
      <modifiedWord/>
      <trackRevisions>false</trackRevisions>
    </reviewItem>
    <reviewItem>
      <errorID>1e33af41-fd1a-4d0f-981a-21031fbafa6f</errorID>
      <errorWord>开展勘查活动</errorWord>
      <group>L1_Grammar</group>
      <groupName>语法问题</groupName>
      <ability>L2_Grammar</ability>
      <abilityName>语法错误</abilityName>
      <candidateList>
        <item>的</item>
      </candidateList>
      <explain/>
      <paraID>3485CEB2</paraID>
      <start>941</start>
      <end>947</end>
      <status>unmodified</status>
      <modifiedWord/>
      <trackRevisions>false</trackRevisions>
    </reviewItem>
    <reviewItem>
      <errorID>340b6e22-af33-4e0c-b071-4e426f344dd6</errorID>
      <errorWord>因</errorWord>
      <group>L1_Grammar</group>
      <groupName>语法问题</groupName>
      <ability>L2_Grammar</ability>
      <abilityName>语法错误</abilityName>
      <candidateList>
        <item>开展勘查活动；因</item>
      </candidateList>
      <explain/>
      <paraID>3485CEB2</paraID>
      <start>957</start>
      <end>958</end>
      <status>unmodified</status>
      <modifiedWord/>
      <trackRevisions>false</trackRevisions>
    </reviewItem>
    <reviewItem>
      <errorID>91dad193-c509-4218-8aeb-8dedd3af4b14</errorID>
      <errorWord>并</errorWord>
      <group>L1_Word</group>
      <groupName>字词问题</groupName>
      <ability>L2_Typo</ability>
      <abilityName>字词错误</abilityName>
      <candidateList>
        <item>、</item>
      </candidateList>
      <explain/>
      <paraID>583A7922</paraID>
      <start>57</start>
      <end>58</end>
      <status>ignored</status>
      <modifiedWord/>
      <trackRevisions>false</trackRevisions>
    </reviewItem>
    <reviewItem>
      <errorID>8f7262a2-47ff-43cf-9837-9b5100548879</errorID>
      <errorWord>、</errorWord>
      <group>L1_Word</group>
      <groupName>字词问题</groupName>
      <ability>L2_Typo</ability>
      <abilityName>字词错误</abilityName>
      <candidateList>
        <item>且</item>
      </candidateList>
      <explain/>
      <paraID>583A7922</paraID>
      <start>63</start>
      <end>64</end>
      <status>ignored</status>
      <modifiedWord/>
      <trackRevisions>false</trackRevisions>
    </reviewItem>
    <reviewItem>
      <errorID>a7571cc9-c28d-4f5f-be61-196099f39a8d</errorID>
      <errorWord>%以上</errorWord>
      <group>L1_Grammar</group>
      <groupName>语法问题</groupName>
      <ability>L2_Grammar</ability>
      <abilityName>语法错误</abilityName>
      <candidateList>
        <item>%</item>
      </candidateList>
      <explain/>
      <paraID>583A7922</paraID>
      <start>160</start>
      <end>163</end>
      <status>unmodified</status>
      <modifiedWord/>
      <trackRevisions>false</trackRevisions>
    </reviewItem>
    <reviewItem>
      <errorID>96bbf232-679b-4104-9bc6-a22174e6c1aa</errorID>
      <errorWord>，</errorWord>
      <group>L1_Punc</group>
      <groupName>标点问题</groupName>
      <ability>L2_Punc_CN</ability>
      <abilityName>标点符号问题</abilityName>
      <candidateList>
        <item>。</item>
      </candidateList>
      <explain/>
      <paraID>493216CC</paraID>
      <start>13</start>
      <end>14</end>
      <status>modified</status>
      <modifiedWord>。</modifiedWord>
      <trackRevisions>false</trackRevisions>
    </reviewItem>
    <reviewItem>
      <errorID>064ce5ea-210c-4b2a-994d-180be6cf66b0</errorID>
      <errorWord>及</errorWord>
      <group>L1_Word</group>
      <groupName>字词问题</groupName>
      <ability>L2_Typo</ability>
      <abilityName>字词错误</abilityName>
      <candidateList>
        <item>倍及</item>
      </candidateList>
      <explain/>
      <paraID>3575A4A5</paraID>
      <start>63</start>
      <end>65</end>
      <status>modified</status>
      <modifiedWord>倍及</modifiedWord>
      <trackRevisions>false</trackRevisions>
    </reviewItem>
    <reviewItem>
      <errorID>b14de60a-654f-42ae-a8b8-bb8466b626dc</errorID>
      <errorWord>严格</errorWord>
      <group>L1_Word</group>
      <groupName>字词问题</groupName>
      <ability>L2_Typo</ability>
      <abilityName>字词错误</abilityName>
      <candidateList>
        <item>应严格</item>
      </candidateList>
      <explain/>
      <paraID>72735F57</paraID>
      <start>12</start>
      <end>15</end>
      <status>modified</status>
      <modifiedWord>应严格</modifiedWord>
      <trackRevisions>false</trackRevisions>
    </reviewItem>
    <reviewItem>
      <errorID>81145396-8c27-4612-b54f-4ea88047ce0d</errorID>
      <errorWord>建设实施</errorWord>
      <group>L1_Word</group>
      <groupName>字词问题</groupName>
      <ability>L2_Typo</ability>
      <abilityName>字词错误</abilityName>
      <candidateList>
        <item>进行建设</item>
      </candidateList>
      <explain/>
      <paraID>72735F57</paraID>
      <start>28</start>
      <end>32</end>
      <status>ignored</status>
      <modifiedWord/>
      <trackRevisions>false</trackRevisions>
    </reviewItem>
    <reviewItem>
      <errorID>37fad6f0-240b-4caa-9826-a325f7c7b620</errorID>
      <errorWord>全面完成［3］［4］</errorWord>
      <group>L1_Grammar</group>
      <groupName>语法问题</groupName>
      <ability>L2_Grammar</ability>
      <abilityName>语法错误</abilityName>
      <candidateList>
        <item>全面完成</item>
      </candidateList>
      <explain/>
      <paraID>72735F57</paraID>
      <start>77</start>
      <end>87</end>
      <status>unmodified</status>
      <modifiedWord/>
      <trackRevisions>false</trackRevisions>
    </reviewItem>
    <reviewItem>
      <errorID>2b785b6c-c45b-4cfc-8cb9-f65daadc7503</errorID>
      <errorWord>。</errorWord>
      <group>L1_Grammar</group>
      <groupName>语法问题</groupName>
      <ability>L2_Grammar</ability>
      <abilityName>语法错误</abilityName>
      <candidateList>
        <item>指标。</item>
      </candidateList>
      <explain/>
      <paraID>4CC01DB3</paraID>
      <start>72</start>
      <end>75</end>
      <status>modified</status>
      <modifiedWord>指标。</modifiedWord>
      <trackRevisions>false</trackRevisions>
    </reviewItem>
    <reviewItem>
      <errorID>a3d53b0c-2008-47c0-b906-7530c259a9df</errorID>
      <errorWord>，</errorWord>
      <group>L1_Punc</group>
      <groupName>标点问题</groupName>
      <ability>L2_Punc_CN</ability>
      <abilityName>标点符号问题</abilityName>
      <candidateList>
        <item>。</item>
      </candidateList>
      <explain/>
      <paraID>7D8C647E</paraID>
      <start>14</start>
      <end>15</end>
      <status>modified</status>
      <modifiedWord>。</modifiedWord>
      <trackRevisions>false</trackRevisions>
    </reviewItem>
    <reviewItem>
      <errorID>fe1a4787-ccb4-4b92-b2d9-2cc393a00f43</errorID>
      <errorWord>燃料</errorWord>
      <group>L1_Word</group>
      <groupName>字词问题</groupName>
      <ability>L2_Typo</ability>
      <abilityName>字词错误</abilityName>
      <candidateList>
        <item>能源</item>
      </candidateList>
      <explain/>
      <paraID>6B862848</paraID>
      <start>23</start>
      <end>25</end>
      <status>ignored</status>
      <modifiedWord/>
      <trackRevisions>false</trackRevisions>
    </reviewItem>
    <reviewItem>
      <errorID>47718dcf-705f-4f49-9197-017fb2432152</errorID>
      <errorWord>[2024]69号</errorWord>
      <group>L1_Knowledge</group>
      <groupName>知识性问题</groupName>
      <ability>L2_Knowledge</ability>
      <abilityName>其他知识</abilityName>
      <candidateList>
        <item>〔2024〕69号</item>
      </candidateList>
      <explain>发文字号格式错误。</explain>
      <paraID>69DE9977</paraID>
      <start>54</start>
      <end>63</end>
      <status>modified</status>
      <modifiedWord>〔2024〕69号</modifiedWord>
      <trackRevisions>false</trackRevisions>
    </reviewItem>
    <reviewItem>
      <errorID>833639db-61f5-49a2-90ce-5cd9362aec71</errorID>
      <errorWord>并</errorWord>
      <group>L1_Word</group>
      <groupName>字词问题</groupName>
      <ability>L2_Typo</ability>
      <abilityName>字词错误</abilityName>
      <candidateList>
        <item>，</item>
      </candidateList>
      <explain/>
      <paraID>69DE9977</paraID>
      <start>97</start>
      <end>98</end>
      <status>ignored</status>
      <modifiedWord/>
      <trackRevisions>false</trackRevisions>
    </reviewItem>
    <reviewItem>
      <errorID>862209cf-0755-4dc0-b808-9eaac8a74810</errorID>
      <errorWord>、</errorWord>
      <group>L1_Grammar</group>
      <groupName>语法问题</groupName>
      <ability>L2_Grammar</ability>
      <abilityName>语法错误</abilityName>
      <candidateList>
        <item>，提升</item>
      </candidateList>
      <explain/>
      <paraID>69DE9977</paraID>
      <start>168</start>
      <end>169</end>
      <status>ignored</status>
      <modifiedWord/>
      <trackRevisions>false</trackRevisions>
    </reviewItem>
    <reviewItem>
      <errorID>7062335f-5bd8-4a51-a27f-cb844bc2d1bd</errorID>
      <errorWord>设施提升</errorWord>
      <group>L1_Grammar</group>
      <groupName>语法问题</groupName>
      <ability>L2_Grammar</ability>
      <abilityName>语法错误</abilityName>
      <candidateList>
        <item>设施</item>
      </candidateList>
      <explain/>
      <paraID>69DE9977</paraID>
      <start>176</start>
      <end>180</end>
      <status>ignored</status>
      <modifiedWord/>
      <trackRevisions>false</trackRevisions>
    </reviewItem>
    <reviewItem>
      <errorID>6c624537-3a0d-4850-88a4-192e3f2bf03b</errorID>
      <errorWord>》（试行）</errorWord>
      <group>L1_Word</group>
      <groupName>字词问题</groupName>
      <ability>L2_Typo</ability>
      <abilityName>字词错误</abilityName>
      <candidateList>
        <item>（试行）》</item>
      </candidateList>
      <explain/>
      <paraID>313BE9F0</paraID>
      <start>309</start>
      <end>314</end>
      <status>modified</status>
      <modifiedWord>（试行）》</modifiedWord>
      <trackRevisions>false</trackRevisions>
    </reviewItem>
    <reviewItem>
      <errorID>5b9d67fe-1395-49c2-b855-3157adb549a9</errorID>
      <errorWord>842</errorWord>
      <group>L1_Punc</group>
      <groupName>标点问题</groupName>
      <ability>L2_Punc_CN</ability>
      <abilityName>标点符号问题</abilityName>
      <candidateList>
        <item>842。</item>
      </candidateList>
      <explain/>
      <paraID>5B2F8FFA</paraID>
      <start>72</start>
      <end>76</end>
      <status>modified</status>
      <modifiedWord>842。</modifiedWord>
      <trackRevisions>false</trackRevisions>
    </reviewItem>
    <reviewItem>
      <errorID>e82a1d70-a47a-4bc3-9a0b-eb27b042368f</errorID>
      <errorWord>、</errorWord>
      <group>L1_Grammar</group>
      <groupName>语法问题</groupName>
      <ability>L2_Grammar</ability>
      <abilityName>语法错误</abilityName>
      <candidateList>
        <item>，提升</item>
      </candidateList>
      <explain/>
      <paraID>576EADD4</paraID>
      <start>125</start>
      <end>126</end>
      <status>ignored</status>
      <modifiedWord/>
      <trackRevisions>false</trackRevisions>
    </reviewItem>
    <reviewItem>
      <errorID>06242b40-bc89-4bea-b34f-3007a3717f60</errorID>
      <errorWord>设施提升</errorWord>
      <group>L1_Grammar</group>
      <groupName>语法问题</groupName>
      <ability>L2_Grammar</ability>
      <abilityName>语法错误</abilityName>
      <candidateList>
        <item>设施</item>
      </candidateList>
      <explain/>
      <paraID>576EADD4</paraID>
      <start>133</start>
      <end>137</end>
      <status>ignored</status>
      <modifiedWord/>
      <trackRevisions>false</trackRevisions>
    </reviewItem>
    <reviewItem>
      <errorID>822d3ee9-c01a-442f-a0a5-dc6d9b5f2b06</errorID>
      <errorWord>布置</errorWord>
      <group>L1_Word</group>
      <groupName>字词问题</groupName>
      <ability>L2_Typo</ability>
      <abilityName>字词错误</abilityName>
      <candidateList>
        <item>设计</item>
      </candidateList>
      <explain/>
      <paraID>6D230C15</paraID>
      <start>118</start>
      <end>120</end>
      <status>modified</status>
      <modifiedWord>设计</modifiedWord>
      <trackRevisions>false</trackRevisions>
    </reviewItem>
    <reviewItem>
      <errorID>26a7e758-4700-49e9-8c4c-ac296ff4c6c1</errorID>
      <errorWord>辐射内容</errorWord>
      <group>L1_Grammar</group>
      <groupName>语法问题</groupName>
      <ability>L2_Grammar</ability>
      <abilityName>语法错误</abilityName>
      <candidateList>
        <item>辐射</item>
      </candidateList>
      <explain/>
      <paraID>  5CBC23</paraID>
      <start>142</start>
      <end>144</end>
      <status>modified</status>
      <modifiedWord>辐射</modifiedWord>
      <trackRevisions>false</trackRevisions>
    </reviewItem>
    <reviewItem>
      <errorID>f1bb2b85-d2dc-4893-9682-f91e609d68bc</errorID>
      <errorWord>棉签</errorWord>
      <group>L1_Punc</group>
      <groupName>标点问题</groupName>
      <ability>L2_Punc_CN</ability>
      <abilityName>标点符号问题</abilityName>
      <candidateList>
        <item>棉签：</item>
      </candidateList>
      <explain/>
      <paraID>3AA61D01</paraID>
      <start>2</start>
      <end>4</end>
      <status>ignored</status>
      <modifiedWord/>
      <trackRevisions>false</trackRevisions>
    </reviewItem>
    <reviewItem>
      <errorID>1ddbb58e-1d15-41e6-b0ab-79df8a285965</errorID>
      <errorWord>纱布绷带</errorWord>
      <group>L1_Punc</group>
      <groupName>标点问题</groupName>
      <ability>L2_Punc_CN</ability>
      <abilityName>标点符号问题</abilityName>
      <candidateList>
        <item>纱布绷带：</item>
      </candidateList>
      <explain/>
      <paraID>4F9A05D1</paraID>
      <start>0</start>
      <end>4</end>
      <status>ignored</status>
      <modifiedWord/>
      <trackRevisions>false</trackRevisions>
    </reviewItem>
    <reviewItem>
      <errorID>b1781d00-bb36-4f1f-baf5-a8cc29dc6c60</errorID>
      <errorWord>，</errorWord>
      <group>L1_Punc</group>
      <groupName>标点问题</groupName>
      <ability>L2_Punc_CN</ability>
      <abilityName>标点符号问题</abilityName>
      <candidateList>
        <item/>
      </candidateList>
      <explain/>
      <paraID>4A971E02</paraID>
      <start>6</start>
      <end>6</end>
      <status>modified</status>
      <modifiedWord/>
      <trackRevisions>false</trackRevisions>
    </reviewItem>
    <reviewItem>
      <errorID>a8e7bfa3-b192-4c41-a4af-7b881e038005</errorID>
      <errorWord> </errorWord>
      <group>L1_Punc</group>
      <groupName>标点问题</groupName>
      <ability>L2_Punc_CN</ability>
      <abilityName>标点符号问题</abilityName>
      <candidateList>
        <item>·</item>
      </candidateList>
      <explain/>
      <paraID>2659CF24</paraID>
      <start>119</start>
      <end>120</end>
      <status>modified</status>
      <modifiedWord> </modifiedWord>
      <trackRevisions>false</trackRevisions>
    </reviewItem>
    <reviewItem>
      <errorID>72f655ec-1173-4c39-9ed9-76c4c8ce7035</errorID>
      <errorWord>)</errorWord>
      <group>L1_Format</group>
      <groupName>格式问题</groupName>
      <ability>L2_HalfPunc_CN</ability>
      <abilityName>全半角问题</abilityName>
      <candidateList>
        <item>）</item>
      </candidateList>
      <explain>文本全半角错误。</explain>
      <paraID>2659CF24</paraID>
      <start>150</start>
      <end>151</end>
      <status>modified</status>
      <modifiedWord>）</modifiedWord>
      <trackRevisions>false</trackRevisions>
    </reviewItem>
    <reviewItem>
      <errorID>addefc29-268c-41d2-85f8-e1d8f15ed015</errorID>
      <errorWord>）</errorWord>
      <group>L1_Format</group>
      <groupName>格式问题</groupName>
      <ability>L2_HalfPunc_CN</ability>
      <abilityName>全半角问题</abilityName>
      <candidateList>
        <item>)</item>
      </candidateList>
      <explain>文本全半角错误。</explain>
      <paraID>2659CF24</paraID>
      <start>193</start>
      <end>194</end>
      <status>modified</status>
      <modifiedWord>)</modifiedWord>
      <trackRevisions>false</trackRevisions>
    </reviewItem>
    <reviewItem>
      <errorID>b4919698-7801-490d-beb2-ff0aa9037b9e</errorID>
      <errorWord> </errorWord>
      <group>L1_Punc</group>
      <groupName>标点问题</groupName>
      <ability>L2_Punc_CN</ability>
      <abilityName>标点符号问题</abilityName>
      <candidateList>
        <item>·</item>
      </candidateList>
      <explain/>
      <paraID>66D8F759</paraID>
      <start>112</start>
      <end>113</end>
      <status>modified</status>
      <modifiedWord> </modifiedWord>
      <trackRevisions>false</trackRevisions>
    </reviewItem>
    <reviewItem>
      <errorID>2843754b-c8d4-4c9d-8571-e6b091219894</errorID>
      <errorWord>)</errorWord>
      <group>L1_Format</group>
      <groupName>格式问题</groupName>
      <ability>L2_HalfPunc_CN</ability>
      <abilityName>全半角问题</abilityName>
      <candidateList>
        <item>）</item>
      </candidateList>
      <explain>文本全半角错误。</explain>
      <paraID>66D8F759</paraID>
      <start>204</start>
      <end>205</end>
      <status>modified</status>
      <modifiedWord>）</modifiedWord>
      <trackRevisions>false</trackRevisions>
    </reviewItem>
    <reviewItem>
      <errorID>23e9c251-a76d-48e3-88e6-d4d6edf1efb1</errorID>
      <errorWord> </errorWord>
      <group>L1_Punc</group>
      <groupName>标点问题</groupName>
      <ability>L2_Punc_CN</ability>
      <abilityName>标点符号问题</abilityName>
      <candidateList>
        <item>·</item>
      </candidateList>
      <explain/>
      <paraID> 6CA69C2</paraID>
      <start>103</start>
      <end>104</end>
      <status>modified</status>
      <modifiedWord> </modifiedWord>
      <trackRevisions>false</trackRevisions>
    </reviewItem>
    <reviewItem>
      <errorID>86c14093-e4c1-4454-9952-49226d6f3f26</errorID>
      <errorWord>)</errorWord>
      <group>L1_Format</group>
      <groupName>格式问题</groupName>
      <ability>L2_HalfPunc_CN</ability>
      <abilityName>全半角问题</abilityName>
      <candidateList>
        <item>）</item>
      </candidateList>
      <explain>文本全半角错误。</explain>
      <paraID> 6CA69C2</paraID>
      <start>135</start>
      <end>136</end>
      <status>modified</status>
      <modifiedWord>）</modifiedWord>
      <trackRevisions>false</trackRevisions>
    </reviewItem>
    <reviewItem>
      <errorID>a41b762f-7bd0-4973-bbbb-23191225f453</errorID>
      <errorWord>）</errorWord>
      <group>L1_Format</group>
      <groupName>格式问题</groupName>
      <ability>L2_HalfPunc_CN</ability>
      <abilityName>全半角问题</abilityName>
      <candidateList>
        <item>)</item>
      </candidateList>
      <explain>文本全半角错误。</explain>
      <paraID> 6CA69C2</paraID>
      <start>180</start>
      <end>181</end>
      <status>modified</status>
      <modifiedWord>)</modifiedWord>
      <trackRevisions>false</trackRevisions>
    </reviewItem>
    <reviewItem>
      <errorID>33c43a7e-5cd1-40a9-8a0b-7dce25d897e2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46F082DD</paraID>
      <start>17</start>
      <end>18</end>
      <status>unmodified</status>
      <modifiedWord/>
      <trackRevisions>false</trackRevisions>
    </reviewItem>
    <reviewItem>
      <errorID>ad4d3034-d017-4735-bb16-46ad517772f1</errorID>
      <errorWord>。</errorWord>
      <group>L1_Punc</group>
      <groupName>标点问题</groupName>
      <ability>L2_Punc_CN</ability>
      <abilityName>标点符号问题</abilityName>
      <candidateList>
        <item>：</item>
      </candidateList>
      <explain/>
      <paraID>4CFCF876</paraID>
      <start>29</start>
      <end>30</end>
      <status>modified</status>
      <modifiedWord>：</modifiedWord>
      <trackRevisions>false</trackRevisions>
    </reviewItem>
    <reviewItem>
      <errorID>efc8c50f-751b-41ef-84cc-5f917eb36049</errorID>
      <errorWord>项目</errorWord>
      <group>L1_Word</group>
      <groupName>字词问题</groupName>
      <ability>L2_Typo</ability>
      <abilityName>字词错误</abilityName>
      <candidateList>
        <item> 项目</item>
      </candidateList>
      <explain/>
      <paraID>18E24932</paraID>
      <start>0</start>
      <end>2</end>
      <status>ignored</status>
      <modifiedWord/>
      <trackRevisions>false</trackRevisions>
    </reviewItem>
    <reviewItem>
      <errorID>0489e8ef-9c52-465a-8800-8c4e2134250a</errorID>
      <errorWord>*</errorWord>
      <group>L1_Punc</group>
      <groupName>标点问题</groupName>
      <ability>L2_Punc_CN</ability>
      <abilityName>标点符号问题</abilityName>
      <candidateList/>
      <explain/>
      <paraID>7974D038</paraID>
      <start>0</start>
      <end>1</end>
      <status>unmodified</status>
      <modifiedWord/>
      <trackRevisions>false</trackRevisions>
    </reviewItem>
    <reviewItem>
      <errorID>4b3bc354-38c3-4618-9567-85758835b7eb</errorID>
      <errorWord>区域环境</errorWord>
      <group>L1_Word</group>
      <groupName>字词问题</groupName>
      <ability>L2_Typo</ability>
      <abilityName>字词错误</abilityName>
      <candidateList>
        <item> 区域环境</item>
      </candidateList>
      <explain/>
      <paraID> 1BA5FE6</paraID>
      <start>0</start>
      <end>4</end>
      <status>ignored</status>
      <modifiedWord/>
      <trackRevisions>false</trackRevisions>
    </reviewItem>
    <reviewItem>
      <errorID>a289ce2f-5d3c-4437-8b8d-6ed76acfe79e</errorID>
      <errorWord>地表水</errorWord>
      <group>L1_Word</group>
      <groupName>字词问题</groupName>
      <ability>L2_Typo</ability>
      <abilityName>字词错误</abilityName>
      <candidateList>
        <item> 地表水</item>
      </candidateList>
      <explain/>
      <paraID>32A35DBB</paraID>
      <start>0</start>
      <end>3</end>
      <status>ignored</status>
      <modifiedWord/>
      <trackRevisions>false</trackRevisions>
    </reviewItem>
    <reviewItem>
      <errorID>77feefc7-c2f7-4e5d-838f-56a3813025ff</errorID>
      <errorWord>区划</errorWord>
      <group>L1_Punc</group>
      <groupName>标点问题</groupName>
      <ability>L2_Punc_CN</ability>
      <abilityName>标点符号问题</abilityName>
      <candidateList>
        <item>区划：</item>
      </candidateList>
      <explain/>
      <paraID>4EF4038F</paraID>
      <start>8</start>
      <end>10</end>
      <status>ignored</status>
      <modifiedWord/>
      <trackRevisions>false</trackRevisions>
    </reviewItem>
    <reviewItem>
      <errorID>2fe253ad-783b-4bf7-8c6c-2f8f5f8bd15e</errorID>
      <errorWord>GB18918</errorWord>
      <group>L1_Word</group>
      <groupName>字词问题</groupName>
      <ability>L2_Typo</ability>
      <abilityName>字词错误</abilityName>
      <candidateList>
        <item>GB 18918</item>
      </candidateList>
      <explain/>
      <paraID>6719CDBB</paraID>
      <start>47</start>
      <end>55</end>
      <status>modified</status>
      <modifiedWord>GB 18918</modifiedWord>
      <trackRevisions>false</trackRevisions>
    </reviewItem>
    <reviewItem>
      <errorID>5f3ccbaa-203d-4b84-9608-a458151c6b75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5C78FC70</paraID>
      <start>5</start>
      <end>6</end>
      <status>unmodified</status>
      <modifiedWord/>
      <trackRevisions>false</trackRevisions>
    </reviewItem>
    <reviewItem>
      <errorID>5269210b-0530-49f9-ae2c-0fa26204b9d2</errorID>
      <errorWord>环</errorWord>
      <group>L1_Punc</group>
      <groupName>标点问题</groupName>
      <ability>L2_Punc_CN</ability>
      <abilityName>标点符号问题</abilityName>
      <candidateList>
        <item>（环</item>
      </candidateList>
      <explain/>
      <paraID>49090A63</paraID>
      <start>32</start>
      <end>34</end>
      <status>modified</status>
      <modifiedWord>（环</modifiedWord>
      <trackRevisions>false</trackRevisions>
    </reviewItem>
    <reviewItem>
      <errorID>1e6671d5-014c-4203-914d-dd8bd1621068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49090A63</paraID>
      <start>46</start>
      <end>47</end>
      <status>unmodified</status>
      <modifiedWord/>
      <trackRevisions>false</trackRevisions>
    </reviewItem>
    <reviewItem>
      <errorID>435a9b88-fa9d-4433-9df3-e226219d1a07</errorID>
      <errorWord>GB3096</errorWord>
      <group>L1_Word</group>
      <groupName>字词问题</groupName>
      <ability>L2_Typo</ability>
      <abilityName>字词错误</abilityName>
      <candidateList>
        <item>GB 3096</item>
      </candidateList>
      <explain/>
      <paraID>48F9EEAD</paraID>
      <start>76</start>
      <end>83</end>
      <status>modified</status>
      <modifiedWord>GB 3096</modifiedWord>
      <trackRevisions>false</trackRevisions>
    </reviewItem>
    <reviewItem>
      <errorID>376cdb0d-135b-42a3-9e46-fe0b68cf8411</errorID>
      <errorWord>；</errorWord>
      <group>L1_Punc</group>
      <groupName>标点问题</groupName>
      <ability>L2_Punc_CN</ability>
      <abilityName>标点符号问题</abilityName>
      <candidateList>
        <item>。</item>
      </candidateList>
      <explain/>
      <paraID>48F9EEAD</paraID>
      <start>96</start>
      <end>97</end>
      <status>modified</status>
      <modifiedWord>。</modifiedWord>
      <trackRevisions>false</trackRevisions>
    </reviewItem>
    <reviewItem>
      <errorID>f2d91c82-dc11-4f1b-bdce-5c553c1111ef</errorID>
      <errorWord>(</errorWord>
      <group>L1_Punc</group>
      <groupName>标点问题</groupName>
      <ability>L2_Punc_CN</ability>
      <abilityName>标点符号问题</abilityName>
      <candidateList/>
      <explain>同一形式括号套用。</explain>
      <paraID>4B88EDA6</paraID>
      <start>11</start>
      <end>12</end>
      <status>unmodified</status>
      <modifiedWord/>
      <trackRevisions>false</trackRevisions>
    </reviewItem>
    <reviewItem>
      <errorID>aa45488e-65a7-49db-946e-2d717ddcb14f</errorID>
      <errorWord>)</errorWord>
      <group>L1_Punc</group>
      <groupName>标点问题</groupName>
      <ability>L2_Punc_CN</ability>
      <abilityName>标点符号问题</abilityName>
      <candidateList/>
      <explain>同一形式括号套用。</explain>
      <paraID>4B88EDA6</paraID>
      <start>13</start>
      <end>14</end>
      <status>unmodified</status>
      <modifiedWord/>
      <trackRevisions>false</trackRevisions>
    </reviewItem>
    <reviewItem>
      <errorID>0a622327-d9a0-4e23-8ef5-5e3646205e96</errorID>
      <errorWord>仪器</errorWord>
      <group>L1_Punc</group>
      <groupName>标点问题</groupName>
      <ability>L2_Punc_CN</ability>
      <abilityName>标点符号问题</abilityName>
      <candidateList>
        <item>仪器：</item>
      </candidateList>
      <explain/>
      <paraID>4101A1A6</paraID>
      <start>8</start>
      <end>10</end>
      <status>ignored</status>
      <modifiedWord/>
      <trackRevisions>false</trackRevisions>
    </reviewItem>
    <reviewItem>
      <errorID>7e5bea92-488a-4bb1-9798-e61689edc2c7</errorID>
      <errorWord>声环境质量标准</errorWord>
      <group>L1_Punc</group>
      <groupName>标点问题</groupName>
      <ability>L2_Punc_CN</ability>
      <abilityName>标点符号问题</abilityName>
      <candidateList>
        <item>《声环境质量标准》（</item>
      </candidateList>
      <explain/>
      <paraID>12118BAE</paraID>
      <start>0</start>
      <end>10</end>
      <status>modified</status>
      <modifiedWord>《声环境质量标准》（</modifiedWord>
      <trackRevisions>false</trackRevisions>
    </reviewItem>
    <reviewItem>
      <errorID>2ceadbca-267d-4972-bc46-3156ef1f0a63</errorID>
      <errorWord>2008</errorWord>
      <group>L1_Punc</group>
      <groupName>标点问题</groupName>
      <ability>L2_Punc_CN</ability>
      <abilityName>标点符号问题</abilityName>
      <candidateList>
        <item>2008）</item>
      </candidateList>
      <explain/>
      <paraID>12118BAE</paraID>
      <start>18</start>
      <end>23</end>
      <status>modified</status>
      <modifiedWord>2008）</modifiedWord>
      <trackRevisions>false</trackRevisions>
    </reviewItem>
    <reviewItem>
      <errorID>6d962211-7393-42d7-9fe9-c9c532c4485a</errorID>
      <errorWord>中表明：</errorWord>
      <group>L1_Grammar</group>
      <groupName>语法问题</groupName>
      <ability>L2_Grammar</ability>
      <abilityName>语法错误</abilityName>
      <candidateList>
        <item>，</item>
      </candidateList>
      <explain/>
      <paraID>2B1A1968</paraID>
      <start>32</start>
      <end>36</end>
      <status>unmodified</status>
      <modifiedWord/>
      <trackRevisions>false</trackRevisions>
    </reviewItem>
    <reviewItem>
      <errorID>476d07d0-dd1e-44f9-9067-2fbfea4b1252</errorID>
      <errorWord>温泉</errorWord>
      <group>L1_Word</group>
      <groupName>字词问题</groupName>
      <ability>L2_Typo</ability>
      <abilityName>字词错误</abilityName>
      <candidateList>
        <item>泉水</item>
      </candidateList>
      <explain/>
      <paraID> 14D9ED5</paraID>
      <start>32</start>
      <end>34</end>
      <status>ignored</status>
      <modifiedWord/>
      <trackRevisions>false</trackRevisions>
    </reviewItem>
    <reviewItem>
      <errorID>f5c7a525-18bf-4885-8da2-945a2d18de80</errorID>
      <errorWord>GB14554</errorWord>
      <group>L1_Word</group>
      <groupName>字词问题</groupName>
      <ability>L2_Typo</ability>
      <abilityName>字词错误</abilityName>
      <candidateList>
        <item>GB 14554</item>
      </candidateList>
      <explain/>
      <paraID>14F23CAC</paraID>
      <start>45</start>
      <end>53</end>
      <status>modified</status>
      <modifiedWord>GB 14554</modifiedWord>
      <trackRevisions>false</trackRevisions>
    </reviewItem>
    <reviewItem>
      <errorID>c1cb79f6-d1be-4d78-850d-ce834affe578</errorID>
      <errorWord>GB18466</errorWord>
      <group>L1_Word</group>
      <groupName>字词问题</groupName>
      <ability>L2_Typo</ability>
      <abilityName>字词错误</abilityName>
      <candidateList>
        <item>GB 18466</item>
      </candidateList>
      <explain/>
      <paraID>14F23CAC</paraID>
      <start>85</start>
      <end>93</end>
      <status>modified</status>
      <modifiedWord>GB 18466</modifiedWord>
      <trackRevisions>false</trackRevisions>
    </reviewItem>
    <reviewItem>
      <errorID>dee63fe0-2d58-4fd2-ad0a-f1d361937533</errorID>
      <errorWord>结核杆菌</errorWord>
      <group>L1_Knowledge</group>
      <groupName>知识性问题</groupName>
      <ability>L2_Term</ability>
      <abilityName>专业术语</abilityName>
      <candidateList>
        <item>结核分枝杆菌</item>
      </candidateList>
      <explain>医学名词[结核杆菌]为不规范表述或旧称，其规范书面表述为[结核分枝杆菌]。</explain>
      <paraID>7194014D</paraID>
      <start>0</start>
      <end>4</end>
      <status>ignored</status>
      <modifiedWord/>
      <trackRevisions>false</trackRevisions>
    </reviewItem>
    <reviewItem>
      <errorID>99638fda-5b7b-4925-8ead-f8c0f090e58f</errorID>
      <errorWord>计</errorWord>
      <group>L1_Word</group>
      <groupName>字词问题</groupName>
      <ability>L2_Typo</ability>
      <abilityName>字词错误</abilityName>
      <candidateList>
        <item>计算</item>
      </candidateList>
      <explain/>
      <paraID>300010A0</paraID>
      <start>184</start>
      <end>186</end>
      <status>modified</status>
      <modifiedWord>计算</modifiedWord>
      <trackRevisions>false</trackRevisions>
    </reviewItem>
    <reviewItem>
      <errorID>c94dced7-d7c7-4803-bab5-da01b5ce0894</errorID>
      <errorWord>病源</errorWord>
      <group>L1_Word</group>
      <groupName>字词问题</groupName>
      <ability>L2_Typo</ability>
      <abilityName>字词错误</abilityName>
      <candidateList>
        <item>病原</item>
      </candidateList>
      <explain>存在发音相同字词的误用。</explain>
      <paraID>651181CF</paraID>
      <start>279</start>
      <end>281</end>
      <status>ignored</status>
      <modifiedWord/>
      <trackRevisions>false</trackRevisions>
    </reviewItem>
    <reviewItem>
      <errorID>44d45161-d287-487a-97c4-a091717da152</errorID>
      <errorWord>)</errorWord>
      <group>L1_Format</group>
      <groupName>格式问题</groupName>
      <ability>L2_HalfPunc_CN</ability>
      <abilityName>全半角问题</abilityName>
      <candidateList>
        <item>）</item>
      </candidateList>
      <explain>文本全半角错误。</explain>
      <paraID> FEE5DB7</paraID>
      <start>149</start>
      <end>150</end>
      <status>modified</status>
      <modifiedWord>）</modifiedWord>
      <trackRevisions>false</trackRevisions>
    </reviewItem>
    <reviewItem>
      <errorID>7b3040c0-9fbe-4088-9f62-ef28d31dd062</errorID>
      <errorWord>）</errorWord>
      <group>L1_Format</group>
      <groupName>格式问题</groupName>
      <ability>L2_HalfPunc_CN</ability>
      <abilityName>全半角问题</abilityName>
      <candidateList>
        <item>)</item>
      </candidateList>
      <explain>文本全半角错误。</explain>
      <paraID> FEE5DB7</paraID>
      <start>192</start>
      <end>193</end>
      <status>modified</status>
      <modifiedWord>)</modifiedWord>
      <trackRevisions>false</trackRevisions>
    </reviewItem>
    <reviewItem>
      <errorID>1699074b-3bce-421e-8113-86dcae15085b</errorID>
      <errorWord>)</errorWord>
      <group>L1_Format</group>
      <groupName>格式问题</groupName>
      <ability>L2_HalfPunc_CN</ability>
      <abilityName>全半角问题</abilityName>
      <candidateList>
        <item>）</item>
      </candidateList>
      <explain>文本全半角错误。</explain>
      <paraID>6E9DE607</paraID>
      <start>202</start>
      <end>203</end>
      <status>modified</status>
      <modifiedWord>）</modifiedWord>
      <trackRevisions>false</trackRevisions>
    </reviewItem>
    <reviewItem>
      <errorID>b493292d-97c7-4795-89e3-55e77053345c</errorID>
      <errorWord>)</errorWord>
      <group>L1_Format</group>
      <groupName>格式问题</groupName>
      <ability>L2_HalfPunc_CN</ability>
      <abilityName>全半角问题</abilityName>
      <candidateList>
        <item>）</item>
      </candidateList>
      <explain>文本全半角错误。</explain>
      <paraID>10AE56AF</paraID>
      <start>135</start>
      <end>136</end>
      <status>modified</status>
      <modifiedWord>）</modifiedWord>
      <trackRevisions>false</trackRevisions>
    </reviewItem>
    <reviewItem>
      <errorID>c425d717-b7d8-42da-9797-d2aab575d98b</errorID>
      <errorWord>)</errorWord>
      <group>L1_Format</group>
      <groupName>格式问题</groupName>
      <ability>L2_HalfPunc_CN</ability>
      <abilityName>全半角问题</abilityName>
      <candidateList>
        <item>）</item>
      </candidateList>
      <explain>文本全半角错误。</explain>
      <paraID>10AE56AF</paraID>
      <start>180</start>
      <end>181</end>
      <status>modified</status>
      <modifiedWord>）</modifiedWord>
      <trackRevisions>false</trackRevisions>
    </reviewItem>
    <reviewItem>
      <errorID>193151ba-eca2-4ed4-93ed-bbd6adce67a8</errorID>
      <errorWord>处理达《城镇污水</errorWord>
      <group>L1_Word</group>
      <groupName>字词问题</groupName>
      <ability>L2_Typo</ability>
      <abilityName>字词错误</abilityName>
      <candidateList>
        <item>处理达到《城镇污水</item>
      </candidateList>
      <explain/>
      <paraID>49FFEBC5</paraID>
      <start>25</start>
      <end>34</end>
      <status>modified</status>
      <modifiedWord>处理达到《城镇污水</modifiedWord>
      <trackRevisions>false</trackRevisions>
    </reviewItem>
    <reviewItem>
      <errorID>d90e2ba4-9eae-4c42-a01b-9f8fa0f1afb1</errorID>
      <errorWord>（</errorWord>
      <group>L1_Punc</group>
      <groupName>标点问题</groupName>
      <ability>L2_Punc_CN</ability>
      <abilityName>标点符号问题</abilityName>
      <candidateList/>
      <explain>同一形式括号套用。</explain>
      <paraID>2DA011DD</paraID>
      <start>17</start>
      <end>18</end>
      <status>unmodified</status>
      <modifiedWord/>
      <trackRevisions>false</trackRevisions>
    </reviewItem>
    <reviewItem>
      <errorID>42238f0f-dc4b-4663-ba12-939ec3fcee2a</errorID>
      <errorWord>）</errorWord>
      <group>L1_Punc</group>
      <groupName>标点问题</groupName>
      <ability>L2_Punc_CN</ability>
      <abilityName>标点符号问题</abilityName>
      <candidateList/>
      <explain>同一形式括号套用。</explain>
      <paraID>2DA011DD</paraID>
      <start>23</start>
      <end>24</end>
      <status>unmodified</status>
      <modifiedWord/>
      <trackRevisions>false</trackRevisions>
    </reviewItem>
    <reviewItem>
      <errorID>9842e2c5-394b-4fec-8217-04026d3a0b98</errorID>
      <errorWord>(</errorWord>
      <group>L1_Format</group>
      <groupName>格式问题</groupName>
      <ability>L2_HalfPunc_CN</ability>
      <abilityName>全半角问题</abilityName>
      <candidateList>
        <item>（</item>
      </candidateList>
      <explain>文本全半角错误。</explain>
      <paraID>1669A8A2</paraID>
      <start>66</start>
      <end>67</end>
      <status>modified</status>
      <modifiedWord>（</modifiedWord>
      <trackRevisions>false</trackRevisions>
    </reviewItem>
    <reviewItem>
      <errorID>edf1c298-df69-4f03-86d3-26023e268356</errorID>
      <errorWord>)</errorWord>
      <group>L1_Format</group>
      <groupName>格式问题</groupName>
      <ability>L2_HalfPunc_CN</ability>
      <abilityName>全半角问题</abilityName>
      <candidateList>
        <item>）</item>
      </candidateList>
      <explain>文本全半角错误。</explain>
      <paraID>1669A8A2</paraID>
      <start>83</start>
      <end>84</end>
      <status>modified</status>
      <modifiedWord>）</modifiedWord>
      <trackRevisions>false</trackRevisions>
    </reviewItem>
    <reviewItem>
      <errorID>a1f102f4-a3b2-4416-beeb-3a6331295881</errorID>
      <errorWord>(</errorWord>
      <group>L1_Format</group>
      <groupName>格式问题</groupName>
      <ability>L2_HalfPunc_CN</ability>
      <abilityName>全半角问题</abilityName>
      <candidateList>
        <item>（</item>
      </candidateList>
      <explain>文本全半角错误。</explain>
      <paraID>1669A8A2</paraID>
      <start>90</start>
      <end>91</end>
      <status>modified</status>
      <modifiedWord>（</modifiedWord>
      <trackRevisions>false</trackRevisions>
    </reviewItem>
    <reviewItem>
      <errorID>a381001f-480d-4f23-bd33-edec865a18ca</errorID>
      <errorWord>)</errorWord>
      <group>L1_Format</group>
      <groupName>格式问题</groupName>
      <ability>L2_HalfPunc_CN</ability>
      <abilityName>全半角问题</abilityName>
      <candidateList>
        <item>）</item>
      </candidateList>
      <explain>文本全半角错误。</explain>
      <paraID>1669A8A2</paraID>
      <start>106</start>
      <end>107</end>
      <status>modified</status>
      <modifiedWord>）</modifiedWord>
      <trackRevisions>false</trackRevisions>
    </reviewItem>
    <reviewItem>
      <errorID>0b0561bc-6a6a-41cd-b98e-22ea669d5f88</errorID>
      <errorWord>（</errorWord>
      <group>L1_Punc</group>
      <groupName>标点问题</groupName>
      <ability>L2_Punc_CN</ability>
      <abilityName>标点符号问题</abilityName>
      <candidateList/>
      <explain>同一形式括号套用。</explain>
      <paraID>7D7AF5DE</paraID>
      <start>99</start>
      <end>100</end>
      <status>unmodified</status>
      <modifiedWord/>
      <trackRevisions>false</trackRevisions>
    </reviewItem>
    <reviewItem>
      <errorID>e049c5ba-0a89-4795-b89e-b626576120f0</errorID>
      <errorWord>）</errorWord>
      <group>L1_Punc</group>
      <groupName>标点问题</groupName>
      <ability>L2_Punc_CN</ability>
      <abilityName>标点符号问题</abilityName>
      <candidateList/>
      <explain>同一形式括号套用。</explain>
      <paraID>7D7AF5DE</paraID>
      <start>101</start>
      <end>102</end>
      <status>unmodified</status>
      <modifiedWord/>
      <trackRevisions>false</trackRevisions>
    </reviewItem>
    <reviewItem>
      <errorID>9fea12e8-64e9-4157-ab98-d4fba6f74e80</errorID>
      <errorWord>（</errorWord>
      <group>L1_Punc</group>
      <groupName>标点问题</groupName>
      <ability>L2_Punc_CN</ability>
      <abilityName>标点符号问题</abilityName>
      <candidateList/>
      <explain>同一形式括号套用。</explain>
      <paraID>7D7AF5DE</paraID>
      <start>133</start>
      <end>134</end>
      <status>unmodified</status>
      <modifiedWord/>
      <trackRevisions>false</trackRevisions>
    </reviewItem>
    <reviewItem>
      <errorID>b9fd38de-2bb7-4c5a-81b8-3fa15239b4e5</errorID>
      <errorWord>）</errorWord>
      <group>L1_Punc</group>
      <groupName>标点问题</groupName>
      <ability>L2_Punc_CN</ability>
      <abilityName>标点符号问题</abilityName>
      <candidateList/>
      <explain>同一形式括号套用。</explain>
      <paraID>7D7AF5DE</paraID>
      <start>135</start>
      <end>136</end>
      <status>unmodified</status>
      <modifiedWord/>
      <trackRevisions>false</trackRevisions>
    </reviewItem>
    <reviewItem>
      <errorID>f04beee8-9eeb-47ab-98ca-a2f676dab082</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36B5C8C3</paraID>
      <start>38</start>
      <end>41</end>
      <status>unmodified</status>
      <modifiedWord/>
      <trackRevisions>false</trackRevisions>
    </reviewItem>
    <reviewItem>
      <errorID>9114c727-53ff-4893-99a3-a8c64decef08</errorID>
      <errorWord>起</errorWord>
      <group>L1_Word</group>
      <groupName>字词问题</groupName>
      <ability>L2_Typo</ability>
      <abilityName>字词错误</abilityName>
      <candidateList>
        <item>起的</item>
      </candidateList>
      <explain/>
      <paraID>788457E7</paraID>
      <start>36</start>
      <end>38</end>
      <status>modified</status>
      <modifiedWord>起的</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04acf8-393f-49ae-ba86-429d3a4223ce}">
  <ds:schemaRefs/>
</ds:datastoreItem>
</file>

<file path=docProps/app.xml><?xml version="1.0" encoding="utf-8"?>
<Properties xmlns="http://schemas.openxmlformats.org/officeDocument/2006/extended-properties" xmlns:vt="http://schemas.openxmlformats.org/officeDocument/2006/docPropsVTypes">
  <Template>Normal</Template>
  <Company>福建省闽创环保科技有限公司</Company>
  <Pages>84</Pages>
  <Words>50931</Words>
  <Characters>57793</Characters>
  <Lines>1</Lines>
  <Paragraphs>1</Paragraphs>
  <TotalTime>139</TotalTime>
  <ScaleCrop>false</ScaleCrop>
  <LinksUpToDate>false</LinksUpToDate>
  <CharactersWithSpaces>57970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2021-09-17T07:05:00Z</dcterms:created>
  <dc:creator>龚锐</dc:creator>
  <cp:lastModifiedBy>胡 杨</cp:lastModifiedBy>
  <cp:lastPrinted>2026-06-04T08:28:00Z</cp:lastPrinted>
  <dcterms:modified xsi:type="dcterms:W3CDTF">2026-06-12T09:15:17Z</dcterms:modified>
  <dc:title>年产25万平方米单双面及多层印制电路板项目</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BF25E7C2E8254BFEA7D01429BB77BC51_13</vt:lpwstr>
  </property>
  <property fmtid="{D5CDD505-2E9C-101B-9397-08002B2CF9AE}" pid="4" name="KSOTemplateDocerSaveRecord">
    <vt:lpwstr>eyJoZGlkIjoiODIxOTQwYmRmYmY3YWI0ZmJiMDI1ZTBkNDIyN2Q3YzgiLCJ1c2VySWQiOiIxMDU0MTI4NzM3In0=</vt:lpwstr>
  </property>
</Properties>
</file>