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rPr>
      </w:pPr>
      <w:r>
        <w:rPr>
          <w:rFonts w:hint="eastAsia" w:ascii="黑体" w:eastAsia="黑体"/>
          <w:sz w:val="32"/>
          <w:szCs w:val="32"/>
        </w:rPr>
        <w:t>附件4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rPr>
      </w:pPr>
      <w:r>
        <w:rPr>
          <w:rFonts w:hint="eastAsia" w:ascii="方正小标宋简体" w:eastAsia="方正小标宋简体"/>
          <w:color w:val="000000"/>
          <w:sz w:val="36"/>
          <w:szCs w:val="36"/>
        </w:rPr>
        <w:t>罗源县学科类校外培训机构2024年度检查评分表</w:t>
      </w:r>
    </w:p>
    <w:p>
      <w:pPr>
        <w:rPr>
          <w:rFonts w:hint="eastAsia" w:ascii="仿宋_GB2312" w:hAnsi="宋体" w:eastAsia="仿宋_GB2312"/>
          <w:color w:val="000000"/>
          <w:sz w:val="24"/>
        </w:rPr>
      </w:pPr>
    </w:p>
    <w:p>
      <w:pPr>
        <w:ind w:firstLine="240" w:firstLineChars="100"/>
        <w:rPr>
          <w:rFonts w:hint="eastAsia" w:ascii="仿宋_GB2312" w:hAnsi="宋体" w:eastAsia="仿宋_GB2312"/>
          <w:color w:val="000000"/>
          <w:sz w:val="24"/>
        </w:rPr>
      </w:pPr>
      <w:r>
        <w:rPr>
          <w:rFonts w:hint="eastAsia" w:ascii="仿宋_GB2312" w:hAnsi="宋体" w:eastAsia="仿宋_GB2312"/>
          <w:color w:val="000000"/>
          <w:sz w:val="24"/>
        </w:rPr>
        <w:t xml:space="preserve">校外培训机构名称：                       </w:t>
      </w:r>
    </w:p>
    <w:tbl>
      <w:tblPr>
        <w:tblStyle w:val="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32"/>
        <w:gridCol w:w="6188"/>
        <w:gridCol w:w="714"/>
        <w:gridCol w:w="674"/>
        <w:gridCol w:w="40"/>
        <w:gridCol w:w="634"/>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5" w:type="dxa"/>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一级</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指标</w:t>
            </w:r>
          </w:p>
        </w:tc>
        <w:tc>
          <w:tcPr>
            <w:tcW w:w="1032" w:type="dxa"/>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二级</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指标</w:t>
            </w:r>
          </w:p>
        </w:tc>
        <w:tc>
          <w:tcPr>
            <w:tcW w:w="6188" w:type="dxa"/>
            <w:noWrap w:val="0"/>
            <w:vAlign w:val="center"/>
          </w:tcPr>
          <w:p>
            <w:pPr>
              <w:spacing w:line="0" w:lineRule="atLeast"/>
              <w:ind w:firstLine="1745" w:firstLineChars="831"/>
              <w:rPr>
                <w:rFonts w:hint="eastAsia" w:ascii="仿宋_GB2312" w:hAnsi="宋体" w:eastAsia="仿宋_GB2312"/>
                <w:color w:val="000000"/>
                <w:szCs w:val="21"/>
              </w:rPr>
            </w:pPr>
            <w:r>
              <w:rPr>
                <w:rFonts w:hint="eastAsia" w:ascii="仿宋_GB2312" w:hAnsi="宋体" w:eastAsia="仿宋_GB2312"/>
                <w:color w:val="000000"/>
                <w:szCs w:val="21"/>
              </w:rPr>
              <w:t>三级指标考核要点及分值</w:t>
            </w:r>
          </w:p>
        </w:tc>
        <w:tc>
          <w:tcPr>
            <w:tcW w:w="714" w:type="dxa"/>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负责评审科室</w:t>
            </w:r>
          </w:p>
        </w:tc>
        <w:tc>
          <w:tcPr>
            <w:tcW w:w="714" w:type="dxa"/>
            <w:gridSpan w:val="2"/>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自评得分</w:t>
            </w:r>
          </w:p>
        </w:tc>
        <w:tc>
          <w:tcPr>
            <w:tcW w:w="674" w:type="dxa"/>
            <w:gridSpan w:val="2"/>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vMerge w:val="restart"/>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A1</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依法</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办学</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30分</w:t>
            </w:r>
          </w:p>
        </w:tc>
        <w:tc>
          <w:tcPr>
            <w:tcW w:w="1032" w:type="dxa"/>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B1</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法人</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治理</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7分</w:t>
            </w:r>
          </w:p>
        </w:tc>
        <w:tc>
          <w:tcPr>
            <w:tcW w:w="6188" w:type="dxa"/>
            <w:noWrap w:val="0"/>
            <w:vAlign w:val="center"/>
          </w:tcPr>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w:t>
            </w:r>
            <w:r>
              <w:rPr>
                <w:rFonts w:hint="eastAsia" w:ascii="仿宋_GB2312" w:hAnsi="宋体" w:eastAsia="仿宋_GB2312" w:cs="宋体"/>
                <w:szCs w:val="21"/>
              </w:rPr>
              <w:t>党的建设有关内容是否写入学校章程。</w:t>
            </w:r>
            <w:r>
              <w:rPr>
                <w:rFonts w:hint="eastAsia" w:ascii="仿宋_GB2312" w:hAnsi="宋体" w:eastAsia="仿宋_GB2312"/>
                <w:color w:val="000000"/>
                <w:szCs w:val="21"/>
              </w:rPr>
              <w:t>学校董事会（理事会）的人员构成符合法定要求。3分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C2董事会（理事会）每年召开一次以上会议，形成会议纪要并有部门落实举措。4分。</w:t>
            </w:r>
          </w:p>
        </w:tc>
        <w:tc>
          <w:tcPr>
            <w:tcW w:w="714" w:type="dxa"/>
            <w:vMerge w:val="restart"/>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民管办</w:t>
            </w:r>
          </w:p>
        </w:tc>
        <w:tc>
          <w:tcPr>
            <w:tcW w:w="714" w:type="dxa"/>
            <w:gridSpan w:val="2"/>
            <w:noWrap w:val="0"/>
            <w:vAlign w:val="center"/>
          </w:tcPr>
          <w:p>
            <w:pPr>
              <w:spacing w:line="0" w:lineRule="atLeast"/>
              <w:jc w:val="center"/>
              <w:rPr>
                <w:rFonts w:hint="eastAsia" w:ascii="仿宋_GB2312" w:hAnsi="宋体" w:eastAsia="仿宋_GB2312"/>
                <w:color w:val="000000"/>
                <w:szCs w:val="21"/>
              </w:rPr>
            </w:pPr>
          </w:p>
        </w:tc>
        <w:tc>
          <w:tcPr>
            <w:tcW w:w="674" w:type="dxa"/>
            <w:gridSpan w:val="2"/>
            <w:noWrap w:val="0"/>
            <w:vAlign w:val="center"/>
          </w:tcPr>
          <w:p>
            <w:pPr>
              <w:spacing w:line="0" w:lineRule="atLeast"/>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715" w:type="dxa"/>
            <w:vMerge w:val="continue"/>
            <w:noWrap w:val="0"/>
            <w:vAlign w:val="center"/>
          </w:tcPr>
          <w:p>
            <w:pPr>
              <w:spacing w:line="0" w:lineRule="atLeast"/>
              <w:jc w:val="center"/>
              <w:rPr>
                <w:rFonts w:hint="eastAsia" w:ascii="仿宋_GB2312" w:hAnsi="宋体" w:eastAsia="仿宋_GB2312"/>
                <w:color w:val="000000"/>
                <w:szCs w:val="21"/>
              </w:rPr>
            </w:pPr>
          </w:p>
        </w:tc>
        <w:tc>
          <w:tcPr>
            <w:tcW w:w="1032" w:type="dxa"/>
            <w:noWrap w:val="0"/>
            <w:vAlign w:val="center"/>
          </w:tcPr>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B2</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制度</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健全</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8分</w:t>
            </w:r>
          </w:p>
        </w:tc>
        <w:tc>
          <w:tcPr>
            <w:tcW w:w="6188" w:type="dxa"/>
            <w:noWrap w:val="0"/>
            <w:vAlign w:val="center"/>
          </w:tcPr>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C3变更学校名称、校址、业务范围，举办者、法人代表、校长、董（理）事会成员以及修改学校章程能及时报审批机关备案，培训机构设分支教学点或合作办学等，事先报教育主管部门审批备案（3分）。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C4学校人员组织机构设置合理，各部门人员责任明确，教职工人数与学生配比合理。各学科按总课时数配足教师。2分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C5机构只能使用一个名称，且挂牌名称与办学许可证一致。1分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C6相应证件均在办学场所显眼处悬挂。1分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C7有党团组织设立及开展活动的工作方案。1分</w:t>
            </w:r>
          </w:p>
        </w:tc>
        <w:tc>
          <w:tcPr>
            <w:tcW w:w="714" w:type="dxa"/>
            <w:vMerge w:val="continue"/>
            <w:noWrap w:val="0"/>
            <w:vAlign w:val="center"/>
          </w:tcPr>
          <w:p>
            <w:pPr>
              <w:widowControl/>
              <w:jc w:val="left"/>
              <w:rPr>
                <w:rFonts w:hint="eastAsia" w:ascii="仿宋_GB2312" w:hAnsi="宋体" w:eastAsia="仿宋_GB2312"/>
                <w:color w:val="000000"/>
                <w:szCs w:val="21"/>
              </w:rPr>
            </w:pPr>
          </w:p>
        </w:tc>
        <w:tc>
          <w:tcPr>
            <w:tcW w:w="714" w:type="dxa"/>
            <w:gridSpan w:val="2"/>
            <w:noWrap w:val="0"/>
            <w:vAlign w:val="center"/>
          </w:tcPr>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674" w:type="dxa"/>
            <w:gridSpan w:val="2"/>
            <w:noWrap w:val="0"/>
            <w:vAlign w:val="center"/>
          </w:tcPr>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715" w:type="dxa"/>
            <w:vMerge w:val="continue"/>
            <w:noWrap w:val="0"/>
            <w:vAlign w:val="center"/>
          </w:tcPr>
          <w:p>
            <w:pPr>
              <w:spacing w:line="0" w:lineRule="atLeast"/>
              <w:jc w:val="center"/>
              <w:rPr>
                <w:rFonts w:hint="eastAsia" w:ascii="仿宋_GB2312" w:hAnsi="宋体" w:eastAsia="仿宋_GB2312"/>
                <w:color w:val="000000"/>
                <w:szCs w:val="21"/>
              </w:rPr>
            </w:pPr>
          </w:p>
        </w:tc>
        <w:tc>
          <w:tcPr>
            <w:tcW w:w="1032" w:type="dxa"/>
            <w:noWrap w:val="0"/>
            <w:vAlign w:val="center"/>
          </w:tcPr>
          <w:p>
            <w:pPr>
              <w:spacing w:line="0" w:lineRule="atLeast"/>
              <w:ind w:firstLine="315" w:firstLineChars="150"/>
              <w:rPr>
                <w:rFonts w:hint="eastAsia" w:ascii="仿宋_GB2312" w:hAnsi="宋体" w:eastAsia="仿宋_GB2312"/>
                <w:color w:val="000000"/>
                <w:szCs w:val="21"/>
              </w:rPr>
            </w:pPr>
            <w:r>
              <w:rPr>
                <w:rFonts w:hint="eastAsia" w:ascii="仿宋_GB2312" w:hAnsi="宋体" w:eastAsia="仿宋_GB2312"/>
                <w:color w:val="000000"/>
                <w:szCs w:val="21"/>
              </w:rPr>
              <w:t>B3</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办学</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规范</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15分</w:t>
            </w:r>
          </w:p>
        </w:tc>
        <w:tc>
          <w:tcPr>
            <w:tcW w:w="6188" w:type="dxa"/>
            <w:noWrap w:val="0"/>
            <w:vAlign w:val="center"/>
          </w:tcPr>
          <w:p>
            <w:pPr>
              <w:spacing w:line="220" w:lineRule="exact"/>
              <w:ind w:hanging="210"/>
              <w:rPr>
                <w:rFonts w:hint="eastAsia" w:ascii="仿宋_GB2312" w:hAnsi="宋体" w:eastAsia="仿宋_GB2312"/>
                <w:color w:val="000000"/>
                <w:szCs w:val="21"/>
              </w:rPr>
            </w:pPr>
            <w:r>
              <w:rPr>
                <w:rFonts w:hint="eastAsia" w:ascii="仿宋_GB2312" w:hAnsi="宋体" w:eastAsia="仿宋_GB2312"/>
                <w:color w:val="000000"/>
                <w:szCs w:val="21"/>
              </w:rPr>
              <w:t>C C8 遵守民办教育办学相关法规，在办学许可证所批准范围内，做好招生、培训工作。3分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C9 无各类混杂办学行为。3分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C10广告发布无虚假、夸张成分，招生广告和招生简章发布之前有报民管办审查备案。3分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C11办学许可证、民办登记证等证件齐全按规定公示在学校醒目之处。3分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C12不得买卖、出租、出借办学许可证。3分</w:t>
            </w:r>
          </w:p>
        </w:tc>
        <w:tc>
          <w:tcPr>
            <w:tcW w:w="714" w:type="dxa"/>
            <w:vMerge w:val="continue"/>
            <w:noWrap w:val="0"/>
            <w:vAlign w:val="center"/>
          </w:tcPr>
          <w:p>
            <w:pPr>
              <w:jc w:val="left"/>
              <w:rPr>
                <w:rFonts w:hint="eastAsia" w:ascii="仿宋_GB2312" w:hAnsi="宋体" w:eastAsia="仿宋_GB2312"/>
                <w:color w:val="000000"/>
                <w:szCs w:val="21"/>
              </w:rPr>
            </w:pPr>
          </w:p>
        </w:tc>
        <w:tc>
          <w:tcPr>
            <w:tcW w:w="714" w:type="dxa"/>
            <w:gridSpan w:val="2"/>
            <w:noWrap w:val="0"/>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674" w:type="dxa"/>
            <w:gridSpan w:val="2"/>
            <w:noWrap w:val="0"/>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15" w:type="dxa"/>
            <w:vMerge w:val="restart"/>
            <w:noWrap w:val="0"/>
            <w:vAlign w:val="center"/>
          </w:tcPr>
          <w:p>
            <w:pPr>
              <w:widowControl/>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A2</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机构</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管理</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20分</w:t>
            </w:r>
          </w:p>
        </w:tc>
        <w:tc>
          <w:tcPr>
            <w:tcW w:w="1032" w:type="dxa"/>
            <w:noWrap w:val="0"/>
            <w:vAlign w:val="center"/>
          </w:tcPr>
          <w:p>
            <w:pPr>
              <w:spacing w:line="0" w:lineRule="atLeast"/>
              <w:ind w:firstLine="315" w:firstLineChars="150"/>
              <w:rPr>
                <w:rFonts w:hint="eastAsia" w:ascii="仿宋_GB2312" w:hAnsi="宋体" w:eastAsia="仿宋_GB2312"/>
                <w:color w:val="000000"/>
                <w:szCs w:val="21"/>
              </w:rPr>
            </w:pPr>
            <w:r>
              <w:rPr>
                <w:rFonts w:hint="eastAsia" w:ascii="仿宋_GB2312" w:hAnsi="宋体" w:eastAsia="仿宋_GB2312"/>
                <w:color w:val="000000"/>
                <w:szCs w:val="21"/>
              </w:rPr>
              <w:t>B4</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队伍</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建设</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6分</w:t>
            </w:r>
          </w:p>
        </w:tc>
        <w:tc>
          <w:tcPr>
            <w:tcW w:w="6188" w:type="dxa"/>
            <w:noWrap w:val="0"/>
            <w:vAlign w:val="center"/>
          </w:tcPr>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C13校长持证上岗，年龄不超过70周岁。3分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C14有与办学层次、办学</w:t>
            </w:r>
            <w:r>
              <w:rPr>
                <w:rFonts w:hint="eastAsia" w:ascii="仿宋_GB2312" w:hAnsi="宋体"/>
                <w:color w:val="000000"/>
                <w:szCs w:val="21"/>
              </w:rPr>
              <w:t>內</w:t>
            </w:r>
            <w:r>
              <w:rPr>
                <w:rFonts w:hint="eastAsia" w:ascii="仿宋_GB2312" w:hAnsi="宋体" w:eastAsia="仿宋_GB2312"/>
                <w:color w:val="000000"/>
                <w:szCs w:val="21"/>
              </w:rPr>
              <w:t>容、办学规模相适应的专、兼职教师队伍和管理人员，教师具备相应的学历和教师资格。3分</w:t>
            </w:r>
          </w:p>
        </w:tc>
        <w:tc>
          <w:tcPr>
            <w:tcW w:w="714" w:type="dxa"/>
            <w:vMerge w:val="restart"/>
            <w:noWrap w:val="0"/>
            <w:vAlign w:val="center"/>
          </w:tcPr>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人事科</w:t>
            </w:r>
          </w:p>
        </w:tc>
        <w:tc>
          <w:tcPr>
            <w:tcW w:w="714" w:type="dxa"/>
            <w:gridSpan w:val="2"/>
            <w:noWrap w:val="0"/>
            <w:vAlign w:val="center"/>
          </w:tcPr>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674" w:type="dxa"/>
            <w:gridSpan w:val="2"/>
            <w:noWrap w:val="0"/>
            <w:vAlign w:val="center"/>
          </w:tcPr>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15" w:type="dxa"/>
            <w:vMerge w:val="continue"/>
            <w:noWrap w:val="0"/>
            <w:vAlign w:val="center"/>
          </w:tcPr>
          <w:p>
            <w:pPr>
              <w:widowControl/>
              <w:spacing w:line="0" w:lineRule="atLeast"/>
              <w:jc w:val="center"/>
              <w:rPr>
                <w:rFonts w:hint="eastAsia" w:ascii="仿宋_GB2312" w:hAnsi="宋体" w:eastAsia="仿宋_GB2312"/>
                <w:color w:val="000000"/>
                <w:szCs w:val="21"/>
              </w:rPr>
            </w:pPr>
          </w:p>
        </w:tc>
        <w:tc>
          <w:tcPr>
            <w:tcW w:w="1032" w:type="dxa"/>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B5</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员工</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待遇</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10分</w:t>
            </w:r>
          </w:p>
        </w:tc>
        <w:tc>
          <w:tcPr>
            <w:tcW w:w="6188" w:type="dxa"/>
            <w:noWrap w:val="0"/>
            <w:vAlign w:val="center"/>
          </w:tcPr>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C15。是否建立培训材料编审人员资质。“双审制”制度是否落实，思想性、科学性、适宜性等情况。重点从业人员资质情况，是否有违法记录等。3分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C16举办者、法人代表按《福州市民办学校教职工聘用合同》或按福建省劳动厅印制《劳动合同书》与每一位教职工签定聘用合同。教职工的工资待遇不低于劳动法定的最低标准。3分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C17以本校名义为全体教职工办理了“五险一金”。2分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C18每月按时发放教师工资，无拖欠，落实教师带薪休假和继续教育培训情况。2分</w:t>
            </w:r>
          </w:p>
        </w:tc>
        <w:tc>
          <w:tcPr>
            <w:tcW w:w="714" w:type="dxa"/>
            <w:vMerge w:val="continue"/>
            <w:noWrap w:val="0"/>
            <w:vAlign w:val="center"/>
          </w:tcPr>
          <w:p>
            <w:pPr>
              <w:jc w:val="left"/>
              <w:rPr>
                <w:rFonts w:hint="eastAsia" w:ascii="仿宋_GB2312" w:hAnsi="宋体" w:eastAsia="仿宋_GB2312"/>
                <w:color w:val="000000"/>
                <w:szCs w:val="21"/>
              </w:rPr>
            </w:pPr>
          </w:p>
        </w:tc>
        <w:tc>
          <w:tcPr>
            <w:tcW w:w="714" w:type="dxa"/>
            <w:gridSpan w:val="2"/>
            <w:noWrap w:val="0"/>
            <w:vAlign w:val="center"/>
          </w:tcPr>
          <w:p>
            <w:pPr>
              <w:jc w:val="left"/>
              <w:rPr>
                <w:rFonts w:hint="eastAsia" w:ascii="仿宋_GB2312" w:hAnsi="宋体" w:eastAsia="仿宋_GB2312"/>
                <w:color w:val="000000"/>
                <w:szCs w:val="21"/>
              </w:rPr>
            </w:pPr>
          </w:p>
        </w:tc>
        <w:tc>
          <w:tcPr>
            <w:tcW w:w="674" w:type="dxa"/>
            <w:gridSpan w:val="2"/>
            <w:noWrap w:val="0"/>
            <w:vAlign w:val="center"/>
          </w:tcPr>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15" w:type="dxa"/>
            <w:vMerge w:val="continue"/>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p>
        </w:tc>
        <w:tc>
          <w:tcPr>
            <w:tcW w:w="1032" w:type="dxa"/>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B6</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办学</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场地</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4分</w:t>
            </w:r>
          </w:p>
        </w:tc>
        <w:tc>
          <w:tcPr>
            <w:tcW w:w="6188" w:type="dxa"/>
            <w:tcBorders>
              <w:bottom w:val="single" w:color="auto" w:sz="4" w:space="0"/>
            </w:tcBorders>
            <w:noWrap w:val="0"/>
            <w:vAlign w:val="center"/>
          </w:tcPr>
          <w:p>
            <w:pPr>
              <w:widowControl/>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C19办学地址与办学许可证登记的地址一致，布局合理；办学建筑面积达200</w:t>
            </w:r>
            <w:r>
              <w:rPr>
                <w:rFonts w:hint="eastAsia" w:ascii="仿宋_GB2312" w:hAnsi="宋体"/>
                <w:color w:val="000000"/>
                <w:szCs w:val="21"/>
              </w:rPr>
              <w:t>㎡</w:t>
            </w:r>
            <w:r>
              <w:rPr>
                <w:rFonts w:hint="eastAsia" w:ascii="仿宋_GB2312" w:hAnsi="宋体" w:eastAsia="仿宋_GB2312"/>
                <w:color w:val="000000"/>
                <w:szCs w:val="21"/>
              </w:rPr>
              <w:t>以上，使用年限明确。2分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C20. 教室布局合理，采光通风良好，学校附近无污染源，无安全隐患。2分</w:t>
            </w:r>
          </w:p>
        </w:tc>
        <w:tc>
          <w:tcPr>
            <w:tcW w:w="714" w:type="dxa"/>
            <w:tcBorders>
              <w:bottom w:val="single" w:color="auto" w:sz="4" w:space="0"/>
            </w:tcBorders>
            <w:noWrap w:val="0"/>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基建组</w:t>
            </w:r>
          </w:p>
        </w:tc>
        <w:tc>
          <w:tcPr>
            <w:tcW w:w="714" w:type="dxa"/>
            <w:gridSpan w:val="2"/>
            <w:tcBorders>
              <w:bottom w:val="single" w:color="auto" w:sz="4" w:space="0"/>
            </w:tcBorders>
            <w:noWrap w:val="0"/>
            <w:vAlign w:val="center"/>
          </w:tcPr>
          <w:p>
            <w:pPr>
              <w:jc w:val="left"/>
              <w:rPr>
                <w:rFonts w:hint="eastAsia" w:ascii="仿宋_GB2312" w:hAnsi="宋体" w:eastAsia="仿宋_GB2312"/>
                <w:color w:val="000000"/>
                <w:szCs w:val="21"/>
              </w:rPr>
            </w:pPr>
          </w:p>
        </w:tc>
        <w:tc>
          <w:tcPr>
            <w:tcW w:w="674" w:type="dxa"/>
            <w:gridSpan w:val="2"/>
            <w:tcBorders>
              <w:bottom w:val="single" w:color="auto" w:sz="4" w:space="0"/>
            </w:tcBorders>
            <w:noWrap w:val="0"/>
            <w:vAlign w:val="center"/>
          </w:tcPr>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5" w:type="dxa"/>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A3</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财务</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管理</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20分</w:t>
            </w:r>
          </w:p>
        </w:tc>
        <w:tc>
          <w:tcPr>
            <w:tcW w:w="1032" w:type="dxa"/>
            <w:tcBorders>
              <w:bottom w:val="single" w:color="auto" w:sz="4" w:space="0"/>
            </w:tcBorders>
            <w:noWrap w:val="0"/>
            <w:vAlign w:val="center"/>
          </w:tcPr>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B7</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财务</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公开</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10分</w:t>
            </w:r>
          </w:p>
        </w:tc>
        <w:tc>
          <w:tcPr>
            <w:tcW w:w="6188" w:type="dxa"/>
            <w:tcBorders>
              <w:bottom w:val="single" w:color="auto" w:sz="4" w:space="0"/>
            </w:tcBorders>
            <w:noWrap w:val="0"/>
            <w:vAlign w:val="center"/>
          </w:tcPr>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C21依法建立财务、会计制度和财产管理制度，有银行基本户；财务</w:t>
            </w:r>
            <w:r>
              <w:rPr>
                <w:rFonts w:hint="eastAsia" w:ascii="仿宋_GB2312" w:hAnsi="宋体" w:eastAsia="仿宋_GB2312"/>
                <w:color w:val="000000"/>
                <w:szCs w:val="21"/>
                <w:lang w:eastAsia="zh-CN"/>
              </w:rPr>
              <w:t>账</w:t>
            </w:r>
            <w:r>
              <w:rPr>
                <w:rFonts w:hint="eastAsia" w:ascii="仿宋_GB2312" w:hAnsi="宋体" w:eastAsia="仿宋_GB2312"/>
                <w:color w:val="000000"/>
                <w:szCs w:val="21"/>
              </w:rPr>
              <w:t>目清楚，每个年度有委托会计师事务所依法进行审计的《财务审计报告》。4分</w:t>
            </w:r>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C22有稳定的经费来源，能满足学校的发展需要，每年有预留教育发展经费用于改善办学条件，办学以来财务运作状况呈良好发展态势。3分</w:t>
            </w:r>
            <w:bookmarkStart w:id="0" w:name="_GoBack"/>
            <w:bookmarkEnd w:id="0"/>
          </w:p>
          <w:p>
            <w:pPr>
              <w:spacing w:line="220" w:lineRule="exact"/>
              <w:rPr>
                <w:rFonts w:hint="eastAsia" w:ascii="仿宋_GB2312" w:hAnsi="宋体" w:eastAsia="仿宋_GB2312"/>
                <w:color w:val="000000"/>
                <w:szCs w:val="21"/>
              </w:rPr>
            </w:pPr>
            <w:r>
              <w:rPr>
                <w:rFonts w:hint="eastAsia" w:ascii="仿宋_GB2312" w:hAnsi="宋体" w:eastAsia="仿宋_GB2312"/>
                <w:color w:val="000000"/>
                <w:szCs w:val="21"/>
              </w:rPr>
              <w:t>C23 按规定向教育局、物价局报备收费项目和标准，并将收费项目和标准有及时向学员或家长公示，有使用税务票据。3分</w:t>
            </w:r>
          </w:p>
        </w:tc>
        <w:tc>
          <w:tcPr>
            <w:tcW w:w="714" w:type="dxa"/>
            <w:tcBorders>
              <w:bottom w:val="single" w:color="auto" w:sz="4" w:space="0"/>
            </w:tcBorders>
            <w:noWrap w:val="0"/>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计财科</w:t>
            </w:r>
          </w:p>
        </w:tc>
        <w:tc>
          <w:tcPr>
            <w:tcW w:w="714" w:type="dxa"/>
            <w:gridSpan w:val="2"/>
            <w:tcBorders>
              <w:bottom w:val="single" w:color="auto" w:sz="4" w:space="0"/>
            </w:tcBorders>
            <w:noWrap w:val="0"/>
            <w:vAlign w:val="center"/>
          </w:tcPr>
          <w:p>
            <w:pPr>
              <w:jc w:val="left"/>
              <w:rPr>
                <w:rFonts w:hint="eastAsia" w:ascii="仿宋_GB2312" w:hAnsi="宋体" w:eastAsia="仿宋_GB2312"/>
                <w:color w:val="000000"/>
                <w:szCs w:val="21"/>
              </w:rPr>
            </w:pPr>
          </w:p>
        </w:tc>
        <w:tc>
          <w:tcPr>
            <w:tcW w:w="674" w:type="dxa"/>
            <w:gridSpan w:val="2"/>
            <w:tcBorders>
              <w:bottom w:val="single" w:color="auto" w:sz="4" w:space="0"/>
            </w:tcBorders>
            <w:noWrap w:val="0"/>
            <w:vAlign w:val="center"/>
          </w:tcPr>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770" w:hRule="atLeast"/>
          <w:jc w:val="center"/>
        </w:trPr>
        <w:tc>
          <w:tcPr>
            <w:tcW w:w="715" w:type="dxa"/>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A3</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财务</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管理</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20分</w:t>
            </w:r>
          </w:p>
        </w:tc>
        <w:tc>
          <w:tcPr>
            <w:tcW w:w="1032" w:type="dxa"/>
            <w:tcBorders>
              <w:bottom w:val="single" w:color="auto" w:sz="4" w:space="0"/>
            </w:tcBorders>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B8</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财务</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规范</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10分</w:t>
            </w:r>
          </w:p>
        </w:tc>
        <w:tc>
          <w:tcPr>
            <w:tcW w:w="6188" w:type="dxa"/>
            <w:tcBorders>
              <w:bottom w:val="single" w:color="auto" w:sz="4" w:space="0"/>
            </w:tcBorders>
            <w:noWrap w:val="0"/>
            <w:vAlign w:val="center"/>
          </w:tcPr>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C24校方要按物价部门和教育部门的文件规定，以本校当前核准的报备进行收费，并与每一位学员或学生家长签订规范的收费退费协议。2分</w:t>
            </w:r>
          </w:p>
          <w:p>
            <w:pPr>
              <w:pStyle w:val="3"/>
              <w:ind w:firstLine="0" w:firstLineChars="0"/>
              <w:rPr>
                <w:rFonts w:hint="eastAsia" w:ascii="仿宋_GB2312" w:eastAsia="仿宋_GB2312"/>
                <w:szCs w:val="21"/>
              </w:rPr>
            </w:pPr>
            <w:r>
              <w:rPr>
                <w:rFonts w:hint="eastAsia" w:ascii="仿宋_GB2312" w:hAnsi="宋体" w:eastAsia="仿宋_GB2312"/>
                <w:color w:val="000000"/>
                <w:szCs w:val="21"/>
              </w:rPr>
              <w:t>C25签订教育局、银行、机构三方《罗源县民办学校收费账户监督管理协议》2分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C26.学费缴存不超过三个月，开具正规发票，及时存入在银行专用账户。无白条入账现象，无坐支现金行为。代办费遵循学生自愿原则且单独立账，按学期结算，毕业离校前结清。3分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C27财务人员及其他专业技术人员具备相应的从业资格。3分</w:t>
            </w:r>
          </w:p>
        </w:tc>
        <w:tc>
          <w:tcPr>
            <w:tcW w:w="714" w:type="dxa"/>
            <w:tcBorders>
              <w:bottom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计财科</w:t>
            </w:r>
          </w:p>
        </w:tc>
        <w:tc>
          <w:tcPr>
            <w:tcW w:w="674" w:type="dxa"/>
            <w:tcBorders>
              <w:bottom w:val="single" w:color="auto" w:sz="4" w:space="0"/>
            </w:tcBorders>
            <w:noWrap w:val="0"/>
            <w:vAlign w:val="top"/>
          </w:tcPr>
          <w:p>
            <w:pPr>
              <w:rPr>
                <w:rFonts w:hint="eastAsia" w:ascii="仿宋_GB2312" w:hAnsi="宋体" w:eastAsia="仿宋_GB2312"/>
                <w:color w:val="000000"/>
                <w:szCs w:val="21"/>
              </w:rPr>
            </w:pPr>
          </w:p>
        </w:tc>
        <w:tc>
          <w:tcPr>
            <w:tcW w:w="674" w:type="dxa"/>
            <w:gridSpan w:val="2"/>
            <w:tcBorders>
              <w:bottom w:val="single" w:color="auto" w:sz="4" w:space="0"/>
            </w:tcBorders>
            <w:noWrap w:val="0"/>
            <w:vAlign w:val="top"/>
          </w:tcPr>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4650" w:hRule="atLeast"/>
          <w:jc w:val="center"/>
        </w:trPr>
        <w:tc>
          <w:tcPr>
            <w:tcW w:w="715" w:type="dxa"/>
            <w:vMerge w:val="restart"/>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A4</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安全</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管理</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30分</w:t>
            </w:r>
          </w:p>
        </w:tc>
        <w:tc>
          <w:tcPr>
            <w:tcW w:w="1032" w:type="dxa"/>
            <w:noWrap w:val="0"/>
            <w:vAlign w:val="center"/>
          </w:tcPr>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B9</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平安</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校园</w:t>
            </w:r>
          </w:p>
          <w:p>
            <w:pPr>
              <w:spacing w:line="0" w:lineRule="atLeast"/>
              <w:jc w:val="center"/>
              <w:rPr>
                <w:rFonts w:hint="eastAsia" w:ascii="仿宋_GB2312" w:hAnsi="宋体" w:eastAsia="仿宋_GB2312"/>
                <w:color w:val="000000"/>
                <w:szCs w:val="21"/>
              </w:rPr>
            </w:pPr>
            <w:r>
              <w:rPr>
                <w:rFonts w:hint="eastAsia" w:ascii="仿宋_GB2312" w:hAnsi="宋体" w:eastAsia="仿宋_GB2312"/>
                <w:color w:val="000000"/>
                <w:szCs w:val="21"/>
              </w:rPr>
              <w:t>20分</w:t>
            </w:r>
          </w:p>
        </w:tc>
        <w:tc>
          <w:tcPr>
            <w:tcW w:w="6188" w:type="dxa"/>
            <w:noWrap w:val="0"/>
            <w:vAlign w:val="center"/>
          </w:tcPr>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C28学校设立安全与维稳工作领导小组，安全与维稳制度健全。安全培训、布署、检查、评比等系列措施落实到位，有设立安全教育宣传栏，有订立安全与维稳应急处理预案。3分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C29每年有开展至少1－2次的消防安全和突发性事件应急处理的演练。每月进行安全检查，及时排除隐患（有记录）。3分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C30及时上报安全工作，年度内无校方安全责任事故。3分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C31教学场所应符合相关法律法规要求，并具有消防安全合格证明。若系租赁校舍者，剩余租赁期限需大于学制年限且明确有后续办学场所意向的。3分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C32疏散通道畅通且出口不少于两个。按照消防要求配置灭火设施，灭火器处于有效期且放置得当。灭火器做到“三定”。设置有符合要求的疏散线路标志。2分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C33教学场所电路、开关无明显安全隐患，相关管理人员定期对电路进行安全检查，并形成文字记录。2分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C34每学期开展1次以上消防演习或疏散演练，“人防、物防、技防”到位。2分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C35校（园）法定代表人与教育局签定当年安全工作责任书。校（园）长与本校的教职员工分别签定岗位安全目标责任书。全年无（校方负主要责任）重大安全事故。2分</w:t>
            </w:r>
          </w:p>
        </w:tc>
        <w:tc>
          <w:tcPr>
            <w:tcW w:w="714" w:type="dxa"/>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学安办</w:t>
            </w:r>
          </w:p>
        </w:tc>
        <w:tc>
          <w:tcPr>
            <w:tcW w:w="674" w:type="dxa"/>
            <w:noWrap w:val="0"/>
            <w:vAlign w:val="top"/>
          </w:tcPr>
          <w:p>
            <w:pPr>
              <w:rPr>
                <w:rFonts w:hint="eastAsia" w:ascii="仿宋_GB2312" w:hAnsi="宋体" w:eastAsia="仿宋_GB2312"/>
                <w:color w:val="000000"/>
                <w:szCs w:val="21"/>
              </w:rPr>
            </w:pPr>
          </w:p>
        </w:tc>
        <w:tc>
          <w:tcPr>
            <w:tcW w:w="674" w:type="dxa"/>
            <w:gridSpan w:val="2"/>
            <w:noWrap w:val="0"/>
            <w:vAlign w:val="top"/>
          </w:tcPr>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415" w:hRule="atLeast"/>
          <w:jc w:val="center"/>
        </w:trPr>
        <w:tc>
          <w:tcPr>
            <w:tcW w:w="715" w:type="dxa"/>
            <w:vMerge w:val="continue"/>
            <w:noWrap w:val="0"/>
            <w:vAlign w:val="center"/>
          </w:tcPr>
          <w:p>
            <w:pPr>
              <w:spacing w:line="0" w:lineRule="atLeast"/>
              <w:jc w:val="center"/>
              <w:rPr>
                <w:rFonts w:hint="eastAsia" w:ascii="仿宋_GB2312" w:hAnsi="宋体" w:eastAsia="仿宋_GB2312"/>
                <w:color w:val="000000"/>
                <w:szCs w:val="21"/>
              </w:rPr>
            </w:pPr>
          </w:p>
        </w:tc>
        <w:tc>
          <w:tcPr>
            <w:tcW w:w="1032" w:type="dxa"/>
            <w:noWrap w:val="0"/>
            <w:vAlign w:val="center"/>
          </w:tcPr>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B10</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维稳</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工作</w:t>
            </w:r>
          </w:p>
          <w:p>
            <w:pPr>
              <w:spacing w:line="0" w:lineRule="atLeast"/>
              <w:ind w:left="4" w:hanging="4" w:hangingChars="2"/>
              <w:jc w:val="center"/>
              <w:rPr>
                <w:rFonts w:hint="eastAsia" w:ascii="仿宋_GB2312" w:hAnsi="宋体" w:eastAsia="仿宋_GB2312"/>
                <w:color w:val="000000"/>
                <w:szCs w:val="21"/>
              </w:rPr>
            </w:pPr>
            <w:r>
              <w:rPr>
                <w:rFonts w:hint="eastAsia" w:ascii="仿宋_GB2312" w:hAnsi="宋体" w:eastAsia="仿宋_GB2312"/>
                <w:color w:val="000000"/>
                <w:szCs w:val="21"/>
              </w:rPr>
              <w:t>10分</w:t>
            </w:r>
          </w:p>
        </w:tc>
        <w:tc>
          <w:tcPr>
            <w:tcW w:w="6188" w:type="dxa"/>
            <w:noWrap w:val="0"/>
            <w:vAlign w:val="center"/>
          </w:tcPr>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C36全年无重大的维稳事故。4分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C37没有接到学生及家长的投诉或者有投诉通过调查证实学校为非过错方。3分</w:t>
            </w:r>
          </w:p>
          <w:p>
            <w:pPr>
              <w:spacing w:line="0" w:lineRule="atLeast"/>
              <w:rPr>
                <w:rFonts w:hint="eastAsia" w:ascii="仿宋_GB2312" w:hAnsi="宋体" w:eastAsia="仿宋_GB2312"/>
                <w:color w:val="000000"/>
                <w:szCs w:val="21"/>
              </w:rPr>
            </w:pPr>
            <w:r>
              <w:rPr>
                <w:rFonts w:hint="eastAsia" w:ascii="仿宋_GB2312" w:hAnsi="宋体" w:eastAsia="仿宋_GB2312"/>
                <w:color w:val="000000"/>
                <w:szCs w:val="21"/>
              </w:rPr>
              <w:t>C38及时处理投诉件，对存在的问题能及时妥善解决或积极配合管理部门予以解决。3分</w:t>
            </w:r>
          </w:p>
        </w:tc>
        <w:tc>
          <w:tcPr>
            <w:tcW w:w="714" w:type="dxa"/>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学安办</w:t>
            </w:r>
          </w:p>
        </w:tc>
        <w:tc>
          <w:tcPr>
            <w:tcW w:w="674" w:type="dxa"/>
            <w:noWrap w:val="0"/>
            <w:vAlign w:val="top"/>
          </w:tcPr>
          <w:p>
            <w:pPr>
              <w:rPr>
                <w:rFonts w:hint="eastAsia" w:ascii="仿宋_GB2312" w:hAnsi="宋体" w:eastAsia="仿宋_GB2312"/>
                <w:color w:val="000000"/>
                <w:szCs w:val="21"/>
              </w:rPr>
            </w:pPr>
          </w:p>
        </w:tc>
        <w:tc>
          <w:tcPr>
            <w:tcW w:w="674" w:type="dxa"/>
            <w:gridSpan w:val="2"/>
            <w:noWrap w:val="0"/>
            <w:vAlign w:val="top"/>
          </w:tcPr>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46" w:hRule="atLeast"/>
          <w:jc w:val="center"/>
        </w:trPr>
        <w:tc>
          <w:tcPr>
            <w:tcW w:w="1747" w:type="dxa"/>
            <w:gridSpan w:val="2"/>
            <w:noWrap w:val="0"/>
            <w:vAlign w:val="center"/>
          </w:tcPr>
          <w:p>
            <w:pPr>
              <w:spacing w:line="0" w:lineRule="atLeast"/>
              <w:ind w:firstLine="105" w:firstLineChars="50"/>
              <w:jc w:val="center"/>
              <w:rPr>
                <w:rFonts w:hint="eastAsia" w:ascii="仿宋_GB2312" w:hAnsi="宋体" w:eastAsia="仿宋_GB2312"/>
                <w:color w:val="000000"/>
                <w:szCs w:val="21"/>
              </w:rPr>
            </w:pPr>
            <w:r>
              <w:rPr>
                <w:rFonts w:hint="eastAsia" w:ascii="仿宋_GB2312" w:hAnsi="宋体" w:eastAsia="仿宋_GB2312"/>
                <w:color w:val="000000"/>
                <w:szCs w:val="21"/>
              </w:rPr>
              <w:t>合计得分</w:t>
            </w:r>
          </w:p>
        </w:tc>
        <w:tc>
          <w:tcPr>
            <w:tcW w:w="6188" w:type="dxa"/>
            <w:noWrap w:val="0"/>
            <w:vAlign w:val="top"/>
          </w:tcPr>
          <w:p>
            <w:pPr>
              <w:widowControl/>
              <w:spacing w:line="0" w:lineRule="atLeast"/>
              <w:rPr>
                <w:rFonts w:hint="eastAsia" w:ascii="仿宋_GB2312" w:hAnsi="宋体" w:eastAsia="仿宋_GB2312"/>
                <w:color w:val="000000"/>
                <w:szCs w:val="21"/>
              </w:rPr>
            </w:pPr>
          </w:p>
        </w:tc>
        <w:tc>
          <w:tcPr>
            <w:tcW w:w="714" w:type="dxa"/>
            <w:noWrap w:val="0"/>
            <w:vAlign w:val="top"/>
          </w:tcPr>
          <w:p>
            <w:pPr>
              <w:rPr>
                <w:rFonts w:hint="eastAsia" w:ascii="仿宋_GB2312" w:hAnsi="宋体" w:eastAsia="仿宋_GB2312"/>
                <w:color w:val="000000"/>
                <w:szCs w:val="21"/>
              </w:rPr>
            </w:pPr>
          </w:p>
        </w:tc>
        <w:tc>
          <w:tcPr>
            <w:tcW w:w="674" w:type="dxa"/>
            <w:noWrap w:val="0"/>
            <w:vAlign w:val="top"/>
          </w:tcPr>
          <w:p>
            <w:pPr>
              <w:rPr>
                <w:rFonts w:hint="eastAsia" w:ascii="仿宋_GB2312" w:hAnsi="宋体" w:eastAsia="仿宋_GB2312"/>
                <w:color w:val="000000"/>
                <w:szCs w:val="21"/>
              </w:rPr>
            </w:pPr>
          </w:p>
        </w:tc>
        <w:tc>
          <w:tcPr>
            <w:tcW w:w="674" w:type="dxa"/>
            <w:gridSpan w:val="2"/>
            <w:noWrap w:val="0"/>
            <w:vAlign w:val="top"/>
          </w:tcPr>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616" w:hRule="atLeast"/>
          <w:jc w:val="center"/>
        </w:trPr>
        <w:tc>
          <w:tcPr>
            <w:tcW w:w="9323" w:type="dxa"/>
            <w:gridSpan w:val="5"/>
            <w:noWrap w:val="0"/>
            <w:vAlign w:val="center"/>
          </w:tcPr>
          <w:p>
            <w:pPr>
              <w:snapToGrid w:val="0"/>
              <w:ind w:firstLine="630" w:firstLineChars="300"/>
              <w:rPr>
                <w:rFonts w:hint="eastAsia" w:ascii="仿宋_GB2312" w:hAnsi="宋体" w:eastAsia="仿宋_GB2312"/>
                <w:color w:val="000000"/>
                <w:szCs w:val="21"/>
              </w:rPr>
            </w:pPr>
            <w:r>
              <w:rPr>
                <w:rFonts w:hint="eastAsia" w:ascii="仿宋_GB2312" w:hAnsi="宋体" w:eastAsia="仿宋_GB2312"/>
                <w:color w:val="000000"/>
                <w:szCs w:val="21"/>
              </w:rPr>
              <w:t xml:space="preserve">组长：(签名)                      成员：(签名)                 </w:t>
            </w:r>
          </w:p>
          <w:p>
            <w:pPr>
              <w:snapToGrid w:val="0"/>
              <w:ind w:firstLine="630" w:firstLineChars="300"/>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napToGrid w:val="0"/>
              <w:ind w:firstLine="630" w:firstLineChars="300"/>
              <w:rPr>
                <w:rFonts w:hint="eastAsia" w:ascii="仿宋_GB2312" w:hAnsi="宋体" w:eastAsia="仿宋_GB2312"/>
                <w:color w:val="000000"/>
                <w:szCs w:val="21"/>
              </w:rPr>
            </w:pPr>
          </w:p>
          <w:p>
            <w:pPr>
              <w:snapToGrid w:val="0"/>
              <w:ind w:firstLine="630" w:firstLineChars="300"/>
              <w:rPr>
                <w:rFonts w:hint="eastAsia" w:ascii="仿宋_GB2312" w:hAnsi="宋体" w:eastAsia="仿宋_GB2312"/>
                <w:color w:val="000000"/>
                <w:szCs w:val="21"/>
              </w:rPr>
            </w:pPr>
          </w:p>
          <w:p>
            <w:pPr>
              <w:ind w:firstLine="7455" w:firstLineChars="3550"/>
              <w:rPr>
                <w:rFonts w:hint="eastAsia" w:ascii="仿宋_GB2312" w:hAnsi="宋体" w:eastAsia="仿宋_GB2312"/>
                <w:color w:val="000000"/>
                <w:szCs w:val="21"/>
              </w:rPr>
            </w:pPr>
            <w:r>
              <w:rPr>
                <w:rFonts w:hint="eastAsia" w:ascii="仿宋_GB2312" w:hAnsi="宋体" w:eastAsia="仿宋_GB2312"/>
                <w:color w:val="000000"/>
                <w:szCs w:val="21"/>
              </w:rPr>
              <w:t>年   月   日</w:t>
            </w:r>
          </w:p>
        </w:tc>
        <w:tc>
          <w:tcPr>
            <w:tcW w:w="674" w:type="dxa"/>
            <w:gridSpan w:val="2"/>
            <w:noWrap w:val="0"/>
            <w:vAlign w:val="center"/>
          </w:tcPr>
          <w:p>
            <w:pPr>
              <w:rPr>
                <w:rFonts w:hint="eastAsia" w:ascii="仿宋_GB2312" w:hAnsi="宋体" w:eastAsia="仿宋_GB2312"/>
                <w:color w:val="000000"/>
                <w:szCs w:val="21"/>
              </w:rPr>
            </w:pPr>
          </w:p>
        </w:tc>
      </w:tr>
    </w:tbl>
    <w:p>
      <w:pPr>
        <w:spacing w:line="0" w:lineRule="atLeast"/>
        <w:rPr>
          <w:rFonts w:hint="eastAsia" w:ascii="仿宋_GB2312" w:hAnsi="宋体" w:eastAsia="仿宋_GB2312"/>
          <w:color w:val="000000"/>
        </w:rPr>
      </w:pPr>
      <w:r>
        <w:rPr>
          <w:rFonts w:hint="eastAsia" w:ascii="仿宋_GB2312" w:hAnsi="宋体" w:eastAsia="仿宋_GB2312"/>
          <w:color w:val="000000"/>
        </w:rPr>
        <w:t>注：1.年检结果认定分为：优秀、合格、基本合格、不合格；</w:t>
      </w:r>
    </w:p>
    <w:p>
      <w:pPr>
        <w:spacing w:line="0" w:lineRule="atLeast"/>
        <w:ind w:firstLine="420" w:firstLineChars="200"/>
      </w:pPr>
      <w:r>
        <w:rPr>
          <w:rFonts w:hint="eastAsia" w:ascii="仿宋_GB2312" w:hAnsi="宋体" w:eastAsia="仿宋_GB2312"/>
          <w:color w:val="000000"/>
        </w:rPr>
        <w:t>2.连续两年年检不合格的取消办学资质。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mVmZmYwY2U2Njc2ZmM4MjkwMDQ3Yjc2YjVlOWUifQ=="/>
    <w:docVar w:name="KSO_WPS_MARK_KEY" w:val="4d885054-7d29-4949-aa35-bb8148af5d41"/>
  </w:docVars>
  <w:rsids>
    <w:rsidRoot w:val="590A7044"/>
    <w:rsid w:val="590A7044"/>
    <w:rsid w:val="6793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2</Pages>
  <Words>1959</Words>
  <Characters>2063</Characters>
  <Lines>0</Lines>
  <Paragraphs>0</Paragraphs>
  <TotalTime>0</TotalTime>
  <ScaleCrop>false</ScaleCrop>
  <LinksUpToDate>false</LinksUpToDate>
  <CharactersWithSpaces>2143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2025-04-25T07:58:00Z</dcterms:created>
  <dc:creator>Administrator</dc:creator>
  <cp:lastModifiedBy>Administrator</cp:lastModifiedBy>
  <dcterms:modified xsi:type="dcterms:W3CDTF">2025-04-29T03:23:22Z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4FEF6EBC77A0464383904AF55A7FC7A6</vt:lpwstr>
  </property>
</Properties>
</file>